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Token Optimisation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Make prompts more efficient without losing the information needed for good output.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Reducing prompt cost and response latency at scale.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Making room for complex context.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Cleaning prompts that repeat the same instruction in different words.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Every word in a prompt costs tokens, which are the units AI models process. Token-efficient prompting saves money, speeds processing, and makes room for more complex tasks.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Token fundamentals and optimisation techniques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Token fundamentals: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token is roughly 3/4 of a word in English. GPT-4 models have context windows from 8K to 32K tokens. Both prompt and AI response count toward the limit. Every token costs money, especially at scale.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Token optimisation techniques: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1) Eliminate redundancy - say it once, clearly. 2) Use shorthand for instructions - develop concise instruction patterns. 3) Leverage format over explanation - show, do not tell. 4) Prioritise information - most important details first.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Token calculation tool: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 token is approximately 4 characters or 3/4 of a word. 100 tokens is approximately 75 words. 1,000 tokens is approximately 750 words or 3/4 page.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Remove duplicated instructions.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Replace long explanations with concise structure or examples.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Put the most important context first.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Keep enough detail to avoid ambiguity; optimisation should not remove critical constraints.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BEFORE (73 tokens):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“I would like you to help me write a professional email to a client who has requested information about our services. The email should be friendly but professional in tone.”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AFTER (47 tokens):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“Write a professional client email about our services. Tone: friendly yet professional.”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Optimising for shortness until the prompt becomes ambiguous.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Removing constraints that prevent errors.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Redundancy removed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Important details are first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Format is used instead of over-explaining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Critical constraints remain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Prompt still produces the required output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Token Optimisation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