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Mastering Output Formats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Control the structure of AI outputs before the response is generated.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this is useful for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Reducing manual reformatting.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Creating consistent outputs across repeated prompts.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Preparing AI output for documents, spreadsheets, systems, and review workflows.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The key idea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Precise format control ensures AI delivers in the required structure, not just with the right content.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Why format matters and control techniques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Why format matters: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improves readability and usability; creates consistency across outputs; saves reformatting time; enables easier integration with other systems; enhances visual hierarchy.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Format control techniques: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1) Explicit structure definitions - detail exactly how information should be organised. 2) Format examples - show examples of desired formatting. 3) Markdown/HTML specifications - request specific formatting syntax. 4) Tables and lists parameters - define how data should be arranged. 5) Custom delimiter systems - create your own organisation system.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How to use it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Decide how the result will be used.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Specify the output structure before content generation.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Use examples or schemas when precision matters.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Define sorting, columns, headings, and separators.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Review whether the output can be used without manual cleanup.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Example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Weak: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“Summarise these options.”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Better: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“Return a table with columns: Option, Best Use Case, Risk, Effort, Reversibility, Recommended Next Step. Sort by lowest implementation risk first.”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Common mistakes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 format after the model has already produced the answer.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Defining a table without specifying columns or sort order.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Quick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Output use case is known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Structure is defined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Columns or sections are specified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Ordering is specified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Syntax requirements are clear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Mastering Output Formats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