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Strategic Constraint Design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Use limitations to focus AI outputs and reduce irrelevant variation.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Creative tasks that need boundaries.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Business outputs that must follow policy, tone, scope, or method.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Reducing drift and overproduction.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Strategic limitations guide AI toward focused, higher-quality outputs by narrowing possibilities and clarifying boundaries.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Constraint types and objective templates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Types of effective constraints: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format constraints, content constraints, stylistic constraints, methodological constraints, and perspective constraints.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FORMAT: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Structure as [specific format]. Length should be [word/section count]. Include [specific elements]. Exclude [elements to avoid].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CONTENT: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Focus on [specific topics/areas]. Incorporate [required elements]. Avoid discussing [excluded topics]. Use terminology from [specific field].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STYLE: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Maintain a [tone descriptor] tone. Write at a [complexity level]. Use [sentence structure preference]. Include any specific stylistic guidelines.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METHODOLOGY: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Approach using [specific framework]. Prioritise [methodological preference]. Analyse through [specific lens]. Build arguments based on [reasoning approach].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PERSPECTIVE: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Consider viewpoints of [stakeholders]. Acknowledge [specific considerations]. Remain neutral on [controversial aspects]. Emphasise [value priorities].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what must be included, excluded, and prioritised.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constraints to guide format, content, style, methodology, and perspective.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Avoid over-constraining where creativity or exploration is required.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Review whether constraints improved focus and quality.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Prompt addition: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“Keep the answer practical for a small business. Do not assume new software. Use plain English. Separate quick wins from bigger changes. Keep a human review step before anything customer-facing is used.”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constraints as a long list of preferences rather than decision boundaries.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Adding so many constraints that the model cannot optimise effectively.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Format constraints set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Content boundaries set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Style rules set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Methodology specified where useful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Perspective constraints included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Constraints do not conflict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Strategic Constraint Design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