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Context Window Optimisation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Manage the AI’s working memory by ordering and compressing information deliberately.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Large documents and complex tasks.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Multi-step workflows where earlier context can be lost.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Prompts that combine instructions, examples, background, and previous attempts.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The context window is the AI’s working memory. When it is exceeded, earlier information may no longer be available. Prioritisation and ordering matter.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Context fundamentals and information hierarchy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Context window fundamentals: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GPT-3.5 has about 4K tokens or 3,000 words. GPT-4 has about 8K-32K tokens or 6,000-24,000 words. Both prompt and previous responses count toward the limit. When exceeded, the AI loses access to earlier information.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Information Hierarchy Principle: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1) Critical Instructions - always first. 2) Task-Specific Context - next most important. 3) Examples - to calibrate output. 4) Background Information - as needed for depth. 5) Previous Attempts - if trying to improve results.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Strategic ordering techniques: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front-loading, chunking, signposting, and tiered relevance.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When context is limited, use summarisation first, sequential processing, and reference pointers.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Put critical instructions at the top.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Group related information together.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clear section headings.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Place the most relevant details before background.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Summarise long content before analysis or process it sequentially.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numbered reference pointers to refer back to prior items.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Prompt structure: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1) Non-negotiable instructions. 2) Task. 3) Decision context. 4) Source material excerpts. 5) Examples. 6) Output format. 7) Review checklist.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Putting critical instructions at the end of a long prompt.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Pasting large documents without signposting or prioritisation.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Critical instructions first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Task-specific context next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Examples included only when useful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Background is concise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Large content is chunked or summarised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Reference pointers are used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Context Window Optimisation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