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shd w:fill="F8FAFC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4F80FF"/>
                <w:sz w:val="34"/>
              </w:rPr>
              <w:t>Modular Prompt Architecture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/>
                <w:color w:val="1F2937"/>
                <w:sz w:val="18"/>
              </w:rPr>
              <w:t>Treat prompts like reusable components rather than one-off instructions.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What this is useful for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Building prompt libraries.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Creating consistent team workflows.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Scaling complex tasks through reusable components.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The key idea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Modular prompting treats prompts like code libraries: reusable, combinable components instead of writing everything from scratch.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Benefits and core components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Benefits: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consistency, efficiency, optimisation, collaboration, and scalability.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Core components: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1) Base Templates - foundation structures for common tasks. 2) Specialised Modules - task-specific components to add. 3) Format Libraries - reusable output specifications. 4) Persona Definitions - consistent expert roles. 5) Instruction Sets - reusable process guidelines.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How to use it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Identify repeated task types.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Extract common structure into a base template.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Create specialised modules for role, process, constraints, and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Test module combinations.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Improve modules independently over time.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Example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 document review prompt can reuse: a legal/commercial review persona, a fact/assumption separation module, an error-resistant checking module, and a proposal-format output module.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8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Common mistakes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Building a library before identifying repeated tasks.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Creating modules with unclear interfaces.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a vague task instead of a clear job.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Leaving out business context, constraints, or success criteria.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Asking for an answer without defining the required output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AI output as final without review, testing, or correction.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Quick checklist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Common task types identified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Base templates created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Specialised modules named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Format library exists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Personas are reusable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Modules are tested in combinations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403" w:right="432" w:bottom="461" w:left="43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0"/>
      <w:gridCol w:w="5280"/>
      <w:gridCol w:w="528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Modular Prompt Architecture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/>
              <w:i w:val="0"/>
              <w:color w:val="4F80FF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736"/>
      <w:gridCol w:w="7344"/>
      <w:gridCol w:w="576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rFonts w:ascii="Aptos" w:hAnsi="Aptos" w:eastAsia="Aptos"/>
              <w:b/>
              <w:i w:val="0"/>
              <w:color w:val="00D9F8"/>
              <w:sz w:val="19"/>
            </w:rPr>
            <w:t>[LOGO]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/>
              <w:i w:val="0"/>
              <w:color w:val="4F80FF"/>
              <w:sz w:val="21"/>
            </w:rPr>
            <w:t>[BUSINESS NAME]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[WEBSITE]  |  [EMAIL]  |  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