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8FAFC"/>
            <w:tcBorders>
              <w:top w:val="single" w:sz="14" w:space="0" w:color="4F80FF"/>
              <w:left w:val="single" w:sz="14" w:space="0" w:color="4F80FF"/>
              <w:bottom w:val="single" w:sz="14" w:space="0" w:color="4F80FF"/>
              <w:right w:val="single" w:sz="14" w:space="0" w:color="4F80FF"/>
            </w:tcBorders>
            <w:tcMar>
              <w:top w:w="80" w:type="dxa"/>
              <w:bottom w:w="8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color w:val="4F80FF"/>
                <w:sz w:val="40"/>
              </w:rPr>
              <w:t>Few-Shot Prompting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color w:val="1F2937"/>
                <w:sz w:val="18"/>
              </w:rPr>
              <w:t>Train the model with a small set of demonstrations before asking it to perform a similar task.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FFFF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20"/>
              </w:rPr>
              <w:t>What this is useful for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classification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extraction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style reproduction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specific output formats</w:t>
            </w:r>
          </w:p>
        </w:tc>
        <w:tc>
          <w:tcPr>
            <w:tcW w:type="dxa" w:w="791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start w:w="70" w:type="dxa"/>
              <w:end w:w="70" w:type="dxa"/>
            </w:tcMar>
            <w:shd w:fill="EEF6FF"/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20"/>
              </w:rPr>
              <w:t>The key idea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4"/>
              </w:rPr>
              <w:t>Few-shot prompting is strongest when you have ideal examples, subtle patterns, or a need for a very specific format.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The framework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7913"/>
            <w:shd w:fill="4F80FF"/>
            <w:tcBorders>
              <w:top w:val="single" w:sz="4" w:space="0" w:color="4F80FF"/>
              <w:left w:val="single" w:sz="4" w:space="0" w:color="4F80FF"/>
              <w:bottom w:val="single" w:sz="4" w:space="0" w:color="4F80FF"/>
              <w:right w:val="single" w:sz="4" w:space="0" w:color="4F80FF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FFFFFF"/>
                <w:sz w:val="16"/>
              </w:rPr>
              <w:t>Purpose / instruction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Parallel Structure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All examples follow the same format.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Diverse Content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Examples cover different scenarios while maintaining the pattern.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Strategic Progression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Order examples from simple to complex.</w:t>
            </w:r>
          </w:p>
        </w:tc>
      </w:tr>
      <w:tr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4"/>
              </w:rPr>
              <w:t>Clear Delineation</w:t>
            </w:r>
          </w:p>
        </w:tc>
        <w:tc>
          <w:tcPr>
            <w:tcW w:type="dxa" w:w="7913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bottom w:w="4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Visibly separate inputs, outputs, examples, and the new task.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EEF6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few-shot when the task has subtle patterns or past attempts were inconsistent. Use zero-shot when the task is straightforward or needs maximum flexibility.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b/>
          <w:i w:val="0"/>
          <w:color w:val="4F80FF"/>
          <w:sz w:val="30"/>
        </w:rPr>
        <w:t>Master Each Component of Few-Shot Prompting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Parallel Structure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All examples follow the same format.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parallel structure.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parallel structure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Parallel Structure: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parallel structure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Diverse Content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Examples cover different scenarios while maintaining the pattern.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diverse content.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diverse content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Diverse Content: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diverse content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FFFFF"/>
            <w:tcBorders>
              <w:top w:val="single" w:sz="6" w:space="0" w:color="4F80FF"/>
              <w:left w:val="single" w:sz="6" w:space="0" w:color="4F80FF"/>
              <w:bottom w:val="single" w:sz="6" w:space="0" w:color="4F80FF"/>
              <w:right w:val="single" w:sz="6" w:space="0" w:color="4F80FF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Strategic Progression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Order examples from simple to complex.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strategic progression.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strategic progression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Strategic Progression: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strategic progression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</w:tr>
      <w:tr>
        <w:tc>
          <w:tcPr>
            <w:tcW w:type="dxa" w:w="5275"/>
            <w:shd w:fill="FFFFFF"/>
            <w:tcBorders>
              <w:top w:val="single" w:sz="6" w:space="0" w:color="00D9F8"/>
              <w:left w:val="single" w:sz="6" w:space="0" w:color="00D9F8"/>
              <w:bottom w:val="single" w:sz="6" w:space="0" w:color="00D9F8"/>
              <w:right w:val="single" w:sz="6" w:space="0" w:color="00D9F8"/>
            </w:tcBorders>
            <w:tcMar>
              <w:top w:w="50" w:type="dxa"/>
              <w:bottom w:w="50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Clear Delineation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it means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Visibly separate inputs, outputs, examples, and the new task.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What to include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business context that changes clear delineation.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required input or decision boundary.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The output standard or review point.</w:t>
            </w:r>
          </w:p>
          <w:p>
            <w:pPr>
              <w:spacing w:after="20" w:before="0" w:line="228" w:lineRule="auto"/>
            </w:pPr>
            <w:r>
              <w:rPr>
                <w:b/>
                <w:i w:val="0"/>
                <w:color w:val="00D9F8"/>
                <w:sz w:val="13"/>
              </w:rPr>
              <w:t>How to write it well</w:t>
            </w:r>
          </w:p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Write clear delineation as a concrete instruction. Avoid labels without operational detail.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EEF6FF"/>
                  <w:tcBorders>
                    <w:top w:val="single" w:sz="4" w:space="0" w:color="CBD5E1"/>
                    <w:left w:val="single" w:sz="4" w:space="0" w:color="CBD5E1"/>
                    <w:bottom w:val="single" w:sz="4" w:space="0" w:color="CBD5E1"/>
                    <w:right w:val="single" w:sz="4" w:space="0" w:color="CBD5E1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4F80FF"/>
                      <w:sz w:val="11"/>
                    </w:rPr>
                    <w:t>EXAMPLE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1F2937"/>
                      <w:sz w:val="11"/>
                    </w:rPr>
                    <w:t>Clear Delineation: Apply this part to a real task such as drafting an SOP, reviewing a workflow, or comparing options.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5275"/>
            </w:tblGrid>
            <w:tr>
              <w:tc>
                <w:tcPr>
                  <w:tcW w:type="dxa" w:w="5275"/>
                  <w:shd w:fill="3B4AC8"/>
                  <w:tcBorders>
                    <w:top w:val="single" w:sz="4" w:space="0" w:color="3B4AC8"/>
                    <w:left w:val="single" w:sz="4" w:space="0" w:color="3B4AC8"/>
                    <w:bottom w:val="single" w:sz="4" w:space="0" w:color="3B4AC8"/>
                    <w:right w:val="single" w:sz="4" w:space="0" w:color="3B4AC8"/>
                  </w:tcBorders>
                  <w:tcMar>
                    <w:top w:w="30" w:type="dxa"/>
                    <w:bottom w:w="30" w:type="dxa"/>
                    <w:start w:w="40" w:type="dxa"/>
                    <w:end w:w="40" w:type="dxa"/>
                  </w:tcMar>
                </w:tcPr>
                <w:p/>
                <w:p>
                  <w:pPr>
                    <w:spacing w:after="20" w:before="0" w:line="228" w:lineRule="auto"/>
                  </w:pPr>
                  <w:r>
                    <w:rPr>
                      <w:b/>
                      <w:i w:val="0"/>
                      <w:color w:val="FFFFFF"/>
                      <w:sz w:val="11"/>
                    </w:rPr>
                    <w:t>PRO TIP</w:t>
                  </w:r>
                </w:p>
                <w:p>
                  <w:pPr>
                    <w:spacing w:after="20" w:before="0" w:line="228" w:lineRule="auto"/>
                  </w:pPr>
                  <w:r>
                    <w:rPr>
                      <w:b w:val="0"/>
                      <w:i w:val="0"/>
                      <w:color w:val="FFFFFF"/>
                      <w:sz w:val="11"/>
                    </w:rPr>
                    <w:t>Make clear delineation visible enough that a reviewer can check it without guessing.</w:t>
                  </w:r>
                </w:p>
              </w:tc>
            </w:tr>
          </w:tbl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B45309"/>
                <w:sz w:val="12"/>
              </w:rPr>
              <w:t>COMMON MISTAKE: Using this component as a vague heading rather than a testable instruction.</w:t>
            </w:r>
          </w:p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  <w:tc>
          <w:tcPr>
            <w:tcW w:type="dxa" w:w="5275"/>
            <w:shd w:fill="F8FAFC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/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How to use 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  <w:shd w:fill="EEF6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Use steps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Choose the task and audience.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Fill each component with concrete detail.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Run the prompt on a real case.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Review against the checklist.</w:t>
            </w:r>
          </w:p>
          <w:p>
            <w:pPr>
              <w:pStyle w:val="ListNumber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Refine the weak component, not the whole prompt.</w:t>
            </w:r>
          </w:p>
        </w:tc>
        <w:tc>
          <w:tcPr>
            <w:tcW w:type="dxa" w:w="5275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B45309"/>
                <w:sz w:val="16"/>
              </w:rPr>
              <w:t>Common mistakes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Vague role or task wording.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Missing business context or constraints.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Weak output format.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No review or testing step.</w:t>
            </w:r>
          </w:p>
        </w:tc>
        <w:tc>
          <w:tcPr>
            <w:tcW w:type="dxa" w:w="5275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55" w:type="dxa"/>
              <w:bottom w:w="55" w:type="dxa"/>
              <w:start w:w="60" w:type="dxa"/>
              <w:end w:w="60" w:type="dxa"/>
            </w:tcMar>
          </w:tcPr>
          <w:p/>
          <w:p>
            <w:pPr>
              <w:spacing w:after="20" w:before="0" w:line="228" w:lineRule="auto"/>
            </w:pPr>
            <w:r>
              <w:rPr>
                <w:b/>
                <w:i w:val="0"/>
                <w:color w:val="4F80FF"/>
                <w:sz w:val="16"/>
              </w:rPr>
              <w:t>Quick checklist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Task is concrete.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Context is relevant.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Format is specified.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Constraints are visible.</w:t>
            </w:r>
          </w:p>
          <w:p>
            <w:pPr>
              <w:pStyle w:val="ListBullet"/>
              <w:spacing w:after="0" w:line="228" w:lineRule="auto"/>
            </w:pPr>
            <w:r>
              <w:rPr>
                <w:b w:val="0"/>
                <w:i w:val="0"/>
                <w:color w:val="1F2937"/>
                <w:sz w:val="12"/>
              </w:rPr>
              <w:t>Output is easy to review.</w:t>
            </w:r>
          </w:p>
        </w:tc>
      </w:tr>
    </w:tbl>
    <w:p>
      <w:pPr>
        <w:spacing w:before="60" w:after="40"/>
      </w:pPr>
      <w:r>
        <w:rPr>
          <w:b/>
          <w:i w:val="0"/>
          <w:color w:val="4F80FF"/>
          <w:sz w:val="22"/>
        </w:rPr>
        <w:t>Business workflow application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826"/>
      </w:tblGrid>
      <w:tr>
        <w:tc>
          <w:tcPr>
            <w:tcW w:type="dxa" w:w="15826"/>
            <w:shd w:fill="FFFFFF"/>
            <w:tcBorders>
              <w:top w:val="single" w:sz="8" w:space="0" w:color="00D9F8"/>
              <w:left w:val="single" w:sz="8" w:space="0" w:color="00D9F8"/>
              <w:bottom w:val="single" w:sz="8" w:space="0" w:color="00D9F8"/>
              <w:right w:val="single" w:sz="8" w:space="0" w:color="00D9F8"/>
            </w:tcBorders>
            <w:tcMar>
              <w:top w:w="70" w:type="dxa"/>
              <w:bottom w:w="70" w:type="dxa"/>
              <w:start w:w="90" w:type="dxa"/>
              <w:end w:w="90" w:type="dxa"/>
            </w:tcMar>
          </w:tcPr>
          <w:p/>
          <w:p>
            <w:pPr>
              <w:spacing w:after="20" w:before="0" w:line="228" w:lineRule="auto"/>
            </w:pPr>
            <w:r>
              <w:rPr>
                <w:b w:val="0"/>
                <w:i w:val="0"/>
                <w:color w:val="1F2937"/>
                <w:sz w:val="13"/>
              </w:rPr>
              <w:t>Use this method to turn rough business notes into structured work: a client email, SOP, analysis brief, options table, or project plan. Keep final judgement and approval with a person.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504" w:right="504" w:bottom="504" w:left="504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232"/>
      <w:gridCol w:w="5232"/>
      <w:gridCol w:w="5232"/>
    </w:tblGrid>
    <w:tr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r>
            <w:rPr>
              <w:b w:val="0"/>
              <w:i w:val="0"/>
              <w:color w:val="1F2937"/>
              <w:sz w:val="14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Few-Shot Prompting</w:t>
          </w:r>
        </w:p>
      </w:tc>
      <w:tc>
        <w:tcPr>
          <w:tcW w:type="dxa" w:w="5232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5" w:type="dxa"/>
            <w:bottom w:w="5" w:type="dxa"/>
            <w:start w:w="20" w:type="dxa"/>
            <w:end w:w="20" w:type="dxa"/>
          </w:tcMar>
        </w:tcPr>
        <w:p>
          <w:pPr>
            <w:jc w:val="right"/>
          </w:pPr>
          <w:r>
            <w:rPr>
              <w:b w:val="0"/>
              <w:i w:val="0"/>
              <w:color w:val="1F2937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39"/>
      <w:gridCol w:w="3139"/>
      <w:gridCol w:w="3139"/>
      <w:gridCol w:w="3139"/>
      <w:gridCol w:w="3139"/>
    </w:tblGrid>
    <w:tr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4F80FF"/>
              <w:sz w:val="14"/>
            </w:rPr>
            <w:t>[LOGO]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/>
              <w:i w:val="0"/>
              <w:color w:val="4F80FF"/>
              <w:sz w:val="16"/>
            </w:rPr>
            <w:t>[BUSINESS NAME]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[WEBSITE]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[EMAIL]</w:t>
          </w:r>
        </w:p>
      </w:tc>
      <w:tc>
        <w:tcPr>
          <w:tcW w:type="dxa" w:w="3139"/>
          <w:shd w:fill="FFFFFF"/>
          <w:tc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20" w:type="dxa"/>
            <w:bottom w:w="20" w:type="dxa"/>
            <w:start w:w="35" w:type="dxa"/>
            <w:end w:w="35" w:type="dxa"/>
          </w:tcMar>
        </w:tcPr>
        <w:p>
          <w:pPr>
            <w:jc w:val="center"/>
          </w:pPr>
          <w:r>
            <w:rPr>
              <w:b w:val="0"/>
              <w:i w:val="0"/>
              <w:color w:val="1F2937"/>
              <w:sz w:val="14"/>
            </w:rPr>
            <w:t>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