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Strategic Constraint Design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Use limitations to guide AI toward focused, higher-quality outputs.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client-facing writing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analysis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creative briefs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risk-controlled workflows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Strategic constraints narrow possibilities so outputs fit the business context, audience, and review process.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Format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Structure, length, sections, inclusions, exclusions.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Content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Topics, terminology, focus areas, excluded topics.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Stylistic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Tone, complexity, formality, sentence style.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Methodological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Frameworks, approaches, reasoning lens.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Perspective Constraints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Stakeholders, viewpoints, value priorities, neutrality.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FORMAT: Structure as [format]. CONTENT: Focus on [topics]. STYLE: Maintain [tone]. METHODOLOGY: Approach using [framework]. PERSPECTIVE: Consider [stakeholders].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Strategic Constraint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Format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Structure, length, sections, inclusions, exclusions.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format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format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Format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format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Content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Topics, terminology, focus areas, excluded topics.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content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content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Content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content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Stylistic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Tone, complexity, formality, sentence style.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stylistic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stylistic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Stylistic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stylistic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Methodological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Frameworks, approaches, reasoning lens.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methodological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methodological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Methodological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methodological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Perspective Constraints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Stakeholders, viewpoints, value priorities, neutrality.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perspective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perspective constraints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Perspective Constraints: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perspective constraints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Strategic Constraint Design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