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00ADB5"/>
          <w:sz w:val="52"/>
          <w:szCs w:val="52"/>
        </w:rPr>
        <w:t xml:space="preserve">HAKASE CLINICAL</w:t>
      </w:r>
    </w:p>
    <w:p>
      <w:pPr>
        <w:spacing w:after="80" w:before="0"/>
      </w:pPr>
      <w:r>
        <w:rPr>
          <w:rFonts w:ascii="Arial" w:cs="Arial" w:eastAsia="Arial" w:hAnsi="Arial"/>
          <w:b/>
          <w:bCs/>
          <w:color w:val="0D1F3C"/>
          <w:sz w:val="38"/>
          <w:szCs w:val="38"/>
        </w:rPr>
        <w:t xml:space="preserve">Clinical Intelligence Framework</w:t>
      </w:r>
    </w:p>
    <w:p>
      <w:pPr>
        <w:spacing w:after="60" w:before="0"/>
      </w:pPr>
      <w:r>
        <w:rPr>
          <w:rFonts w:ascii="Arial" w:cs="Arial" w:eastAsia="Arial" w:hAnsi="Arial"/>
          <w:color w:val="475569"/>
          <w:sz w:val="26"/>
          <w:szCs w:val="26"/>
        </w:rPr>
        <w:t xml:space="preserve">Pilot Engagement Guide for Small Biotech, CRO &amp; Small Pharma</w:t>
      </w:r>
    </w:p>
    <w:p>
      <w:pPr>
        <w:pBdr>
          <w:bottom w:val="single" w:color="00ADB5" w:sz="4" w:space="1"/>
        </w:pBdr>
        <w:spacing w:after="120" w:before="120"/>
      </w:pPr>
    </w:p>
    <w:p>
      <w:pPr>
        <w:spacing w:after="40" w:before="80"/>
      </w:pPr>
      <w:r>
        <w:rPr>
          <w:rFonts w:ascii="Arial" w:cs="Arial" w:eastAsia="Arial" w:hAnsi="Arial"/>
          <w:color w:val="475569"/>
          <w:sz w:val="20"/>
          <w:szCs w:val="20"/>
        </w:rPr>
        <w:t xml:space="preserve">Version: </w:t>
      </w:r>
      <w:r>
        <w:rPr>
          <w:rFonts w:ascii="Arial" w:cs="Arial" w:eastAsia="Arial" w:hAnsi="Arial"/>
          <w:b/>
          <w:bCs/>
          <w:color w:val="0D1F3C"/>
          <w:sz w:val="20"/>
          <w:szCs w:val="20"/>
        </w:rPr>
        <w:t xml:space="preserve">1.0</w:t>
      </w:r>
      <w:r>
        <w:rPr>
          <w:rFonts w:ascii="Arial" w:cs="Arial" w:eastAsia="Arial" w:hAnsi="Arial"/>
          <w:color w:val="475569"/>
          <w:sz w:val="20"/>
          <w:szCs w:val="20"/>
        </w:rPr>
        <w:t xml:space="preserve">     Status: </w:t>
      </w:r>
      <w:r>
        <w:rPr>
          <w:rFonts w:ascii="Arial" w:cs="Arial" w:eastAsia="Arial" w:hAnsi="Arial"/>
          <w:b/>
          <w:bCs/>
          <w:color w:val="0D1F3C"/>
          <w:sz w:val="20"/>
          <w:szCs w:val="20"/>
        </w:rPr>
        <w:t xml:space="preserve">Current Live Features Only</w:t>
      </w:r>
      <w:r>
        <w:rPr>
          <w:rFonts w:ascii="Arial" w:cs="Arial" w:eastAsia="Arial" w:hAnsi="Arial"/>
          <w:color w:val="475569"/>
          <w:sz w:val="20"/>
          <w:szCs w:val="20"/>
        </w:rPr>
        <w:t xml:space="preserve">     Audience: </w:t>
      </w:r>
      <w:r>
        <w:rPr>
          <w:rFonts w:ascii="Arial" w:cs="Arial" w:eastAsia="Arial" w:hAnsi="Arial"/>
          <w:b/>
          <w:bCs/>
          <w:color w:val="0D1F3C"/>
          <w:sz w:val="20"/>
          <w:szCs w:val="20"/>
        </w:rPr>
        <w:t xml:space="preserve">Internal + Prospect-Facing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DB5" w:sz="6"/>
              <w:left w:val="single" w:color="00ADB5" w:sz="6"/>
              <w:bottom w:val="single" w:color="D1D5DB" w:sz="1"/>
              <w:right w:val="single" w:color="D1D5DB" w:sz="1"/>
            </w:tcBorders>
            <w:shd w:fill="E6FFFE" w:val="clear"/>
            <w:tcMar>
              <w:top w:type="dxa" w:w="140"/>
              <w:left w:type="dxa" w:w="200"/>
              <w:bottom w:type="dxa" w:w="140"/>
              <w:right w:type="dxa" w:w="200"/>
            </w:tcMar>
          </w:tcPr>
          <w:p>
            <w:pPr>
              <w:spacing w:after="60" w:before="0"/>
            </w:pPr>
            <w:r>
              <w:rPr>
                <w:rFonts w:ascii="Arial" w:cs="Arial" w:eastAsia="Arial" w:hAnsi="Arial"/>
                <w:b/>
                <w:bCs/>
                <w:color w:val="007A75"/>
                <w:sz w:val="20"/>
                <w:szCs w:val="20"/>
              </w:rPr>
              <w:t xml:space="preserve">Purpose of This Document</w:t>
            </w:r>
          </w:p>
          <w:p>
            <w:pPr>
              <w:spacing w:after="0" w:before="0"/>
            </w:pPr>
            <w:r>
              <w:rPr>
                <w:rFonts w:ascii="Arial" w:cs="Arial" w:eastAsia="Arial" w:hAnsi="Arial"/>
                <w:color w:val="1E293B"/>
                <w:sz w:val="21"/>
                <w:szCs w:val="21"/>
              </w:rPr>
              <w:t xml:space="preserve">This framework defines how Hakase Clinical's current live features map into a structured, value-first pilot experience for small biotech companies, CROs, and small pharma organizations. It is designed to serve two functions simultaneously: an internal playbook for the Hakase team on how to run pilot conversations, and an honest product overview that can be shared with the right prospect contacts.</w:t>
            </w:r>
          </w:p>
        </w:tc>
      </w:tr>
    </w:tbl>
    <w:p>
      <w:pPr>
        <w:spacing w:after="200" w:before="0"/>
      </w:pPr>
    </w:p>
    <w:p>
      <w:pPr>
        <w:pStyle w:val="Heading1"/>
        <w:spacing w:after="160" w:before="360"/>
      </w:pPr>
      <w:r>
        <w:rPr>
          <w:rFonts w:ascii="Arial" w:cs="Arial" w:eastAsia="Arial" w:hAnsi="Arial"/>
          <w:b/>
          <w:bCs/>
          <w:color w:val="0D1F3C"/>
          <w:sz w:val="32"/>
          <w:szCs w:val="32"/>
        </w:rPr>
        <w:t xml:space="preserve">1. The Problem We Are Solving</w:t>
      </w:r>
    </w:p>
    <w:p>
      <w:pPr>
        <w:pBdr>
          <w:bottom w:val="single" w:color="E2E8F0" w:sz="4" w:space="1"/>
        </w:pBdr>
        <w:spacing w:after="120" w:before="120"/>
      </w:pPr>
    </w:p>
    <w:p>
      <w:pPr>
        <w:spacing w:after="100" w:before="60"/>
      </w:pPr>
      <w:r>
        <w:rPr>
          <w:rFonts w:ascii="Arial" w:cs="Arial" w:eastAsia="Arial" w:hAnsi="Arial"/>
          <w:b w:val="false"/>
          <w:bCs w:val="false"/>
          <w:i w:val="false"/>
          <w:iCs w:val="false"/>
          <w:color w:val="1E293B"/>
          <w:sz w:val="22"/>
          <w:szCs w:val="22"/>
        </w:rPr>
        <w:t xml:space="preserve">Every clinical trial day costs money. For a small biotech running a Phase II study, a single day of delay can cost $30,000–$80,000 in operational burn. A protocol amendment — which triggers re-review, site re-training, and IRB resubmission — can cost $500,000 to $2M and add 2–4 months to the timeline.</w:t>
      </w:r>
    </w:p>
    <w:p>
      <w:pPr>
        <w:spacing w:after="60" w:before="0"/>
      </w:pPr>
    </w:p>
    <w:p>
      <w:pPr>
        <w:spacing w:after="100" w:before="60"/>
      </w:pPr>
      <w:r>
        <w:rPr>
          <w:rFonts w:ascii="Arial" w:cs="Arial" w:eastAsia="Arial" w:hAnsi="Arial"/>
          <w:b w:val="false"/>
          <w:bCs w:val="false"/>
          <w:i w:val="false"/>
          <w:iCs w:val="false"/>
          <w:color w:val="1E293B"/>
          <w:sz w:val="22"/>
          <w:szCs w:val="22"/>
        </w:rPr>
        <w:t xml:space="preserve">The three organizations we are targeting in this pilot phase share a common challenge: they are making expensive decisions with incomplete data, using tools that were not built for their specific workflow.</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E6FFFE" w:val="clear"/>
            <w:tcMar>
              <w:top w:type="dxa" w:w="140"/>
              <w:left w:type="dxa" w:w="180"/>
              <w:bottom w:type="dxa" w:w="140"/>
              <w:right w:type="dxa" w:w="140"/>
            </w:tcMar>
          </w:tcPr>
          <w:p>
            <w:pPr>
              <w:spacing w:after="80" w:before="0"/>
            </w:pPr>
            <w:r>
              <w:rPr>
                <w:rFonts w:ascii="Arial" w:cs="Arial" w:eastAsia="Arial" w:hAnsi="Arial"/>
                <w:b/>
                <w:bCs/>
                <w:color w:val="007A75"/>
                <w:sz w:val="22"/>
                <w:szCs w:val="22"/>
              </w:rPr>
              <w:t xml:space="preserve">Small Biotech</w:t>
            </w:r>
          </w:p>
          <w:p>
            <w:pPr>
              <w:spacing w:after="40" w:before="0"/>
            </w:pPr>
            <w:r>
              <w:rPr>
                <w:rFonts w:ascii="Arial" w:cs="Arial" w:eastAsia="Arial" w:hAnsi="Arial"/>
                <w:b/>
                <w:bCs/>
                <w:color w:val="475569"/>
                <w:sz w:val="19"/>
                <w:szCs w:val="19"/>
              </w:rPr>
              <w:t xml:space="preserve">Core Fear:</w:t>
            </w:r>
          </w:p>
          <w:p>
            <w:pPr>
              <w:spacing w:after="60" w:before="0"/>
            </w:pPr>
            <w:r>
              <w:rPr>
                <w:rFonts w:ascii="Arial" w:cs="Arial" w:eastAsia="Arial" w:hAnsi="Arial"/>
                <w:color w:val="1E293B"/>
                <w:sz w:val="20"/>
                <w:szCs w:val="20"/>
              </w:rPr>
              <w:t xml:space="preserve">Running out of runway before proof-of-concept data</w:t>
            </w:r>
          </w:p>
          <w:p>
            <w:pPr>
              <w:spacing w:after="40" w:before="0"/>
            </w:pPr>
            <w:r>
              <w:rPr>
                <w:rFonts w:ascii="Arial" w:cs="Arial" w:eastAsia="Arial" w:hAnsi="Arial"/>
                <w:b/>
                <w:bCs/>
                <w:color w:val="475569"/>
                <w:sz w:val="19"/>
                <w:szCs w:val="19"/>
              </w:rPr>
              <w:t xml:space="preserve">Key Question:</w:t>
            </w:r>
          </w:p>
          <w:p>
            <w:pPr>
              <w:spacing w:after="0" w:before="0"/>
            </w:pPr>
            <w:r>
              <w:rPr>
                <w:rFonts w:ascii="Arial" w:cs="Arial" w:eastAsia="Arial" w:hAnsi="Arial"/>
                <w:i/>
                <w:iCs/>
                <w:color w:val="1E293B"/>
                <w:sz w:val="20"/>
                <w:szCs w:val="20"/>
              </w:rPr>
              <w:t xml:space="preserve">"How do I de-risk this trial and extend runway?"</w:t>
            </w:r>
          </w:p>
        </w:tc>
        <w:tc>
          <w:tcPr>
            <w:tcW w:type="dxa" w:w="3120"/>
            <w:tcBorders>
              <w:top w:val="single" w:color="D1D5DB" w:sz="1"/>
              <w:left w:val="single" w:color="D1D5DB" w:sz="1"/>
              <w:bottom w:val="single" w:color="D1D5DB" w:sz="1"/>
              <w:right w:val="single" w:color="D1D5DB" w:sz="1"/>
            </w:tcBorders>
            <w:shd w:fill="EFF6FF" w:val="clear"/>
            <w:tcMar>
              <w:top w:type="dxa" w:w="140"/>
              <w:left w:type="dxa" w:w="180"/>
              <w:bottom w:type="dxa" w:w="140"/>
              <w:right w:type="dxa" w:w="140"/>
            </w:tcMar>
          </w:tcPr>
          <w:p>
            <w:pPr>
              <w:spacing w:after="80" w:before="0"/>
            </w:pPr>
            <w:r>
              <w:rPr>
                <w:rFonts w:ascii="Arial" w:cs="Arial" w:eastAsia="Arial" w:hAnsi="Arial"/>
                <w:b/>
                <w:bCs/>
                <w:color w:val="1D4ED8"/>
                <w:sz w:val="22"/>
                <w:szCs w:val="22"/>
              </w:rPr>
              <w:t xml:space="preserve">CRO</w:t>
            </w:r>
          </w:p>
          <w:p>
            <w:pPr>
              <w:spacing w:after="40" w:before="0"/>
            </w:pPr>
            <w:r>
              <w:rPr>
                <w:rFonts w:ascii="Arial" w:cs="Arial" w:eastAsia="Arial" w:hAnsi="Arial"/>
                <w:b/>
                <w:bCs/>
                <w:color w:val="475569"/>
                <w:sz w:val="19"/>
                <w:szCs w:val="19"/>
              </w:rPr>
              <w:t xml:space="preserve">Core Fear:</w:t>
            </w:r>
          </w:p>
          <w:p>
            <w:pPr>
              <w:spacing w:after="60" w:before="0"/>
            </w:pPr>
            <w:r>
              <w:rPr>
                <w:rFonts w:ascii="Arial" w:cs="Arial" w:eastAsia="Arial" w:hAnsi="Arial"/>
                <w:color w:val="1E293B"/>
                <w:sz w:val="20"/>
                <w:szCs w:val="20"/>
              </w:rPr>
              <w:t xml:space="preserve">Overpromising to clients and under-delivering on enrollment and timelines</w:t>
            </w:r>
          </w:p>
          <w:p>
            <w:pPr>
              <w:spacing w:after="40" w:before="0"/>
            </w:pPr>
            <w:r>
              <w:rPr>
                <w:rFonts w:ascii="Arial" w:cs="Arial" w:eastAsia="Arial" w:hAnsi="Arial"/>
                <w:b/>
                <w:bCs/>
                <w:color w:val="475569"/>
                <w:sz w:val="19"/>
                <w:szCs w:val="19"/>
              </w:rPr>
              <w:t xml:space="preserve">Key Question:</w:t>
            </w:r>
          </w:p>
          <w:p>
            <w:pPr>
              <w:spacing w:after="0" w:before="0"/>
            </w:pPr>
            <w:r>
              <w:rPr>
                <w:rFonts w:ascii="Arial" w:cs="Arial" w:eastAsia="Arial" w:hAnsi="Arial"/>
                <w:i/>
                <w:iCs/>
                <w:color w:val="1E293B"/>
                <w:sz w:val="20"/>
                <w:szCs w:val="20"/>
              </w:rPr>
              <w:t xml:space="preserve">"How do I win more bids and deliver faster?"</w:t>
            </w:r>
          </w:p>
        </w:tc>
        <w:tc>
          <w:tcPr>
            <w:tcW w:type="dxa" w:w="3120"/>
            <w:tcBorders>
              <w:top w:val="single" w:color="D1D5DB" w:sz="1"/>
              <w:left w:val="single" w:color="D1D5DB" w:sz="1"/>
              <w:bottom w:val="single" w:color="D1D5DB" w:sz="1"/>
              <w:right w:val="single" w:color="D1D5DB" w:sz="1"/>
            </w:tcBorders>
            <w:shd w:fill="FFF7ED" w:val="clear"/>
            <w:tcMar>
              <w:top w:type="dxa" w:w="140"/>
              <w:left w:type="dxa" w:w="180"/>
              <w:bottom w:type="dxa" w:w="140"/>
              <w:right w:type="dxa" w:w="140"/>
            </w:tcMar>
          </w:tcPr>
          <w:p>
            <w:pPr>
              <w:spacing w:after="80" w:before="0"/>
            </w:pPr>
            <w:r>
              <w:rPr>
                <w:rFonts w:ascii="Arial" w:cs="Arial" w:eastAsia="Arial" w:hAnsi="Arial"/>
                <w:b/>
                <w:bCs/>
                <w:color w:val="D97706"/>
                <w:sz w:val="22"/>
                <w:szCs w:val="22"/>
              </w:rPr>
              <w:t xml:space="preserve">Small Pharma</w:t>
            </w:r>
          </w:p>
          <w:p>
            <w:pPr>
              <w:spacing w:after="40" w:before="0"/>
            </w:pPr>
            <w:r>
              <w:rPr>
                <w:rFonts w:ascii="Arial" w:cs="Arial" w:eastAsia="Arial" w:hAnsi="Arial"/>
                <w:b/>
                <w:bCs/>
                <w:color w:val="475569"/>
                <w:sz w:val="19"/>
                <w:szCs w:val="19"/>
              </w:rPr>
              <w:t xml:space="preserve">Core Fear:</w:t>
            </w:r>
          </w:p>
          <w:p>
            <w:pPr>
              <w:spacing w:after="60" w:before="0"/>
            </w:pPr>
            <w:r>
              <w:rPr>
                <w:rFonts w:ascii="Arial" w:cs="Arial" w:eastAsia="Arial" w:hAnsi="Arial"/>
                <w:color w:val="1E293B"/>
                <w:sz w:val="20"/>
                <w:szCs w:val="20"/>
              </w:rPr>
              <w:t xml:space="preserve">Expensive late-stage failures caused by early protocol design gaps</w:t>
            </w:r>
          </w:p>
          <w:p>
            <w:pPr>
              <w:spacing w:after="40" w:before="0"/>
            </w:pPr>
            <w:r>
              <w:rPr>
                <w:rFonts w:ascii="Arial" w:cs="Arial" w:eastAsia="Arial" w:hAnsi="Arial"/>
                <w:b/>
                <w:bCs/>
                <w:color w:val="475569"/>
                <w:sz w:val="19"/>
                <w:szCs w:val="19"/>
              </w:rPr>
              <w:t xml:space="preserve">Key Question:</w:t>
            </w:r>
          </w:p>
          <w:p>
            <w:pPr>
              <w:spacing w:after="0" w:before="0"/>
            </w:pPr>
            <w:r>
              <w:rPr>
                <w:rFonts w:ascii="Arial" w:cs="Arial" w:eastAsia="Arial" w:hAnsi="Arial"/>
                <w:i/>
                <w:iCs/>
                <w:color w:val="1E293B"/>
                <w:sz w:val="20"/>
                <w:szCs w:val="20"/>
              </w:rPr>
              <w:t xml:space="preserve">"How do I catch problems before they become $50M mistakes?"</w:t>
            </w:r>
          </w:p>
        </w:tc>
      </w:tr>
    </w:tbl>
    <w:p>
      <w:pPr>
        <w:spacing w:after="120" w:before="0"/>
      </w:pPr>
    </w:p>
    <w:p>
      <w:pPr>
        <w:spacing w:after="100" w:before="60"/>
      </w:pPr>
      <w:r>
        <w:rPr>
          <w:rFonts w:ascii="Arial" w:cs="Arial" w:eastAsia="Arial" w:hAnsi="Arial"/>
          <w:b w:val="false"/>
          <w:bCs w:val="false"/>
          <w:i w:val="false"/>
          <w:iCs w:val="false"/>
          <w:color w:val="1E293B"/>
          <w:sz w:val="22"/>
          <w:szCs w:val="22"/>
        </w:rPr>
        <w:t xml:space="preserve">Hakase Clinical addresses these fears directly with a set of currently live tools that convert data already in the public domain into actionable intelligence — at a fraction of the cost of traditional commercial databases.</w:t>
      </w:r>
    </w:p>
    <w:p>
      <w:pPr>
        <w:spacing w:after="200" w:before="0"/>
      </w:pPr>
    </w:p>
    <w:p>
      <w:pPr>
        <w:pStyle w:val="Heading1"/>
        <w:spacing w:after="160" w:before="360"/>
      </w:pPr>
      <w:r>
        <w:rPr>
          <w:rFonts w:ascii="Arial" w:cs="Arial" w:eastAsia="Arial" w:hAnsi="Arial"/>
          <w:b/>
          <w:bCs/>
          <w:color w:val="0D1F3C"/>
          <w:sz w:val="32"/>
          <w:szCs w:val="32"/>
        </w:rPr>
        <w:t xml:space="preserve">2. What Is Currently Live</w:t>
      </w:r>
    </w:p>
    <w:p>
      <w:pPr>
        <w:pBdr>
          <w:bottom w:val="single" w:color="E2E8F0" w:sz="4" w:space="1"/>
        </w:pBdr>
        <w:spacing w:after="120" w:before="120"/>
      </w:pPr>
    </w:p>
    <w:p>
      <w:pPr>
        <w:spacing w:after="100" w:before="60"/>
      </w:pPr>
      <w:r>
        <w:rPr>
          <w:rFonts w:ascii="Arial" w:cs="Arial" w:eastAsia="Arial" w:hAnsi="Arial"/>
          <w:b w:val="false"/>
          <w:bCs w:val="false"/>
          <w:i w:val="false"/>
          <w:iCs w:val="false"/>
          <w:color w:val="1E293B"/>
          <w:sz w:val="22"/>
          <w:szCs w:val="22"/>
        </w:rPr>
        <w:t xml:space="preserve">The following four capabilities are fully operational in the Hakase Clinical platform today. This document is scoped strictly to these features. Roadmap items are addressed separately in Section 6.</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700"/>
        <w:gridCol w:w="2660"/>
      </w:tblGrid>
      <w:tr>
        <w:tc>
          <w:tcPr>
            <w:tcW w:type="dxa" w:w="600"/>
            <w:tcBorders>
              <w:top w:val="single" w:color="D1D5DB" w:sz="1"/>
              <w:left w:val="single" w:color="D1D5DB" w:sz="1"/>
              <w:bottom w:val="single" w:color="D1D5DB" w:sz="1"/>
              <w:right w:val="single" w:color="D1D5DB" w:sz="1"/>
            </w:tcBorders>
            <w:shd w:fill="0D1F3C" w:val="clear"/>
            <w:tcMar>
              <w:top w:type="dxa" w:w="80"/>
              <w:left w:type="dxa" w:w="120"/>
              <w:bottom w:type="dxa" w:w="80"/>
              <w:right w:type="dxa" w:w="100"/>
            </w:tcMar>
          </w:tcPr>
          <w:p>
            <w:pPr>
              <w:jc w:val="center"/>
            </w:pPr>
            <w:r>
              <w:rPr>
                <w:rFonts w:ascii="Arial" w:cs="Arial" w:eastAsia="Arial" w:hAnsi="Arial"/>
                <w:b/>
                <w:bCs/>
                <w:color w:val="FFFFFF"/>
                <w:sz w:val="20"/>
                <w:szCs w:val="20"/>
              </w:rPr>
              <w:t xml:space="preserve">#</w:t>
            </w:r>
          </w:p>
        </w:tc>
        <w:tc>
          <w:tcPr>
            <w:tcW w:type="dxa" w:w="3400"/>
            <w:tcBorders>
              <w:top w:val="single" w:color="D1D5DB" w:sz="1"/>
              <w:left w:val="single" w:color="D1D5DB" w:sz="1"/>
              <w:bottom w:val="single" w:color="D1D5DB" w:sz="1"/>
              <w:right w:val="single" w:color="D1D5DB" w:sz="1"/>
            </w:tcBorders>
            <w:shd w:fill="0D1F3C" w:val="clear"/>
            <w:tcMar>
              <w:top w:type="dxa" w:w="80"/>
              <w:left w:type="dxa" w:w="120"/>
              <w:bottom w:type="dxa" w:w="80"/>
              <w:right w:type="dxa" w:w="100"/>
            </w:tcMar>
          </w:tcPr>
          <w:p>
            <w:r>
              <w:rPr>
                <w:rFonts w:ascii="Arial" w:cs="Arial" w:eastAsia="Arial" w:hAnsi="Arial"/>
                <w:b/>
                <w:bCs/>
                <w:color w:val="FFFFFF"/>
                <w:sz w:val="20"/>
                <w:szCs w:val="20"/>
              </w:rPr>
              <w:t xml:space="preserve">Module</w:t>
            </w:r>
          </w:p>
        </w:tc>
        <w:tc>
          <w:tcPr>
            <w:tcW w:type="dxa" w:w="2700"/>
            <w:tcBorders>
              <w:top w:val="single" w:color="D1D5DB" w:sz="1"/>
              <w:left w:val="single" w:color="D1D5DB" w:sz="1"/>
              <w:bottom w:val="single" w:color="D1D5DB" w:sz="1"/>
              <w:right w:val="single" w:color="D1D5DB" w:sz="1"/>
            </w:tcBorders>
            <w:shd w:fill="0D1F3C" w:val="clear"/>
            <w:tcMar>
              <w:top w:type="dxa" w:w="80"/>
              <w:left w:type="dxa" w:w="120"/>
              <w:bottom w:type="dxa" w:w="80"/>
              <w:right w:type="dxa" w:w="100"/>
            </w:tcMar>
          </w:tcPr>
          <w:p>
            <w:r>
              <w:rPr>
                <w:rFonts w:ascii="Arial" w:cs="Arial" w:eastAsia="Arial" w:hAnsi="Arial"/>
                <w:b/>
                <w:bCs/>
                <w:color w:val="FFFFFF"/>
                <w:sz w:val="20"/>
                <w:szCs w:val="20"/>
              </w:rPr>
              <w:t xml:space="preserve">Data Behind It</w:t>
            </w:r>
          </w:p>
        </w:tc>
        <w:tc>
          <w:tcPr>
            <w:tcW w:type="dxa" w:w="2660"/>
            <w:tcBorders>
              <w:top w:val="single" w:color="D1D5DB" w:sz="1"/>
              <w:left w:val="single" w:color="D1D5DB" w:sz="1"/>
              <w:bottom w:val="single" w:color="D1D5DB" w:sz="1"/>
              <w:right w:val="single" w:color="D1D5DB" w:sz="1"/>
            </w:tcBorders>
            <w:shd w:fill="0D1F3C" w:val="clear"/>
            <w:tcMar>
              <w:top w:type="dxa" w:w="80"/>
              <w:left w:type="dxa" w:w="120"/>
              <w:bottom w:type="dxa" w:w="80"/>
              <w:right w:type="dxa" w:w="100"/>
            </w:tcMar>
          </w:tcPr>
          <w:p>
            <w:r>
              <w:rPr>
                <w:rFonts w:ascii="Arial" w:cs="Arial" w:eastAsia="Arial" w:hAnsi="Arial"/>
                <w:b/>
                <w:bCs/>
                <w:color w:val="FFFFFF"/>
                <w:sz w:val="20"/>
                <w:szCs w:val="20"/>
              </w:rPr>
              <w:t xml:space="preserve">Core Output</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pPr>
              <w:jc w:val="center"/>
            </w:pPr>
            <w:r>
              <w:rPr>
                <w:rFonts w:ascii="Arial" w:cs="Arial" w:eastAsia="Arial" w:hAnsi="Arial"/>
                <w:b/>
                <w:bCs/>
                <w:color w:val="00ADB5"/>
                <w:sz w:val="21"/>
                <w:szCs w:val="21"/>
              </w:rPr>
              <w:t xml:space="preserve">1</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Arial" w:cs="Arial" w:eastAsia="Arial" w:hAnsi="Arial"/>
                <w:b/>
                <w:bCs/>
                <w:color w:val="1E293B"/>
                <w:sz w:val="20"/>
                <w:szCs w:val="20"/>
              </w:rPr>
              <w:t xml:space="preserve">Protocol Intelligence &amp; Analytics Engine</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Arial" w:cs="Arial" w:eastAsia="Arial" w:hAnsi="Arial"/>
                <w:color w:val="475569"/>
                <w:sz w:val="19"/>
                <w:szCs w:val="19"/>
              </w:rPr>
              <w:t xml:space="preserve">328K+ historical trials (ClinicalTrials.gov, WHO ICTRP, PubMed)</w:t>
            </w:r>
          </w:p>
        </w:tc>
        <w:tc>
          <w:tcPr>
            <w:tcW w:type="dxa" w:w="2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Arial" w:cs="Arial" w:eastAsia="Arial" w:hAnsi="Arial"/>
                <w:color w:val="1E293B"/>
                <w:sz w:val="19"/>
                <w:szCs w:val="19"/>
              </w:rPr>
              <w:t xml:space="preserve">Success probability, timeline estimate, vulnerability flags, site recommendations</w:t>
            </w:r>
          </w:p>
        </w:tc>
      </w:tr>
      <w:tr>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00"/>
            </w:tcMar>
          </w:tcPr>
          <w:p>
            <w:pPr>
              <w:jc w:val="center"/>
            </w:pPr>
            <w:r>
              <w:rPr>
                <w:rFonts w:ascii="Arial" w:cs="Arial" w:eastAsia="Arial" w:hAnsi="Arial"/>
                <w:b/>
                <w:bCs/>
                <w:color w:val="00ADB5"/>
                <w:sz w:val="21"/>
                <w:szCs w:val="21"/>
              </w:rPr>
              <w:t xml:space="preserve">2</w:t>
            </w:r>
          </w:p>
        </w:tc>
        <w:tc>
          <w:tcPr>
            <w:tcW w:type="dxa" w:w="3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00"/>
            </w:tcMar>
          </w:tcPr>
          <w:p>
            <w:r>
              <w:rPr>
                <w:rFonts w:ascii="Arial" w:cs="Arial" w:eastAsia="Arial" w:hAnsi="Arial"/>
                <w:b/>
                <w:bCs/>
                <w:color w:val="1E293B"/>
                <w:sz w:val="20"/>
                <w:szCs w:val="20"/>
              </w:rPr>
              <w:t xml:space="preserve">ClinicalTrials.gov Explorer</w:t>
            </w:r>
          </w:p>
        </w:tc>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00"/>
            </w:tcMar>
          </w:tcPr>
          <w:p>
            <w:r>
              <w:rPr>
                <w:rFonts w:ascii="Arial" w:cs="Arial" w:eastAsia="Arial" w:hAnsi="Arial"/>
                <w:color w:val="475569"/>
                <w:sz w:val="19"/>
                <w:szCs w:val="19"/>
              </w:rPr>
              <w:t xml:space="preserve">556K+ trials fully indexed with AI brief per study</w:t>
            </w:r>
          </w:p>
        </w:tc>
        <w:tc>
          <w:tcPr>
            <w:tcW w:type="dxa" w:w="2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00"/>
            </w:tcMar>
          </w:tcPr>
          <w:p>
            <w:r>
              <w:rPr>
                <w:rFonts w:ascii="Arial" w:cs="Arial" w:eastAsia="Arial" w:hAnsi="Arial"/>
                <w:color w:val="1E293B"/>
                <w:sz w:val="19"/>
                <w:szCs w:val="19"/>
              </w:rPr>
              <w:t xml:space="preserve">Instant search, competitive benchmarking, comparator identification</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pPr>
              <w:jc w:val="center"/>
            </w:pPr>
            <w:r>
              <w:rPr>
                <w:rFonts w:ascii="Arial" w:cs="Arial" w:eastAsia="Arial" w:hAnsi="Arial"/>
                <w:b/>
                <w:bCs/>
                <w:color w:val="00ADB5"/>
                <w:sz w:val="21"/>
                <w:szCs w:val="21"/>
              </w:rPr>
              <w:t xml:space="preserve">3</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Arial" w:cs="Arial" w:eastAsia="Arial" w:hAnsi="Arial"/>
                <w:b/>
                <w:bCs/>
                <w:color w:val="1E293B"/>
                <w:sz w:val="20"/>
                <w:szCs w:val="20"/>
              </w:rPr>
              <w:t xml:space="preserve">Protocol Drafting Engine</w:t>
            </w:r>
          </w:p>
        </w:tc>
        <w:tc>
          <w:tcPr>
            <w:tcW w:type="dxa" w:w="2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Arial" w:cs="Arial" w:eastAsia="Arial" w:hAnsi="Arial"/>
                <w:color w:val="475569"/>
                <w:sz w:val="19"/>
                <w:szCs w:val="19"/>
              </w:rPr>
              <w:t xml:space="preserve">CDISC-aligned structure, Claude AI, internal validation logic</w:t>
            </w:r>
          </w:p>
        </w:tc>
        <w:tc>
          <w:tcPr>
            <w:tcW w:type="dxa" w:w="2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Arial" w:cs="Arial" w:eastAsia="Arial" w:hAnsi="Arial"/>
                <w:color w:val="1E293B"/>
                <w:sz w:val="19"/>
                <w:szCs w:val="19"/>
              </w:rPr>
              <w:t xml:space="preserve">Structured protocol draft with cross-section consistency checks</w:t>
            </w:r>
          </w:p>
        </w:tc>
      </w:tr>
      <w:tr>
        <w:tc>
          <w:tcPr>
            <w:tcW w:type="dxa" w:w="6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00"/>
            </w:tcMar>
          </w:tcPr>
          <w:p>
            <w:pPr>
              <w:jc w:val="center"/>
            </w:pPr>
            <w:r>
              <w:rPr>
                <w:rFonts w:ascii="Arial" w:cs="Arial" w:eastAsia="Arial" w:hAnsi="Arial"/>
                <w:b/>
                <w:bCs/>
                <w:color w:val="00ADB5"/>
                <w:sz w:val="21"/>
                <w:szCs w:val="21"/>
              </w:rPr>
              <w:t xml:space="preserve">4</w:t>
            </w:r>
          </w:p>
        </w:tc>
        <w:tc>
          <w:tcPr>
            <w:tcW w:type="dxa" w:w="34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00"/>
            </w:tcMar>
          </w:tcPr>
          <w:p>
            <w:r>
              <w:rPr>
                <w:rFonts w:ascii="Arial" w:cs="Arial" w:eastAsia="Arial" w:hAnsi="Arial"/>
                <w:b/>
                <w:bCs/>
                <w:color w:val="1E293B"/>
                <w:sz w:val="20"/>
                <w:szCs w:val="20"/>
              </w:rPr>
              <w:t xml:space="preserve">KOL Intelligence Dashboard</w:t>
            </w:r>
          </w:p>
        </w:tc>
        <w:tc>
          <w:tcPr>
            <w:tcW w:type="dxa" w:w="27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00"/>
            </w:tcMar>
          </w:tcPr>
          <w:p>
            <w:r>
              <w:rPr>
                <w:rFonts w:ascii="Arial" w:cs="Arial" w:eastAsia="Arial" w:hAnsi="Arial"/>
                <w:color w:val="475569"/>
                <w:sz w:val="19"/>
                <w:szCs w:val="19"/>
              </w:rPr>
              <w:t xml:space="preserve">PubMed publications, ClinicalTrials.gov participation data</w:t>
            </w:r>
          </w:p>
        </w:tc>
        <w:tc>
          <w:tcPr>
            <w:tcW w:type="dxa" w:w="26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00"/>
            </w:tcMar>
          </w:tcPr>
          <w:p>
            <w:r>
              <w:rPr>
                <w:rFonts w:ascii="Arial" w:cs="Arial" w:eastAsia="Arial" w:hAnsi="Arial"/>
                <w:color w:val="1E293B"/>
                <w:sz w:val="19"/>
                <w:szCs w:val="19"/>
              </w:rPr>
              <w:t xml:space="preserve">Ranked expert list with influence scores — currently oncology only</w:t>
            </w:r>
          </w:p>
        </w:tc>
      </w:tr>
    </w:tbl>
    <w:p>
      <w:pPr>
        <w:spacing w:after="200" w:before="0"/>
      </w:pPr>
    </w:p>
    <w:p>
      <w:pPr>
        <w:pStyle w:val="Heading1"/>
        <w:spacing w:after="160" w:before="360"/>
      </w:pPr>
      <w:r>
        <w:rPr>
          <w:rFonts w:ascii="Arial" w:cs="Arial" w:eastAsia="Arial" w:hAnsi="Arial"/>
          <w:b/>
          <w:bCs/>
          <w:color w:val="0D1F3C"/>
          <w:sz w:val="32"/>
          <w:szCs w:val="32"/>
        </w:rPr>
        <w:t xml:space="preserve">3. The Recommended Pilot Flow</w:t>
      </w:r>
    </w:p>
    <w:p>
      <w:pPr>
        <w:pBdr>
          <w:bottom w:val="single" w:color="E2E8F0" w:sz="4" w:space="1"/>
        </w:pBdr>
        <w:spacing w:after="120" w:before="120"/>
      </w:pPr>
    </w:p>
    <w:p>
      <w:pPr>
        <w:spacing w:after="100" w:before="60"/>
      </w:pPr>
      <w:r>
        <w:rPr>
          <w:rFonts w:ascii="Arial" w:cs="Arial" w:eastAsia="Arial" w:hAnsi="Arial"/>
          <w:b w:val="false"/>
          <w:bCs w:val="false"/>
          <w:i w:val="false"/>
          <w:iCs w:val="false"/>
          <w:color w:val="1E293B"/>
          <w:sz w:val="22"/>
          <w:szCs w:val="22"/>
        </w:rPr>
        <w:t xml:space="preserve">The sequence below is optimized for small biotech as the primary target audience, where reducing burn rate and de-risking the protocol are the dominant concerns. CRO and small pharma variants follow in Section 4.</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00ADB5" w:sz="8"/>
              <w:left w:val="single" w:color="D1D5DB" w:sz="1"/>
              <w:bottom w:val="single" w:color="D1D5DB" w:sz="1"/>
              <w:right w:val="none" w:color="FFFFFF" w:sz="0"/>
            </w:tcBorders>
            <w:shd w:fill="FAFAFA" w:val="clear"/>
            <w:tcMar>
              <w:top w:type="dxa" w:w="120"/>
              <w:left w:type="dxa" w:w="200"/>
              <w:bottom w:type="dxa" w:w="120"/>
              <w:right w:type="dxa" w:w="100"/>
            </w:tcMar>
          </w:tcPr>
          <w:p>
            <w:pPr>
              <w:spacing w:after="40" w:before="0"/>
            </w:pPr>
            <w:r>
              <w:rPr>
                <w:rFonts w:ascii="Arial" w:cs="Arial" w:eastAsia="Arial" w:hAnsi="Arial"/>
                <w:b/>
                <w:bCs/>
                <w:color w:val="00ADB5"/>
                <w:sz w:val="18"/>
                <w:szCs w:val="18"/>
              </w:rPr>
              <w:t xml:space="preserve">STEP 1  </w:t>
            </w:r>
            <w:r>
              <w:rPr>
                <w:rFonts w:ascii="Arial" w:cs="Arial" w:eastAsia="Arial" w:hAnsi="Arial"/>
                <w:b/>
                <w:bCs/>
                <w:color w:val="475569"/>
                <w:sz w:val="18"/>
                <w:szCs w:val="18"/>
              </w:rPr>
              <w:t xml:space="preserve">ANALYZE</w:t>
            </w:r>
          </w:p>
          <w:p>
            <w:pPr>
              <w:spacing w:after="0" w:before="0"/>
            </w:pPr>
            <w:r>
              <w:rPr>
                <w:rFonts w:ascii="Arial" w:cs="Arial" w:eastAsia="Arial" w:hAnsi="Arial"/>
                <w:b/>
                <w:bCs/>
                <w:color w:val="0D1F3C"/>
                <w:sz w:val="26"/>
                <w:szCs w:val="26"/>
              </w:rPr>
              <w:t xml:space="preserve">Protocol Intelligence &amp; Analytics Engine</w:t>
            </w:r>
          </w:p>
        </w:tc>
        <w:tc>
          <w:tcPr>
            <w:tcW w:type="dxa" w:w="2560"/>
            <w:tcBorders>
              <w:top w:val="single" w:color="00ADB5" w:sz="8"/>
              <w:left w:val="none" w:color="FFFFFF" w:sz="0"/>
              <w:bottom w:val="single" w:color="D1D5DB" w:sz="1"/>
              <w:right w:val="single" w:color="D1D5DB" w:sz="1"/>
            </w:tcBorders>
            <w:shd w:fill="FAFAFA" w:val="clear"/>
            <w:tcMar>
              <w:top w:type="dxa" w:w="120"/>
              <w:left w:type="dxa" w:w="100"/>
              <w:bottom w:type="dxa" w:w="120"/>
              <w:right w:type="dxa" w:w="200"/>
            </w:tcMar>
            <w:vAlign w:val="center"/>
          </w:tcPr>
          <w:p>
            <w:pPr>
              <w:spacing w:after="40" w:before="0"/>
              <w:jc w:val="right"/>
            </w:pPr>
            <w:r>
              <w:rPr>
                <w:rFonts w:ascii="Arial" w:cs="Arial" w:eastAsia="Arial" w:hAnsi="Arial"/>
                <w:b/>
                <w:bCs/>
                <w:color w:val="00ADB5"/>
                <w:sz w:val="17"/>
                <w:szCs w:val="17"/>
              </w:rPr>
              <w:t xml:space="preserve">LIVE · ML-Powered</w:t>
            </w:r>
          </w:p>
          <w:p>
            <w:pPr>
              <w:spacing w:after="0" w:before="0"/>
              <w:jc w:val="right"/>
            </w:pPr>
            <w:r>
              <w:rPr>
                <w:rFonts w:ascii="Arial" w:cs="Arial" w:eastAsia="Arial" w:hAnsi="Arial"/>
                <w:color w:val="475569"/>
                <w:sz w:val="18"/>
                <w:szCs w:val="18"/>
              </w:rPr>
              <w:t xml:space="preserve">⏱ 3–7 min</w:t>
            </w:r>
          </w:p>
        </w:tc>
      </w:tr>
    </w:tbl>
    <w:p>
      <w:pPr>
        <w:spacing w:after="60" w:before="0"/>
      </w:pPr>
    </w:p>
    <w:p>
      <w:pPr>
        <w:spacing w:after="100" w:before="60"/>
      </w:pPr>
      <w:r>
        <w:rPr>
          <w:rFonts w:ascii="Arial" w:cs="Arial" w:eastAsia="Arial" w:hAnsi="Arial"/>
          <w:b w:val="false"/>
          <w:bCs w:val="false"/>
          <w:i w:val="false"/>
          <w:iCs w:val="false"/>
          <w:color w:val="1E293B"/>
          <w:sz w:val="22"/>
          <w:szCs w:val="22"/>
        </w:rPr>
        <w:t xml:space="preserve">This is the entry point for all three audience segments but most critical for small biotech. The prospect uploads a protocol — any stage, even a rough draft — and receives a multi-layer AI analysis benchmarked against 328,000+ historical trials.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D1D5DB" w:sz="1"/>
              <w:left w:val="single" w:color="D1D5DB" w:sz="1"/>
              <w:bottom w:val="single" w:color="D1D5DB" w:sz="1"/>
              <w:right w:val="single" w:color="D1D5DB" w:sz="1"/>
            </w:tcBorders>
            <w:shd w:fill="F1FFFE" w:val="clear"/>
            <w:tcMar>
              <w:top w:type="dxa" w:w="100"/>
              <w:left w:type="dxa" w:w="160"/>
              <w:bottom w:type="dxa" w:w="100"/>
              <w:right w:type="dxa" w:w="120"/>
            </w:tcMar>
          </w:tcPr>
          <w:p>
            <w:pPr>
              <w:spacing w:after="80" w:before="0"/>
            </w:pPr>
            <w:r>
              <w:rPr>
                <w:rFonts w:ascii="Arial" w:cs="Arial" w:eastAsia="Arial" w:hAnsi="Arial"/>
                <w:b/>
                <w:bCs/>
                <w:color w:val="007A75"/>
                <w:sz w:val="19"/>
                <w:szCs w:val="19"/>
              </w:rPr>
              <w:t xml:space="preserve">What the prospect brings</w:t>
            </w:r>
          </w:p>
          <w:p>
            <w:pPr>
              <w:pStyle w:val="ListParagraph"/>
              <w:numPr>
                <w:ilvl w:val="0"/>
                <w:numId w:val="2"/>
              </w:numPr>
              <w:spacing w:after="30" w:before="30"/>
              <w:ind w:left="540" w:hanging="360"/>
            </w:pPr>
            <w:r>
              <w:rPr>
                <w:rFonts w:ascii="Arial" w:cs="Arial" w:eastAsia="Arial" w:hAnsi="Arial"/>
                <w:color w:val="1E293B"/>
                <w:sz w:val="20"/>
                <w:szCs w:val="20"/>
              </w:rPr>
              <w:t xml:space="preserve">A clinical protocol in PDF or DOCX format</w:t>
            </w:r>
          </w:p>
          <w:p>
            <w:pPr>
              <w:pStyle w:val="ListParagraph"/>
              <w:numPr>
                <w:ilvl w:val="0"/>
                <w:numId w:val="2"/>
              </w:numPr>
              <w:spacing w:after="30" w:before="30"/>
              <w:ind w:left="540" w:hanging="360"/>
            </w:pPr>
            <w:r>
              <w:rPr>
                <w:rFonts w:ascii="Arial" w:cs="Arial" w:eastAsia="Arial" w:hAnsi="Arial"/>
                <w:color w:val="1E293B"/>
                <w:sz w:val="20"/>
                <w:szCs w:val="20"/>
              </w:rPr>
              <w:t xml:space="preserve">Can be early-stage, partial, or complete</w:t>
            </w:r>
          </w:p>
          <w:p>
            <w:pPr>
              <w:pStyle w:val="ListParagraph"/>
              <w:numPr>
                <w:ilvl w:val="0"/>
                <w:numId w:val="2"/>
              </w:numPr>
              <w:spacing w:after="30" w:before="30"/>
              <w:ind w:left="540" w:hanging="360"/>
            </w:pPr>
            <w:r>
              <w:rPr>
                <w:rFonts w:ascii="Arial" w:cs="Arial" w:eastAsia="Arial" w:hAnsi="Arial"/>
                <w:color w:val="1E293B"/>
                <w:sz w:val="20"/>
                <w:szCs w:val="20"/>
              </w:rPr>
              <w:t xml:space="preserve">No formatting requirements</w:t>
            </w:r>
          </w:p>
        </w:tc>
        <w:tc>
          <w:tcPr>
            <w:tcW w:type="dxa" w:w="4740"/>
            <w:tcBorders>
              <w:top w:val="single" w:color="D1D5DB" w:sz="1"/>
              <w:left w:val="single" w:color="D1D5DB" w:sz="1"/>
              <w:bottom w:val="single" w:color="D1D5DB" w:sz="1"/>
              <w:right w:val="single" w:color="D1D5DB" w:sz="1"/>
            </w:tcBorders>
            <w:shd w:fill="F0F9FF" w:val="clear"/>
            <w:tcMar>
              <w:top w:type="dxa" w:w="100"/>
              <w:left w:type="dxa" w:w="160"/>
              <w:bottom w:type="dxa" w:w="100"/>
              <w:right w:type="dxa" w:w="120"/>
            </w:tcMar>
          </w:tcPr>
          <w:p>
            <w:pPr>
              <w:spacing w:after="80" w:before="0"/>
            </w:pPr>
            <w:r>
              <w:rPr>
                <w:rFonts w:ascii="Arial" w:cs="Arial" w:eastAsia="Arial" w:hAnsi="Arial"/>
                <w:b/>
                <w:bCs/>
                <w:color w:val="1D4ED8"/>
                <w:sz w:val="19"/>
                <w:szCs w:val="19"/>
              </w:rPr>
              <w:t xml:space="preserve">What they take away</w:t>
            </w:r>
          </w:p>
          <w:p>
            <w:pPr>
              <w:pStyle w:val="ListParagraph"/>
              <w:numPr>
                <w:ilvl w:val="0"/>
                <w:numId w:val="2"/>
              </w:numPr>
              <w:spacing w:after="30" w:before="30"/>
              <w:ind w:left="540" w:hanging="360"/>
            </w:pPr>
            <w:r>
              <w:rPr>
                <w:rFonts w:ascii="Arial" w:cs="Arial" w:eastAsia="Arial" w:hAnsi="Arial"/>
                <w:color w:val="1E293B"/>
                <w:sz w:val="20"/>
                <w:szCs w:val="20"/>
              </w:rPr>
              <w:t xml:space="preserve">ML success probability score with phase-benchmarked baseline</w:t>
            </w:r>
          </w:p>
          <w:p>
            <w:pPr>
              <w:pStyle w:val="ListParagraph"/>
              <w:numPr>
                <w:ilvl w:val="0"/>
                <w:numId w:val="2"/>
              </w:numPr>
              <w:spacing w:after="30" w:before="30"/>
              <w:ind w:left="540" w:hanging="360"/>
            </w:pPr>
            <w:r>
              <w:rPr>
                <w:rFonts w:ascii="Arial" w:cs="Arial" w:eastAsia="Arial" w:hAnsi="Arial"/>
                <w:color w:val="1E293B"/>
                <w:sz w:val="20"/>
                <w:szCs w:val="20"/>
              </w:rPr>
              <w:t xml:space="preserve">Estimated trial duration based on similar historical studies</w:t>
            </w:r>
          </w:p>
          <w:p>
            <w:pPr>
              <w:pStyle w:val="ListParagraph"/>
              <w:numPr>
                <w:ilvl w:val="0"/>
                <w:numId w:val="2"/>
              </w:numPr>
              <w:spacing w:after="30" w:before="30"/>
              <w:ind w:left="540" w:hanging="360"/>
            </w:pPr>
            <w:r>
              <w:rPr>
                <w:rFonts w:ascii="Arial" w:cs="Arial" w:eastAsia="Arial" w:hAnsi="Arial"/>
                <w:color w:val="1E293B"/>
                <w:sz w:val="20"/>
                <w:szCs w:val="20"/>
              </w:rPr>
              <w:t xml:space="preserve">3–4 design strengths identified with source references</w:t>
            </w:r>
          </w:p>
          <w:p>
            <w:pPr>
              <w:pStyle w:val="ListParagraph"/>
              <w:numPr>
                <w:ilvl w:val="0"/>
                <w:numId w:val="2"/>
              </w:numPr>
              <w:spacing w:after="30" w:before="30"/>
              <w:ind w:left="540" w:hanging="360"/>
            </w:pPr>
            <w:r>
              <w:rPr>
                <w:rFonts w:ascii="Arial" w:cs="Arial" w:eastAsia="Arial" w:hAnsi="Arial"/>
                <w:color w:val="1E293B"/>
                <w:sz w:val="20"/>
                <w:szCs w:val="20"/>
              </w:rPr>
              <w:t xml:space="preserve">Protocol vulnerability flags: eligibility gaps, dropout risk, safety monitoring gaps</w:t>
            </w:r>
          </w:p>
          <w:p>
            <w:pPr>
              <w:pStyle w:val="ListParagraph"/>
              <w:numPr>
                <w:ilvl w:val="0"/>
                <w:numId w:val="2"/>
              </w:numPr>
              <w:spacing w:after="30" w:before="30"/>
              <w:ind w:left="540" w:hanging="360"/>
            </w:pPr>
            <w:r>
              <w:rPr>
                <w:rFonts w:ascii="Arial" w:cs="Arial" w:eastAsia="Arial" w:hAnsi="Arial"/>
                <w:color w:val="1E293B"/>
                <w:sz w:val="20"/>
                <w:szCs w:val="20"/>
              </w:rPr>
              <w:t xml:space="preserve">Commercial &amp; market size context for the therapeutic area</w:t>
            </w:r>
          </w:p>
          <w:p>
            <w:pPr>
              <w:pStyle w:val="ListParagraph"/>
              <w:numPr>
                <w:ilvl w:val="0"/>
                <w:numId w:val="2"/>
              </w:numPr>
              <w:spacing w:after="30" w:before="30"/>
              <w:ind w:left="540" w:hanging="360"/>
            </w:pPr>
            <w:r>
              <w:rPr>
                <w:rFonts w:ascii="Arial" w:cs="Arial" w:eastAsia="Arial" w:hAnsi="Arial"/>
                <w:color w:val="1E293B"/>
                <w:sz w:val="20"/>
                <w:szCs w:val="20"/>
              </w:rPr>
              <w:t xml:space="preserve">Recruitment strategy and regional timeline estimates</w:t>
            </w:r>
          </w:p>
          <w:p>
            <w:pPr>
              <w:pStyle w:val="ListParagraph"/>
              <w:numPr>
                <w:ilvl w:val="0"/>
                <w:numId w:val="2"/>
              </w:numPr>
              <w:spacing w:after="30" w:before="30"/>
              <w:ind w:left="540" w:hanging="360"/>
            </w:pPr>
            <w:r>
              <w:rPr>
                <w:rFonts w:ascii="Arial" w:cs="Arial" w:eastAsia="Arial" w:hAnsi="Arial"/>
                <w:color w:val="1E293B"/>
                <w:sz w:val="20"/>
                <w:szCs w:val="20"/>
              </w:rPr>
              <w:t xml:space="preserve">3–5 matched historical comparator trials with key parameters</w:t>
            </w:r>
          </w:p>
          <w:p>
            <w:pPr>
              <w:pStyle w:val="ListParagraph"/>
              <w:numPr>
                <w:ilvl w:val="0"/>
                <w:numId w:val="2"/>
              </w:numPr>
              <w:spacing w:after="30" w:before="30"/>
              <w:ind w:left="540" w:hanging="360"/>
            </w:pPr>
            <w:r>
              <w:rPr>
                <w:rFonts w:ascii="Arial" w:cs="Arial" w:eastAsia="Arial" w:hAnsi="Arial"/>
                <w:color w:val="1E293B"/>
                <w:sz w:val="20"/>
                <w:szCs w:val="20"/>
              </w:rPr>
              <w:t xml:space="preserve">Ranked site recommendations by region, enrollment rate, and performance score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DB5" w:sz="6"/>
              <w:left w:val="single" w:color="00ADB5" w:sz="6"/>
              <w:bottom w:val="single" w:color="D1D5DB" w:sz="1"/>
              <w:right w:val="single" w:color="D1D5DB" w:sz="1"/>
            </w:tcBorders>
            <w:shd w:fill="E6FFFE" w:val="clear"/>
            <w:tcMar>
              <w:top w:type="dxa" w:w="140"/>
              <w:left w:type="dxa" w:w="200"/>
              <w:bottom w:type="dxa" w:w="140"/>
              <w:right w:type="dxa" w:w="200"/>
            </w:tcMar>
          </w:tcPr>
          <w:p>
            <w:pPr>
              <w:spacing w:after="60" w:before="0"/>
            </w:pPr>
            <w:r>
              <w:rPr>
                <w:rFonts w:ascii="Arial" w:cs="Arial" w:eastAsia="Arial" w:hAnsi="Arial"/>
                <w:b/>
                <w:bCs/>
                <w:color w:val="007A75"/>
                <w:sz w:val="20"/>
                <w:szCs w:val="20"/>
              </w:rPr>
              <w:t xml:space="preserve">Why this comes first for small biotech</w:t>
            </w:r>
          </w:p>
          <w:p>
            <w:pPr>
              <w:spacing w:after="0" w:before="0"/>
            </w:pPr>
            <w:r>
              <w:rPr>
                <w:rFonts w:ascii="Arial" w:cs="Arial" w:eastAsia="Arial" w:hAnsi="Arial"/>
                <w:color w:val="1E293B"/>
                <w:sz w:val="21"/>
                <w:szCs w:val="21"/>
              </w:rPr>
              <w:t xml:space="preserve">A small biotech CEO or VP Clinical sitting across from you is thinking about one thing: how much will it cost if this fails? The Protocol Analytics Engine answers that question with data — a success probability score, a list of vulnerabilities, and a comparison to similar trials. Before they spend another dollar on site selection or patient recruitment, they now have an AI-generated risk profile. That is the value hook.</w:t>
            </w:r>
          </w:p>
        </w:tc>
      </w:tr>
    </w:tbl>
    <w:p>
      <w:pPr>
        <w:spacing w:after="60" w:before="0"/>
      </w:pPr>
    </w:p>
    <w:p>
      <w:pPr>
        <w:spacing w:after="100" w:before="60"/>
      </w:pPr>
      <w:r>
        <w:rPr>
          <w:rFonts w:ascii="Arial" w:cs="Arial" w:eastAsia="Arial" w:hAnsi="Arial"/>
          <w:b/>
          <w:bCs/>
          <w:i w:val="false"/>
          <w:iCs w:val="false"/>
          <w:color w:val="1E293B"/>
          <w:sz w:val="22"/>
          <w:szCs w:val="22"/>
        </w:rPr>
        <w:t xml:space="preserve">Cost framing for this step:</w:t>
      </w:r>
    </w:p>
    <w:p>
      <w:pPr>
        <w:pStyle w:val="ListParagraph"/>
        <w:numPr>
          <w:ilvl w:val="0"/>
          <w:numId w:val="2"/>
        </w:numPr>
        <w:spacing w:after="40" w:before="40"/>
        <w:ind w:left="720" w:hanging="360"/>
      </w:pPr>
      <w:r>
        <w:rPr>
          <w:rFonts w:ascii="Arial" w:cs="Arial" w:eastAsia="Arial" w:hAnsi="Arial"/>
          <w:b w:val="false"/>
          <w:bCs w:val="false"/>
          <w:color w:val="1E293B"/>
          <w:sz w:val="22"/>
          <w:szCs w:val="22"/>
        </w:rPr>
        <w:t xml:space="preserve">One protocol amendment costs $500K–$2M and adds 2–4 months to the timeline</w:t>
      </w:r>
    </w:p>
    <w:p>
      <w:pPr>
        <w:pStyle w:val="ListParagraph"/>
        <w:numPr>
          <w:ilvl w:val="0"/>
          <w:numId w:val="2"/>
        </w:numPr>
        <w:spacing w:after="40" w:before="40"/>
        <w:ind w:left="720" w:hanging="360"/>
      </w:pPr>
      <w:r>
        <w:rPr>
          <w:rFonts w:ascii="Arial" w:cs="Arial" w:eastAsia="Arial" w:hAnsi="Arial"/>
          <w:b w:val="false"/>
          <w:bCs w:val="false"/>
          <w:color w:val="1E293B"/>
          <w:sz w:val="22"/>
          <w:szCs w:val="22"/>
        </w:rPr>
        <w:t xml:space="preserve">The analysis takes 3–7 minutes and surfaces those risks before they become amendments</w:t>
      </w:r>
    </w:p>
    <w:p>
      <w:pPr>
        <w:pStyle w:val="ListParagraph"/>
        <w:numPr>
          <w:ilvl w:val="0"/>
          <w:numId w:val="2"/>
        </w:numPr>
        <w:spacing w:after="40" w:before="40"/>
        <w:ind w:left="720" w:hanging="360"/>
      </w:pPr>
      <w:r>
        <w:rPr>
          <w:rFonts w:ascii="Arial" w:cs="Arial" w:eastAsia="Arial" w:hAnsi="Arial"/>
          <w:b w:val="false"/>
          <w:bCs w:val="false"/>
          <w:color w:val="1E293B"/>
          <w:sz w:val="22"/>
          <w:szCs w:val="22"/>
        </w:rPr>
        <w:t xml:space="preserve">Even catching one amendment vulnerability justifies the entire pilot</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1D4ED8" w:sz="8"/>
              <w:left w:val="single" w:color="D1D5DB" w:sz="1"/>
              <w:bottom w:val="single" w:color="D1D5DB" w:sz="1"/>
              <w:right w:val="none" w:color="FFFFFF" w:sz="0"/>
            </w:tcBorders>
            <w:shd w:fill="FAFAFA" w:val="clear"/>
            <w:tcMar>
              <w:top w:type="dxa" w:w="120"/>
              <w:left w:type="dxa" w:w="200"/>
              <w:bottom w:type="dxa" w:w="120"/>
              <w:right w:type="dxa" w:w="100"/>
            </w:tcMar>
          </w:tcPr>
          <w:p>
            <w:pPr>
              <w:spacing w:after="40" w:before="0"/>
            </w:pPr>
            <w:r>
              <w:rPr>
                <w:rFonts w:ascii="Arial" w:cs="Arial" w:eastAsia="Arial" w:hAnsi="Arial"/>
                <w:b/>
                <w:bCs/>
                <w:color w:val="1D4ED8"/>
                <w:sz w:val="18"/>
                <w:szCs w:val="18"/>
              </w:rPr>
              <w:t xml:space="preserve">STEP 2  </w:t>
            </w:r>
            <w:r>
              <w:rPr>
                <w:rFonts w:ascii="Arial" w:cs="Arial" w:eastAsia="Arial" w:hAnsi="Arial"/>
                <w:b/>
                <w:bCs/>
                <w:color w:val="475569"/>
                <w:sz w:val="18"/>
                <w:szCs w:val="18"/>
              </w:rPr>
              <w:t xml:space="preserve">BENCHMARK</w:t>
            </w:r>
          </w:p>
          <w:p>
            <w:pPr>
              <w:spacing w:after="0" w:before="0"/>
            </w:pPr>
            <w:r>
              <w:rPr>
                <w:rFonts w:ascii="Arial" w:cs="Arial" w:eastAsia="Arial" w:hAnsi="Arial"/>
                <w:b/>
                <w:bCs/>
                <w:color w:val="0D1F3C"/>
                <w:sz w:val="26"/>
                <w:szCs w:val="26"/>
              </w:rPr>
              <w:t xml:space="preserve">ClinicalTrials.gov Explorer</w:t>
            </w:r>
          </w:p>
        </w:tc>
        <w:tc>
          <w:tcPr>
            <w:tcW w:type="dxa" w:w="2560"/>
            <w:tcBorders>
              <w:top w:val="single" w:color="1D4ED8" w:sz="8"/>
              <w:left w:val="none" w:color="FFFFFF" w:sz="0"/>
              <w:bottom w:val="single" w:color="D1D5DB" w:sz="1"/>
              <w:right w:val="single" w:color="D1D5DB" w:sz="1"/>
            </w:tcBorders>
            <w:shd w:fill="FAFAFA" w:val="clear"/>
            <w:tcMar>
              <w:top w:type="dxa" w:w="120"/>
              <w:left w:type="dxa" w:w="100"/>
              <w:bottom w:type="dxa" w:w="120"/>
              <w:right w:type="dxa" w:w="200"/>
            </w:tcMar>
            <w:vAlign w:val="center"/>
          </w:tcPr>
          <w:p>
            <w:pPr>
              <w:spacing w:after="40" w:before="0"/>
              <w:jc w:val="right"/>
            </w:pPr>
            <w:r>
              <w:rPr>
                <w:rFonts w:ascii="Arial" w:cs="Arial" w:eastAsia="Arial" w:hAnsi="Arial"/>
                <w:b/>
                <w:bCs/>
                <w:color w:val="1D4ED8"/>
                <w:sz w:val="17"/>
                <w:szCs w:val="17"/>
              </w:rPr>
              <w:t xml:space="preserve">LIVE · 556K Trials</w:t>
            </w:r>
          </w:p>
          <w:p>
            <w:pPr>
              <w:spacing w:after="0" w:before="0"/>
              <w:jc w:val="right"/>
            </w:pPr>
            <w:r>
              <w:rPr>
                <w:rFonts w:ascii="Arial" w:cs="Arial" w:eastAsia="Arial" w:hAnsi="Arial"/>
                <w:color w:val="475569"/>
                <w:sz w:val="18"/>
                <w:szCs w:val="18"/>
              </w:rPr>
              <w:t xml:space="preserve">⏱ Instant</w:t>
            </w:r>
          </w:p>
        </w:tc>
      </w:tr>
    </w:tbl>
    <w:p>
      <w:pPr>
        <w:spacing w:after="60" w:before="0"/>
      </w:pPr>
    </w:p>
    <w:p>
      <w:pPr>
        <w:spacing w:after="100" w:before="60"/>
      </w:pPr>
      <w:r>
        <w:rPr>
          <w:rFonts w:ascii="Arial" w:cs="Arial" w:eastAsia="Arial" w:hAnsi="Arial"/>
          <w:b w:val="false"/>
          <w:bCs w:val="false"/>
          <w:i w:val="false"/>
          <w:iCs w:val="false"/>
          <w:color w:val="1E293B"/>
          <w:sz w:val="22"/>
          <w:szCs w:val="22"/>
        </w:rPr>
        <w:t xml:space="preserve">After seeing their own protocol's risk profile, the natural next question is: how do similar trials actually perform? The Trial Explorer lets them search the entire ClinicalTrials.gov database — 556,000 studies — with an AI brief surfaced per trial.</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D1D5DB" w:sz="1"/>
              <w:left w:val="single" w:color="D1D5DB" w:sz="1"/>
              <w:bottom w:val="single" w:color="D1D5DB" w:sz="1"/>
              <w:right w:val="single" w:color="D1D5DB" w:sz="1"/>
            </w:tcBorders>
            <w:shd w:fill="F1FFFE" w:val="clear"/>
            <w:tcMar>
              <w:top w:type="dxa" w:w="100"/>
              <w:left w:type="dxa" w:w="160"/>
              <w:bottom w:type="dxa" w:w="100"/>
              <w:right w:type="dxa" w:w="120"/>
            </w:tcMar>
          </w:tcPr>
          <w:p>
            <w:pPr>
              <w:spacing w:after="80" w:before="0"/>
            </w:pPr>
            <w:r>
              <w:rPr>
                <w:rFonts w:ascii="Arial" w:cs="Arial" w:eastAsia="Arial" w:hAnsi="Arial"/>
                <w:b/>
                <w:bCs/>
                <w:color w:val="007A75"/>
                <w:sz w:val="19"/>
                <w:szCs w:val="19"/>
              </w:rPr>
              <w:t xml:space="preserve">What the prospect brings</w:t>
            </w:r>
          </w:p>
          <w:p>
            <w:pPr>
              <w:pStyle w:val="ListParagraph"/>
              <w:numPr>
                <w:ilvl w:val="0"/>
                <w:numId w:val="2"/>
              </w:numPr>
              <w:spacing w:after="30" w:before="30"/>
              <w:ind w:left="540" w:hanging="360"/>
            </w:pPr>
            <w:r>
              <w:rPr>
                <w:rFonts w:ascii="Arial" w:cs="Arial" w:eastAsia="Arial" w:hAnsi="Arial"/>
                <w:color w:val="1E293B"/>
                <w:sz w:val="20"/>
                <w:szCs w:val="20"/>
              </w:rPr>
              <w:t xml:space="preserve">A keyword, drug name, or NCT number</w:t>
            </w:r>
          </w:p>
          <w:p>
            <w:pPr>
              <w:pStyle w:val="ListParagraph"/>
              <w:numPr>
                <w:ilvl w:val="0"/>
                <w:numId w:val="2"/>
              </w:numPr>
              <w:spacing w:after="30" w:before="30"/>
              <w:ind w:left="540" w:hanging="360"/>
            </w:pPr>
            <w:r>
              <w:rPr>
                <w:rFonts w:ascii="Arial" w:cs="Arial" w:eastAsia="Arial" w:hAnsi="Arial"/>
                <w:color w:val="1E293B"/>
                <w:sz w:val="20"/>
                <w:szCs w:val="20"/>
              </w:rPr>
              <w:t xml:space="preserve">Can come directly from the Step 1 comparator list</w:t>
            </w:r>
          </w:p>
        </w:tc>
        <w:tc>
          <w:tcPr>
            <w:tcW w:type="dxa" w:w="4740"/>
            <w:tcBorders>
              <w:top w:val="single" w:color="D1D5DB" w:sz="1"/>
              <w:left w:val="single" w:color="D1D5DB" w:sz="1"/>
              <w:bottom w:val="single" w:color="D1D5DB" w:sz="1"/>
              <w:right w:val="single" w:color="D1D5DB" w:sz="1"/>
            </w:tcBorders>
            <w:shd w:fill="F0F9FF" w:val="clear"/>
            <w:tcMar>
              <w:top w:type="dxa" w:w="100"/>
              <w:left w:type="dxa" w:w="160"/>
              <w:bottom w:type="dxa" w:w="100"/>
              <w:right w:type="dxa" w:w="120"/>
            </w:tcMar>
          </w:tcPr>
          <w:p>
            <w:pPr>
              <w:spacing w:after="80" w:before="0"/>
            </w:pPr>
            <w:r>
              <w:rPr>
                <w:rFonts w:ascii="Arial" w:cs="Arial" w:eastAsia="Arial" w:hAnsi="Arial"/>
                <w:b/>
                <w:bCs/>
                <w:color w:val="1D4ED8"/>
                <w:sz w:val="19"/>
                <w:szCs w:val="19"/>
              </w:rPr>
              <w:t xml:space="preserve">What they take away</w:t>
            </w:r>
          </w:p>
          <w:p>
            <w:pPr>
              <w:pStyle w:val="ListParagraph"/>
              <w:numPr>
                <w:ilvl w:val="0"/>
                <w:numId w:val="2"/>
              </w:numPr>
              <w:spacing w:after="30" w:before="30"/>
              <w:ind w:left="540" w:hanging="360"/>
            </w:pPr>
            <w:r>
              <w:rPr>
                <w:rFonts w:ascii="Arial" w:cs="Arial" w:eastAsia="Arial" w:hAnsi="Arial"/>
                <w:color w:val="1E293B"/>
                <w:sz w:val="20"/>
                <w:szCs w:val="20"/>
              </w:rPr>
              <w:t xml:space="preserve">Real enrollment numbers from comparable studies</w:t>
            </w:r>
          </w:p>
          <w:p>
            <w:pPr>
              <w:pStyle w:val="ListParagraph"/>
              <w:numPr>
                <w:ilvl w:val="0"/>
                <w:numId w:val="2"/>
              </w:numPr>
              <w:spacing w:after="30" w:before="30"/>
              <w:ind w:left="540" w:hanging="360"/>
            </w:pPr>
            <w:r>
              <w:rPr>
                <w:rFonts w:ascii="Arial" w:cs="Arial" w:eastAsia="Arial" w:hAnsi="Arial"/>
                <w:color w:val="1E293B"/>
                <w:sz w:val="20"/>
                <w:szCs w:val="20"/>
              </w:rPr>
              <w:t xml:space="preserve">Phase, status, duration of matched trials</w:t>
            </w:r>
          </w:p>
          <w:p>
            <w:pPr>
              <w:pStyle w:val="ListParagraph"/>
              <w:numPr>
                <w:ilvl w:val="0"/>
                <w:numId w:val="2"/>
              </w:numPr>
              <w:spacing w:after="30" w:before="30"/>
              <w:ind w:left="540" w:hanging="360"/>
            </w:pPr>
            <w:r>
              <w:rPr>
                <w:rFonts w:ascii="Arial" w:cs="Arial" w:eastAsia="Arial" w:hAnsi="Arial"/>
                <w:color w:val="1E293B"/>
                <w:sz w:val="20"/>
                <w:szCs w:val="20"/>
              </w:rPr>
              <w:t xml:space="preserve">Competitive landscape visibility — who else is running similar studies</w:t>
            </w:r>
          </w:p>
          <w:p>
            <w:pPr>
              <w:pStyle w:val="ListParagraph"/>
              <w:numPr>
                <w:ilvl w:val="0"/>
                <w:numId w:val="2"/>
              </w:numPr>
              <w:spacing w:after="30" w:before="30"/>
              <w:ind w:left="540" w:hanging="360"/>
            </w:pPr>
            <w:r>
              <w:rPr>
                <w:rFonts w:ascii="Arial" w:cs="Arial" w:eastAsia="Arial" w:hAnsi="Arial"/>
                <w:color w:val="1E293B"/>
                <w:sz w:val="20"/>
                <w:szCs w:val="20"/>
              </w:rPr>
              <w:t xml:space="preserve">Failure patterns from terminated or completed trials in the same space</w:t>
            </w:r>
          </w:p>
          <w:p>
            <w:pPr>
              <w:pStyle w:val="ListParagraph"/>
              <w:numPr>
                <w:ilvl w:val="0"/>
                <w:numId w:val="2"/>
              </w:numPr>
              <w:spacing w:after="30" w:before="30"/>
              <w:ind w:left="540" w:hanging="360"/>
            </w:pPr>
            <w:r>
              <w:rPr>
                <w:rFonts w:ascii="Arial" w:cs="Arial" w:eastAsia="Arial" w:hAnsi="Arial"/>
                <w:color w:val="1E293B"/>
                <w:sz w:val="20"/>
                <w:szCs w:val="20"/>
              </w:rPr>
              <w:t xml:space="preserve">Evidence base to support or challenge their own design assumptions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DB5" w:sz="6"/>
              <w:left w:val="single" w:color="00ADB5" w:sz="6"/>
              <w:bottom w:val="single" w:color="D1D5DB" w:sz="1"/>
              <w:right w:val="single" w:color="D1D5DB" w:sz="1"/>
            </w:tcBorders>
            <w:shd w:fill="E6FFFE" w:val="clear"/>
            <w:tcMar>
              <w:top w:type="dxa" w:w="140"/>
              <w:left w:type="dxa" w:w="200"/>
              <w:bottom w:type="dxa" w:w="140"/>
              <w:right w:type="dxa" w:w="200"/>
            </w:tcMar>
          </w:tcPr>
          <w:p>
            <w:pPr>
              <w:spacing w:after="60" w:before="0"/>
            </w:pPr>
            <w:r>
              <w:rPr>
                <w:rFonts w:ascii="Arial" w:cs="Arial" w:eastAsia="Arial" w:hAnsi="Arial"/>
                <w:b/>
                <w:bCs/>
                <w:color w:val="007A75"/>
                <w:sz w:val="20"/>
                <w:szCs w:val="20"/>
              </w:rPr>
              <w:t xml:space="preserve">Why this matters for cost-conscious biotechs</w:t>
            </w:r>
          </w:p>
          <w:p>
            <w:pPr>
              <w:spacing w:after="0" w:before="0"/>
            </w:pPr>
            <w:r>
              <w:rPr>
                <w:rFonts w:ascii="Arial" w:cs="Arial" w:eastAsia="Arial" w:hAnsi="Arial"/>
                <w:color w:val="1E293B"/>
                <w:sz w:val="21"/>
                <w:szCs w:val="21"/>
              </w:rPr>
              <w:t xml:space="preserve">Many small biotechs design protocols in relative isolation. They may reference 2–3 papers but have no visibility into the 50 trials that ran in their therapeutic area — including the ones that failed enrollment and why. The Trial Explorer surfaces this context instantly. It reframes risk as something that can be anticipated rather than discovered at $80K per day.</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059669" w:sz="8"/>
              <w:left w:val="single" w:color="D1D5DB" w:sz="1"/>
              <w:bottom w:val="single" w:color="D1D5DB" w:sz="1"/>
              <w:right w:val="none" w:color="FFFFFF" w:sz="0"/>
            </w:tcBorders>
            <w:shd w:fill="FAFAFA" w:val="clear"/>
            <w:tcMar>
              <w:top w:type="dxa" w:w="120"/>
              <w:left w:type="dxa" w:w="200"/>
              <w:bottom w:type="dxa" w:w="120"/>
              <w:right w:type="dxa" w:w="100"/>
            </w:tcMar>
          </w:tcPr>
          <w:p>
            <w:pPr>
              <w:spacing w:after="40" w:before="0"/>
            </w:pPr>
            <w:r>
              <w:rPr>
                <w:rFonts w:ascii="Arial" w:cs="Arial" w:eastAsia="Arial" w:hAnsi="Arial"/>
                <w:b/>
                <w:bCs/>
                <w:color w:val="059669"/>
                <w:sz w:val="18"/>
                <w:szCs w:val="18"/>
              </w:rPr>
              <w:t xml:space="preserve">STEP 3  </w:t>
            </w:r>
            <w:r>
              <w:rPr>
                <w:rFonts w:ascii="Arial" w:cs="Arial" w:eastAsia="Arial" w:hAnsi="Arial"/>
                <w:b/>
                <w:bCs/>
                <w:color w:val="475569"/>
                <w:sz w:val="18"/>
                <w:szCs w:val="18"/>
              </w:rPr>
              <w:t xml:space="preserve">SITE</w:t>
            </w:r>
          </w:p>
          <w:p>
            <w:pPr>
              <w:spacing w:after="0" w:before="0"/>
            </w:pPr>
            <w:r>
              <w:rPr>
                <w:rFonts w:ascii="Arial" w:cs="Arial" w:eastAsia="Arial" w:hAnsi="Arial"/>
                <w:b/>
                <w:bCs/>
                <w:color w:val="0D1F3C"/>
                <w:sz w:val="26"/>
                <w:szCs w:val="26"/>
              </w:rPr>
              <w:t xml:space="preserve">Site Recommendation Engine</w:t>
            </w:r>
          </w:p>
        </w:tc>
        <w:tc>
          <w:tcPr>
            <w:tcW w:type="dxa" w:w="2560"/>
            <w:tcBorders>
              <w:top w:val="single" w:color="059669" w:sz="8"/>
              <w:left w:val="none" w:color="FFFFFF" w:sz="0"/>
              <w:bottom w:val="single" w:color="D1D5DB" w:sz="1"/>
              <w:right w:val="single" w:color="D1D5DB" w:sz="1"/>
            </w:tcBorders>
            <w:shd w:fill="FAFAFA" w:val="clear"/>
            <w:tcMar>
              <w:top w:type="dxa" w:w="120"/>
              <w:left w:type="dxa" w:w="100"/>
              <w:bottom w:type="dxa" w:w="120"/>
              <w:right w:type="dxa" w:w="200"/>
            </w:tcMar>
            <w:vAlign w:val="center"/>
          </w:tcPr>
          <w:p>
            <w:pPr>
              <w:spacing w:after="40" w:before="0"/>
              <w:jc w:val="right"/>
            </w:pPr>
            <w:r>
              <w:rPr>
                <w:rFonts w:ascii="Arial" w:cs="Arial" w:eastAsia="Arial" w:hAnsi="Arial"/>
                <w:b/>
                <w:bCs/>
                <w:color w:val="059669"/>
                <w:sz w:val="17"/>
                <w:szCs w:val="17"/>
              </w:rPr>
              <w:t xml:space="preserve">LIVE · ML-Scored</w:t>
            </w:r>
          </w:p>
          <w:p>
            <w:pPr>
              <w:spacing w:after="0" w:before="0"/>
              <w:jc w:val="right"/>
            </w:pPr>
            <w:r>
              <w:rPr>
                <w:rFonts w:ascii="Arial" w:cs="Arial" w:eastAsia="Arial" w:hAnsi="Arial"/>
                <w:color w:val="475569"/>
                <w:sz w:val="18"/>
                <w:szCs w:val="18"/>
              </w:rPr>
              <w:t xml:space="preserve">⏱ Included in Step 1</w:t>
            </w:r>
          </w:p>
        </w:tc>
      </w:tr>
    </w:tbl>
    <w:p>
      <w:pPr>
        <w:spacing w:after="60" w:before="0"/>
      </w:pPr>
    </w:p>
    <w:p>
      <w:pPr>
        <w:spacing w:after="100" w:before="60"/>
      </w:pPr>
      <w:r>
        <w:rPr>
          <w:rFonts w:ascii="Arial" w:cs="Arial" w:eastAsia="Arial" w:hAnsi="Arial"/>
          <w:b w:val="false"/>
          <w:bCs w:val="false"/>
          <w:i w:val="false"/>
          <w:iCs w:val="false"/>
          <w:color w:val="1E293B"/>
          <w:sz w:val="22"/>
          <w:szCs w:val="22"/>
        </w:rPr>
        <w:t xml:space="preserve">Site selection is one of the most expensive failure points in clinical trials. The industry average is that 40% of sites fail to meet enrollment targets — meaning a sponsor pays setup and activation costs for sites that never deliver. Hakase's site recommendation engine, embedded in the Protocol Analytics output, ranks sites by region and ML-predicted enrollment performance.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D1D5DB" w:sz="1"/>
              <w:left w:val="single" w:color="D1D5DB" w:sz="1"/>
              <w:bottom w:val="single" w:color="D1D5DB" w:sz="1"/>
              <w:right w:val="single" w:color="D1D5DB" w:sz="1"/>
            </w:tcBorders>
            <w:shd w:fill="F1FFFE" w:val="clear"/>
            <w:tcMar>
              <w:top w:type="dxa" w:w="100"/>
              <w:left w:type="dxa" w:w="160"/>
              <w:bottom w:type="dxa" w:w="100"/>
              <w:right w:type="dxa" w:w="120"/>
            </w:tcMar>
          </w:tcPr>
          <w:p>
            <w:pPr>
              <w:spacing w:after="80" w:before="0"/>
            </w:pPr>
            <w:r>
              <w:rPr>
                <w:rFonts w:ascii="Arial" w:cs="Arial" w:eastAsia="Arial" w:hAnsi="Arial"/>
                <w:b/>
                <w:bCs/>
                <w:color w:val="007A75"/>
                <w:sz w:val="19"/>
                <w:szCs w:val="19"/>
              </w:rPr>
              <w:t xml:space="preserve">What the prospect brings</w:t>
            </w:r>
          </w:p>
          <w:p>
            <w:pPr>
              <w:pStyle w:val="ListParagraph"/>
              <w:numPr>
                <w:ilvl w:val="0"/>
                <w:numId w:val="2"/>
              </w:numPr>
              <w:spacing w:after="30" w:before="30"/>
              <w:ind w:left="540" w:hanging="360"/>
            </w:pPr>
            <w:r>
              <w:rPr>
                <w:rFonts w:ascii="Arial" w:cs="Arial" w:eastAsia="Arial" w:hAnsi="Arial"/>
                <w:color w:val="1E293B"/>
                <w:sz w:val="20"/>
                <w:szCs w:val="20"/>
              </w:rPr>
              <w:t xml:space="preserve">Target geography or regions of interest</w:t>
            </w:r>
          </w:p>
          <w:p>
            <w:pPr>
              <w:pStyle w:val="ListParagraph"/>
              <w:numPr>
                <w:ilvl w:val="0"/>
                <w:numId w:val="2"/>
              </w:numPr>
              <w:spacing w:after="30" w:before="30"/>
              <w:ind w:left="540" w:hanging="360"/>
            </w:pPr>
            <w:r>
              <w:rPr>
                <w:rFonts w:ascii="Arial" w:cs="Arial" w:eastAsia="Arial" w:hAnsi="Arial"/>
                <w:color w:val="1E293B"/>
                <w:sz w:val="20"/>
                <w:szCs w:val="20"/>
              </w:rPr>
              <w:t xml:space="preserve">Already embedded in the protocol upload in Step 1</w:t>
            </w:r>
          </w:p>
        </w:tc>
        <w:tc>
          <w:tcPr>
            <w:tcW w:type="dxa" w:w="4740"/>
            <w:tcBorders>
              <w:top w:val="single" w:color="D1D5DB" w:sz="1"/>
              <w:left w:val="single" w:color="D1D5DB" w:sz="1"/>
              <w:bottom w:val="single" w:color="D1D5DB" w:sz="1"/>
              <w:right w:val="single" w:color="D1D5DB" w:sz="1"/>
            </w:tcBorders>
            <w:shd w:fill="F0F9FF" w:val="clear"/>
            <w:tcMar>
              <w:top w:type="dxa" w:w="100"/>
              <w:left w:type="dxa" w:w="160"/>
              <w:bottom w:type="dxa" w:w="100"/>
              <w:right w:type="dxa" w:w="120"/>
            </w:tcMar>
          </w:tcPr>
          <w:p>
            <w:pPr>
              <w:spacing w:after="80" w:before="0"/>
            </w:pPr>
            <w:r>
              <w:rPr>
                <w:rFonts w:ascii="Arial" w:cs="Arial" w:eastAsia="Arial" w:hAnsi="Arial"/>
                <w:b/>
                <w:bCs/>
                <w:color w:val="1D4ED8"/>
                <w:sz w:val="19"/>
                <w:szCs w:val="19"/>
              </w:rPr>
              <w:t xml:space="preserve">What they take away</w:t>
            </w:r>
          </w:p>
          <w:p>
            <w:pPr>
              <w:pStyle w:val="ListParagraph"/>
              <w:numPr>
                <w:ilvl w:val="0"/>
                <w:numId w:val="2"/>
              </w:numPr>
              <w:spacing w:after="30" w:before="30"/>
              <w:ind w:left="540" w:hanging="360"/>
            </w:pPr>
            <w:r>
              <w:rPr>
                <w:rFonts w:ascii="Arial" w:cs="Arial" w:eastAsia="Arial" w:hAnsi="Arial"/>
                <w:color w:val="1E293B"/>
                <w:sz w:val="20"/>
                <w:szCs w:val="20"/>
              </w:rPr>
              <w:t xml:space="preserve">Ranked site list by region with historical enrollment performance scores</w:t>
            </w:r>
          </w:p>
          <w:p>
            <w:pPr>
              <w:pStyle w:val="ListParagraph"/>
              <w:numPr>
                <w:ilvl w:val="0"/>
                <w:numId w:val="2"/>
              </w:numPr>
              <w:spacing w:after="30" w:before="30"/>
              <w:ind w:left="540" w:hanging="360"/>
            </w:pPr>
            <w:r>
              <w:rPr>
                <w:rFonts w:ascii="Arial" w:cs="Arial" w:eastAsia="Arial" w:hAnsi="Arial"/>
                <w:color w:val="1E293B"/>
                <w:sz w:val="20"/>
                <w:szCs w:val="20"/>
              </w:rPr>
              <w:t xml:space="preserve">Estimated enrollment timeline per site</w:t>
            </w:r>
          </w:p>
          <w:p>
            <w:pPr>
              <w:pStyle w:val="ListParagraph"/>
              <w:numPr>
                <w:ilvl w:val="0"/>
                <w:numId w:val="2"/>
              </w:numPr>
              <w:spacing w:after="30" w:before="30"/>
              <w:ind w:left="540" w:hanging="360"/>
            </w:pPr>
            <w:r>
              <w:rPr>
                <w:rFonts w:ascii="Arial" w:cs="Arial" w:eastAsia="Arial" w:hAnsi="Arial"/>
                <w:color w:val="1E293B"/>
                <w:sz w:val="20"/>
                <w:szCs w:val="20"/>
              </w:rPr>
              <w:t xml:space="preserve">Therapeutic area experience per site</w:t>
            </w:r>
          </w:p>
          <w:p>
            <w:pPr>
              <w:pStyle w:val="ListParagraph"/>
              <w:numPr>
                <w:ilvl w:val="0"/>
                <w:numId w:val="2"/>
              </w:numPr>
              <w:spacing w:after="30" w:before="30"/>
              <w:ind w:left="540" w:hanging="360"/>
            </w:pPr>
            <w:r>
              <w:rPr>
                <w:rFonts w:ascii="Arial" w:cs="Arial" w:eastAsia="Arial" w:hAnsi="Arial"/>
                <w:color w:val="1E293B"/>
                <w:sz w:val="20"/>
                <w:szCs w:val="20"/>
              </w:rPr>
              <w:t xml:space="preserve">A data-backed starting point for site feasibility calls — replacing ad hoc relationship-based selection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DB5" w:sz="6"/>
              <w:left w:val="single" w:color="00ADB5" w:sz="6"/>
              <w:bottom w:val="single" w:color="D1D5DB" w:sz="1"/>
              <w:right w:val="single" w:color="D1D5DB" w:sz="1"/>
            </w:tcBorders>
            <w:shd w:fill="E6FFFE" w:val="clear"/>
            <w:tcMar>
              <w:top w:type="dxa" w:w="140"/>
              <w:left w:type="dxa" w:w="200"/>
              <w:bottom w:type="dxa" w:w="140"/>
              <w:right w:type="dxa" w:w="200"/>
            </w:tcMar>
          </w:tcPr>
          <w:p>
            <w:pPr>
              <w:spacing w:after="60" w:before="0"/>
            </w:pPr>
            <w:r>
              <w:rPr>
                <w:rFonts w:ascii="Arial" w:cs="Arial" w:eastAsia="Arial" w:hAnsi="Arial"/>
                <w:b/>
                <w:bCs/>
                <w:color w:val="007A75"/>
                <w:sz w:val="20"/>
                <w:szCs w:val="20"/>
              </w:rPr>
              <w:t xml:space="preserve">Cost framing for site selection</w:t>
            </w:r>
          </w:p>
          <w:p>
            <w:pPr>
              <w:spacing w:after="0" w:before="0"/>
            </w:pPr>
            <w:r>
              <w:rPr>
                <w:rFonts w:ascii="Arial" w:cs="Arial" w:eastAsia="Arial" w:hAnsi="Arial"/>
                <w:color w:val="1E293B"/>
                <w:sz w:val="21"/>
                <w:szCs w:val="21"/>
              </w:rPr>
              <w:t xml:space="preserve">The average cost to activate a clinical trial site is $50,000–$150,000, not including monitoring visits. If a site underperforms, the sponsor either extends the timeline — at $30K–$80K per day — or activates backup sites, adding 4–8 weeks. Moving from gut-feel site selection to data-backed ranking is one of the most direct cost levers available. Hakase's site engine draws on 400,000+ historical trials to make that ranking possible with no additional licensing cost.</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c>
          <w:tcPr>
            <w:tcW w:type="dxa" w:w="6800"/>
            <w:tcBorders>
              <w:top w:val="single" w:color="D97706" w:sz="8"/>
              <w:left w:val="single" w:color="D1D5DB" w:sz="1"/>
              <w:bottom w:val="single" w:color="D1D5DB" w:sz="1"/>
              <w:right w:val="none" w:color="FFFFFF" w:sz="0"/>
            </w:tcBorders>
            <w:shd w:fill="FAFAFA" w:val="clear"/>
            <w:tcMar>
              <w:top w:type="dxa" w:w="120"/>
              <w:left w:type="dxa" w:w="200"/>
              <w:bottom w:type="dxa" w:w="120"/>
              <w:right w:type="dxa" w:w="100"/>
            </w:tcMar>
          </w:tcPr>
          <w:p>
            <w:pPr>
              <w:spacing w:after="40" w:before="0"/>
            </w:pPr>
            <w:r>
              <w:rPr>
                <w:rFonts w:ascii="Arial" w:cs="Arial" w:eastAsia="Arial" w:hAnsi="Arial"/>
                <w:b/>
                <w:bCs/>
                <w:color w:val="D97706"/>
                <w:sz w:val="18"/>
                <w:szCs w:val="18"/>
              </w:rPr>
              <w:t xml:space="preserve">STEP 4  </w:t>
            </w:r>
            <w:r>
              <w:rPr>
                <w:rFonts w:ascii="Arial" w:cs="Arial" w:eastAsia="Arial" w:hAnsi="Arial"/>
                <w:b/>
                <w:bCs/>
                <w:color w:val="475569"/>
                <w:sz w:val="18"/>
                <w:szCs w:val="18"/>
              </w:rPr>
              <w:t xml:space="preserve">DRAFT</w:t>
            </w:r>
          </w:p>
          <w:p>
            <w:pPr>
              <w:spacing w:after="0" w:before="0"/>
            </w:pPr>
            <w:r>
              <w:rPr>
                <w:rFonts w:ascii="Arial" w:cs="Arial" w:eastAsia="Arial" w:hAnsi="Arial"/>
                <w:b/>
                <w:bCs/>
                <w:color w:val="0D1F3C"/>
                <w:sz w:val="26"/>
                <w:szCs w:val="26"/>
              </w:rPr>
              <w:t xml:space="preserve">Protocol Drafting Engine</w:t>
            </w:r>
          </w:p>
        </w:tc>
        <w:tc>
          <w:tcPr>
            <w:tcW w:type="dxa" w:w="2560"/>
            <w:tcBorders>
              <w:top w:val="single" w:color="D97706" w:sz="8"/>
              <w:left w:val="none" w:color="FFFFFF" w:sz="0"/>
              <w:bottom w:val="single" w:color="D1D5DB" w:sz="1"/>
              <w:right w:val="single" w:color="D1D5DB" w:sz="1"/>
            </w:tcBorders>
            <w:shd w:fill="FAFAFA" w:val="clear"/>
            <w:tcMar>
              <w:top w:type="dxa" w:w="120"/>
              <w:left w:type="dxa" w:w="100"/>
              <w:bottom w:type="dxa" w:w="120"/>
              <w:right w:type="dxa" w:w="200"/>
            </w:tcMar>
            <w:vAlign w:val="center"/>
          </w:tcPr>
          <w:p>
            <w:pPr>
              <w:spacing w:after="40" w:before="0"/>
              <w:jc w:val="right"/>
            </w:pPr>
            <w:r>
              <w:rPr>
                <w:rFonts w:ascii="Arial" w:cs="Arial" w:eastAsia="Arial" w:hAnsi="Arial"/>
                <w:b/>
                <w:bCs/>
                <w:color w:val="D97706"/>
                <w:sz w:val="17"/>
                <w:szCs w:val="17"/>
              </w:rPr>
              <w:t xml:space="preserve">LIVE · CDISC-Aligned</w:t>
            </w:r>
          </w:p>
          <w:p>
            <w:pPr>
              <w:spacing w:after="0" w:before="0"/>
              <w:jc w:val="right"/>
            </w:pPr>
            <w:r>
              <w:rPr>
                <w:rFonts w:ascii="Arial" w:cs="Arial" w:eastAsia="Arial" w:hAnsi="Arial"/>
                <w:color w:val="475569"/>
                <w:sz w:val="18"/>
                <w:szCs w:val="18"/>
              </w:rPr>
              <w:t xml:space="preserve">⏱ 10–20 min</w:t>
            </w:r>
          </w:p>
        </w:tc>
      </w:tr>
    </w:tbl>
    <w:p>
      <w:pPr>
        <w:spacing w:after="60" w:before="0"/>
      </w:pPr>
    </w:p>
    <w:p>
      <w:pPr>
        <w:spacing w:after="100" w:before="60"/>
      </w:pPr>
      <w:r>
        <w:rPr>
          <w:rFonts w:ascii="Arial" w:cs="Arial" w:eastAsia="Arial" w:hAnsi="Arial"/>
          <w:b w:val="false"/>
          <w:bCs w:val="false"/>
          <w:i w:val="false"/>
          <w:iCs w:val="false"/>
          <w:color w:val="1E293B"/>
          <w:sz w:val="22"/>
          <w:szCs w:val="22"/>
        </w:rPr>
        <w:t xml:space="preserve">For prospects who do not yet have a full protocol — common in early-stage biotechs — the drafting engine provides a structured starting point. This module is most useful as a secondary entry point: if a company comes to the pilot without a protocol document, they use the drafter first, then run the resulting draft through the Analytics Engine.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D1D5DB" w:sz="1"/>
              <w:left w:val="single" w:color="D1D5DB" w:sz="1"/>
              <w:bottom w:val="single" w:color="D1D5DB" w:sz="1"/>
              <w:right w:val="single" w:color="D1D5DB" w:sz="1"/>
            </w:tcBorders>
            <w:shd w:fill="F1FFFE" w:val="clear"/>
            <w:tcMar>
              <w:top w:type="dxa" w:w="100"/>
              <w:left w:type="dxa" w:w="160"/>
              <w:bottom w:type="dxa" w:w="100"/>
              <w:right w:type="dxa" w:w="120"/>
            </w:tcMar>
          </w:tcPr>
          <w:p>
            <w:pPr>
              <w:spacing w:after="80" w:before="0"/>
            </w:pPr>
            <w:r>
              <w:rPr>
                <w:rFonts w:ascii="Arial" w:cs="Arial" w:eastAsia="Arial" w:hAnsi="Arial"/>
                <w:b/>
                <w:bCs/>
                <w:color w:val="007A75"/>
                <w:sz w:val="19"/>
                <w:szCs w:val="19"/>
              </w:rPr>
              <w:t xml:space="preserve">What the prospect brings</w:t>
            </w:r>
          </w:p>
          <w:p>
            <w:pPr>
              <w:pStyle w:val="ListParagraph"/>
              <w:numPr>
                <w:ilvl w:val="0"/>
                <w:numId w:val="2"/>
              </w:numPr>
              <w:spacing w:after="30" w:before="30"/>
              <w:ind w:left="540" w:hanging="360"/>
            </w:pPr>
            <w:r>
              <w:rPr>
                <w:rFonts w:ascii="Arial" w:cs="Arial" w:eastAsia="Arial" w:hAnsi="Arial"/>
                <w:color w:val="1E293B"/>
                <w:sz w:val="20"/>
                <w:szCs w:val="20"/>
              </w:rPr>
              <w:t xml:space="preserve">Therapeutic area and intervention</w:t>
            </w:r>
          </w:p>
          <w:p>
            <w:pPr>
              <w:pStyle w:val="ListParagraph"/>
              <w:numPr>
                <w:ilvl w:val="0"/>
                <w:numId w:val="2"/>
              </w:numPr>
              <w:spacing w:after="30" w:before="30"/>
              <w:ind w:left="540" w:hanging="360"/>
            </w:pPr>
            <w:r>
              <w:rPr>
                <w:rFonts w:ascii="Arial" w:cs="Arial" w:eastAsia="Arial" w:hAnsi="Arial"/>
                <w:color w:val="1E293B"/>
                <w:sz w:val="20"/>
                <w:szCs w:val="20"/>
              </w:rPr>
              <w:t xml:space="preserve">Trial phase and target population</w:t>
            </w:r>
          </w:p>
          <w:p>
            <w:pPr>
              <w:pStyle w:val="ListParagraph"/>
              <w:numPr>
                <w:ilvl w:val="0"/>
                <w:numId w:val="2"/>
              </w:numPr>
              <w:spacing w:after="30" w:before="30"/>
              <w:ind w:left="540" w:hanging="360"/>
            </w:pPr>
            <w:r>
              <w:rPr>
                <w:rFonts w:ascii="Arial" w:cs="Arial" w:eastAsia="Arial" w:hAnsi="Arial"/>
                <w:color w:val="1E293B"/>
                <w:sz w:val="20"/>
                <w:szCs w:val="20"/>
              </w:rPr>
              <w:t xml:space="preserve">Key endpoints and inclusion/exclusion criteria</w:t>
            </w:r>
          </w:p>
        </w:tc>
        <w:tc>
          <w:tcPr>
            <w:tcW w:type="dxa" w:w="4740"/>
            <w:tcBorders>
              <w:top w:val="single" w:color="D1D5DB" w:sz="1"/>
              <w:left w:val="single" w:color="D1D5DB" w:sz="1"/>
              <w:bottom w:val="single" w:color="D1D5DB" w:sz="1"/>
              <w:right w:val="single" w:color="D1D5DB" w:sz="1"/>
            </w:tcBorders>
            <w:shd w:fill="F0F9FF" w:val="clear"/>
            <w:tcMar>
              <w:top w:type="dxa" w:w="100"/>
              <w:left w:type="dxa" w:w="160"/>
              <w:bottom w:type="dxa" w:w="100"/>
              <w:right w:type="dxa" w:w="120"/>
            </w:tcMar>
          </w:tcPr>
          <w:p>
            <w:pPr>
              <w:spacing w:after="80" w:before="0"/>
            </w:pPr>
            <w:r>
              <w:rPr>
                <w:rFonts w:ascii="Arial" w:cs="Arial" w:eastAsia="Arial" w:hAnsi="Arial"/>
                <w:b/>
                <w:bCs/>
                <w:color w:val="1D4ED8"/>
                <w:sz w:val="19"/>
                <w:szCs w:val="19"/>
              </w:rPr>
              <w:t xml:space="preserve">What they take away</w:t>
            </w:r>
          </w:p>
          <w:p>
            <w:pPr>
              <w:pStyle w:val="ListParagraph"/>
              <w:numPr>
                <w:ilvl w:val="0"/>
                <w:numId w:val="2"/>
              </w:numPr>
              <w:spacing w:after="30" w:before="30"/>
              <w:ind w:left="540" w:hanging="360"/>
            </w:pPr>
            <w:r>
              <w:rPr>
                <w:rFonts w:ascii="Arial" w:cs="Arial" w:eastAsia="Arial" w:hAnsi="Arial"/>
                <w:color w:val="1E293B"/>
                <w:sz w:val="20"/>
                <w:szCs w:val="20"/>
              </w:rPr>
              <w:t xml:space="preserve">A structured protocol draft with CDISC-aligned section architecture</w:t>
            </w:r>
          </w:p>
          <w:p>
            <w:pPr>
              <w:pStyle w:val="ListParagraph"/>
              <w:numPr>
                <w:ilvl w:val="0"/>
                <w:numId w:val="2"/>
              </w:numPr>
              <w:spacing w:after="30" w:before="30"/>
              <w:ind w:left="540" w:hanging="360"/>
            </w:pPr>
            <w:r>
              <w:rPr>
                <w:rFonts w:ascii="Arial" w:cs="Arial" w:eastAsia="Arial" w:hAnsi="Arial"/>
                <w:color w:val="1E293B"/>
                <w:sz w:val="20"/>
                <w:szCs w:val="20"/>
              </w:rPr>
              <w:t xml:space="preserve">Cross-section consistency — objectives aligned to endpoints, eligibility matching population definitions</w:t>
            </w:r>
          </w:p>
          <w:p>
            <w:pPr>
              <w:pStyle w:val="ListParagraph"/>
              <w:numPr>
                <w:ilvl w:val="0"/>
                <w:numId w:val="2"/>
              </w:numPr>
              <w:spacing w:after="30" w:before="30"/>
              <w:ind w:left="540" w:hanging="360"/>
            </w:pPr>
            <w:r>
              <w:rPr>
                <w:rFonts w:ascii="Arial" w:cs="Arial" w:eastAsia="Arial" w:hAnsi="Arial"/>
                <w:color w:val="1E293B"/>
                <w:sz w:val="20"/>
                <w:szCs w:val="20"/>
              </w:rPr>
              <w:t xml:space="preserve">A document ready to be refined, not just a template to fill in</w:t>
            </w:r>
          </w:p>
          <w:p>
            <w:pPr>
              <w:pStyle w:val="ListParagraph"/>
              <w:numPr>
                <w:ilvl w:val="0"/>
                <w:numId w:val="2"/>
              </w:numPr>
              <w:spacing w:after="30" w:before="30"/>
              <w:ind w:left="540" w:hanging="360"/>
            </w:pPr>
            <w:r>
              <w:rPr>
                <w:rFonts w:ascii="Arial" w:cs="Arial" w:eastAsia="Arial" w:hAnsi="Arial"/>
                <w:color w:val="1E293B"/>
                <w:sz w:val="20"/>
                <w:szCs w:val="20"/>
              </w:rPr>
              <w:t xml:space="preserve">Reduction in time-to-first-draft from weeks to hours</w:t>
            </w:r>
          </w:p>
        </w:tc>
      </w:tr>
    </w:tbl>
    <w:p>
      <w:pPr>
        <w:spacing w:after="80" w:before="0"/>
      </w:pPr>
    </w:p>
    <w:p>
      <w:pPr>
        <w:spacing w:after="100" w:before="60"/>
      </w:pPr>
      <w:r>
        <w:rPr>
          <w:rFonts w:ascii="Arial" w:cs="Arial" w:eastAsia="Arial" w:hAnsi="Arial"/>
          <w:b/>
          <w:bCs/>
          <w:i w:val="false"/>
          <w:iCs w:val="false"/>
          <w:color w:val="1E293B"/>
          <w:sz w:val="22"/>
          <w:szCs w:val="22"/>
        </w:rPr>
        <w:t xml:space="preserve">Important scope note:</w:t>
      </w:r>
    </w:p>
    <w:p>
      <w:pPr>
        <w:spacing w:after="100" w:before="60"/>
      </w:pPr>
      <w:r>
        <w:rPr>
          <w:rFonts w:ascii="Arial" w:cs="Arial" w:eastAsia="Arial" w:hAnsi="Arial"/>
          <w:b w:val="false"/>
          <w:bCs w:val="false"/>
          <w:i w:val="false"/>
          <w:iCs w:val="false"/>
          <w:color w:val="1E293B"/>
          <w:sz w:val="22"/>
          <w:szCs w:val="22"/>
        </w:rPr>
        <w:t xml:space="preserve">The Protocol Drafting Engine currently relies on structured user inputs and Claude AI. It is not a zero-shot generator — the quality of the output is directly tied to the specificity of the inputs. Position it as a drafting accelerator, not a fully autonomous protocol writer. This is an honest distinction that builds trust with clinical operations audiences who will probe for this.</w:t>
      </w:r>
    </w:p>
    <w:p>
      <w:pPr>
        <w:spacing w:after="60" w:before="0"/>
      </w:pPr>
    </w:p>
    <w:p>
      <w:pPr>
        <w:spacing w:after="100" w:before="60"/>
      </w:pPr>
      <w:r>
        <w:rPr>
          <w:rFonts w:ascii="Arial" w:cs="Arial" w:eastAsia="Arial" w:hAnsi="Arial"/>
          <w:b/>
          <w:bCs/>
          <w:i w:val="false"/>
          <w:iCs w:val="false"/>
          <w:color w:val="1E293B"/>
          <w:sz w:val="22"/>
          <w:szCs w:val="22"/>
        </w:rPr>
        <w:t xml:space="preserve">KOL Dashboard — position as supplementary:</w:t>
      </w:r>
    </w:p>
    <w:p>
      <w:pPr>
        <w:spacing w:after="100" w:before="60"/>
      </w:pPr>
      <w:r>
        <w:rPr>
          <w:rFonts w:ascii="Arial" w:cs="Arial" w:eastAsia="Arial" w:hAnsi="Arial"/>
          <w:b w:val="false"/>
          <w:bCs w:val="false"/>
          <w:i w:val="false"/>
          <w:iCs w:val="false"/>
          <w:color w:val="1E293B"/>
          <w:sz w:val="22"/>
          <w:szCs w:val="22"/>
        </w:rPr>
        <w:t xml:space="preserve">The KOL Intelligence Dashboard (currently oncology-focused) is available but should not be the entry point for cost-focused biotech or CRO conversations. It becomes relevant in the second conversation once the protocol risk and site selection discussions have established the core value of the platform. For small pharma with medical affairs teams, it may be relevant earlier.</w:t>
      </w:r>
    </w:p>
    <w:p>
      <w:pPr>
        <w:spacing w:after="200" w:before="0"/>
      </w:pPr>
    </w:p>
    <w:p>
      <w:pPr>
        <w:pStyle w:val="Heading1"/>
        <w:spacing w:after="160" w:before="360"/>
      </w:pPr>
      <w:r>
        <w:rPr>
          <w:rFonts w:ascii="Arial" w:cs="Arial" w:eastAsia="Arial" w:hAnsi="Arial"/>
          <w:b/>
          <w:bCs/>
          <w:color w:val="0D1F3C"/>
          <w:sz w:val="32"/>
          <w:szCs w:val="32"/>
        </w:rPr>
        <w:t xml:space="preserve">4. Audience-Specific Engagement Profiles</w:t>
      </w:r>
    </w:p>
    <w:p>
      <w:pPr>
        <w:pBdr>
          <w:bottom w:val="single" w:color="E2E8F0" w:sz="4" w:space="1"/>
        </w:pBdr>
        <w:spacing w:after="120" w:before="120"/>
      </w:pPr>
    </w:p>
    <w:p>
      <w:pPr>
        <w:spacing w:after="100" w:before="60"/>
      </w:pPr>
      <w:r>
        <w:rPr>
          <w:rFonts w:ascii="Arial" w:cs="Arial" w:eastAsia="Arial" w:hAnsi="Arial"/>
          <w:b w:val="false"/>
          <w:bCs w:val="false"/>
          <w:i w:val="false"/>
          <w:iCs w:val="false"/>
          <w:color w:val="1E293B"/>
          <w:sz w:val="22"/>
          <w:szCs w:val="22"/>
        </w:rPr>
        <w:t xml:space="preserve">While the core four-step flow applies across segments, the emphasis, entry point, and decision-making dynamics differ meaningfully by audience type. This section defines those differences so the Hakase team can adjust the conversation accordingly.</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0D1F3C" w:val="clear"/>
            <w:tcMar>
              <w:top w:type="dxa" w:w="100"/>
              <w:left w:type="dxa" w:w="160"/>
              <w:bottom w:type="dxa" w:w="100"/>
              <w:right w:type="dxa" w:w="120"/>
            </w:tcMar>
          </w:tcPr>
          <w:p>
            <w:pPr>
              <w:jc w:val="center"/>
            </w:pPr>
            <w:r>
              <w:rPr>
                <w:rFonts w:ascii="Arial" w:cs="Arial" w:eastAsia="Arial" w:hAnsi="Arial"/>
                <w:b/>
                <w:bCs/>
                <w:color w:val="FFFFFF"/>
                <w:sz w:val="21"/>
                <w:szCs w:val="21"/>
              </w:rPr>
              <w:t xml:space="preserve"/>
            </w:r>
          </w:p>
        </w:tc>
        <w:tc>
          <w:tcPr>
            <w:tcW w:type="dxa" w:w="2340"/>
            <w:tcBorders>
              <w:top w:val="single" w:color="D1D5DB" w:sz="1"/>
              <w:left w:val="single" w:color="D1D5DB" w:sz="1"/>
              <w:bottom w:val="single" w:color="D1D5DB" w:sz="1"/>
              <w:right w:val="single" w:color="D1D5DB" w:sz="1"/>
            </w:tcBorders>
            <w:shd w:fill="0D1F3C" w:val="clear"/>
            <w:tcMar>
              <w:top w:type="dxa" w:w="100"/>
              <w:left w:type="dxa" w:w="160"/>
              <w:bottom w:type="dxa" w:w="100"/>
              <w:right w:type="dxa" w:w="120"/>
            </w:tcMar>
          </w:tcPr>
          <w:p>
            <w:pPr>
              <w:jc w:val="center"/>
            </w:pPr>
            <w:r>
              <w:rPr>
                <w:rFonts w:ascii="Arial" w:cs="Arial" w:eastAsia="Arial" w:hAnsi="Arial"/>
                <w:b/>
                <w:bCs/>
                <w:color w:val="FFFFFF"/>
                <w:sz w:val="21"/>
                <w:szCs w:val="21"/>
              </w:rPr>
              <w:t xml:space="preserve">Small Biotech</w:t>
            </w:r>
          </w:p>
        </w:tc>
        <w:tc>
          <w:tcPr>
            <w:tcW w:type="dxa" w:w="2340"/>
            <w:tcBorders>
              <w:top w:val="single" w:color="D1D5DB" w:sz="1"/>
              <w:left w:val="single" w:color="D1D5DB" w:sz="1"/>
              <w:bottom w:val="single" w:color="D1D5DB" w:sz="1"/>
              <w:right w:val="single" w:color="D1D5DB" w:sz="1"/>
            </w:tcBorders>
            <w:shd w:fill="0D1F3C" w:val="clear"/>
            <w:tcMar>
              <w:top w:type="dxa" w:w="100"/>
              <w:left w:type="dxa" w:w="160"/>
              <w:bottom w:type="dxa" w:w="100"/>
              <w:right w:type="dxa" w:w="120"/>
            </w:tcMar>
          </w:tcPr>
          <w:p>
            <w:pPr>
              <w:jc w:val="center"/>
            </w:pPr>
            <w:r>
              <w:rPr>
                <w:rFonts w:ascii="Arial" w:cs="Arial" w:eastAsia="Arial" w:hAnsi="Arial"/>
                <w:b/>
                <w:bCs/>
                <w:color w:val="FFFFFF"/>
                <w:sz w:val="21"/>
                <w:szCs w:val="21"/>
              </w:rPr>
              <w:t xml:space="preserve">CRO</w:t>
            </w:r>
          </w:p>
        </w:tc>
        <w:tc>
          <w:tcPr>
            <w:tcW w:type="dxa" w:w="2340"/>
            <w:tcBorders>
              <w:top w:val="single" w:color="D1D5DB" w:sz="1"/>
              <w:left w:val="single" w:color="D1D5DB" w:sz="1"/>
              <w:bottom w:val="single" w:color="D1D5DB" w:sz="1"/>
              <w:right w:val="single" w:color="D1D5DB" w:sz="1"/>
            </w:tcBorders>
            <w:shd w:fill="0D1F3C" w:val="clear"/>
            <w:tcMar>
              <w:top w:type="dxa" w:w="100"/>
              <w:left w:type="dxa" w:w="160"/>
              <w:bottom w:type="dxa" w:w="100"/>
              <w:right w:type="dxa" w:w="120"/>
            </w:tcMar>
          </w:tcPr>
          <w:p>
            <w:pPr>
              <w:jc w:val="center"/>
            </w:pPr>
            <w:r>
              <w:rPr>
                <w:rFonts w:ascii="Arial" w:cs="Arial" w:eastAsia="Arial" w:hAnsi="Arial"/>
                <w:b/>
                <w:bCs/>
                <w:color w:val="FFFFFF"/>
                <w:sz w:val="21"/>
                <w:szCs w:val="21"/>
              </w:rPr>
              <w:t xml:space="preserve">Small Pharma</w:t>
            </w:r>
          </w:p>
        </w:tc>
      </w:tr>
      <w:tr>
        <w:tc>
          <w:tcPr>
            <w:tcW w:type="dxa" w:w="234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00"/>
            </w:tcMar>
          </w:tcPr>
          <w:p>
            <w:r>
              <w:rPr>
                <w:rFonts w:ascii="Arial" w:cs="Arial" w:eastAsia="Arial" w:hAnsi="Arial"/>
                <w:color w:val="1E293B"/>
                <w:sz w:val="20"/>
                <w:szCs w:val="20"/>
              </w:rPr>
              <w:t xml:space="preserve">Primary Pain</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Protocol risk &amp; burn rate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Operational efficiency &amp; site mgmt</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Volume, speed &amp; client expectations</w:t>
            </w:r>
          </w:p>
        </w:tc>
      </w:tr>
      <w:tr>
        <w:tc>
          <w:tcPr>
            <w:tcW w:type="dxa" w:w="234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00"/>
            </w:tcMar>
          </w:tcPr>
          <w:p>
            <w:r>
              <w:rPr>
                <w:rFonts w:ascii="Arial" w:cs="Arial" w:eastAsia="Arial" w:hAnsi="Arial"/>
                <w:color w:val="1E293B"/>
                <w:sz w:val="20"/>
                <w:szCs w:val="20"/>
              </w:rPr>
              <w:t xml:space="preserve">Entry Point</w:t>
            </w:r>
          </w:p>
        </w:tc>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00"/>
            </w:tcMar>
          </w:tcPr>
          <w:p>
            <w:r>
              <w:rPr>
                <w:rFonts w:ascii="Arial" w:cs="Arial" w:eastAsia="Arial" w:hAnsi="Arial"/>
                <w:color w:val="1E293B"/>
                <w:sz w:val="20"/>
                <w:szCs w:val="20"/>
              </w:rPr>
              <w:t xml:space="preserve">Protocol Analysis Engine</w:t>
            </w:r>
          </w:p>
        </w:tc>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00"/>
            </w:tcMar>
          </w:tcPr>
          <w:p>
            <w:r>
              <w:rPr>
                <w:rFonts w:ascii="Arial" w:cs="Arial" w:eastAsia="Arial" w:hAnsi="Arial"/>
                <w:color w:val="1E293B"/>
                <w:sz w:val="20"/>
                <w:szCs w:val="20"/>
              </w:rPr>
              <w:t xml:space="preserve">Protocol Analysis + Trial Explorer</w:t>
            </w:r>
          </w:p>
        </w:tc>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00"/>
            </w:tcMar>
          </w:tcPr>
          <w:p>
            <w:r>
              <w:rPr>
                <w:rFonts w:ascii="Arial" w:cs="Arial" w:eastAsia="Arial" w:hAnsi="Arial"/>
                <w:color w:val="1E293B"/>
                <w:sz w:val="20"/>
                <w:szCs w:val="20"/>
              </w:rPr>
              <w:t xml:space="preserve">All 4 modules based on client need</w:t>
            </w:r>
          </w:p>
        </w:tc>
      </w:tr>
      <w:tr>
        <w:tc>
          <w:tcPr>
            <w:tcW w:type="dxa" w:w="234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00"/>
            </w:tcMar>
          </w:tcPr>
          <w:p>
            <w:r>
              <w:rPr>
                <w:rFonts w:ascii="Arial" w:cs="Arial" w:eastAsia="Arial" w:hAnsi="Arial"/>
                <w:color w:val="1E293B"/>
                <w:sz w:val="20"/>
                <w:szCs w:val="20"/>
              </w:rPr>
              <w:t xml:space="preserve">Key Metric</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Cost per amendment avoided</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Sites activated per month</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Time saved per protocol review</w:t>
            </w:r>
          </w:p>
        </w:tc>
      </w:tr>
      <w:tr>
        <w:tc>
          <w:tcPr>
            <w:tcW w:type="dxa" w:w="234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00"/>
            </w:tcMar>
          </w:tcPr>
          <w:p>
            <w:r>
              <w:rPr>
                <w:rFonts w:ascii="Arial" w:cs="Arial" w:eastAsia="Arial" w:hAnsi="Arial"/>
                <w:color w:val="1E293B"/>
                <w:sz w:val="20"/>
                <w:szCs w:val="20"/>
              </w:rPr>
              <w:t xml:space="preserve">Pilot Duration</w:t>
            </w:r>
          </w:p>
        </w:tc>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00"/>
            </w:tcMar>
          </w:tcPr>
          <w:p>
            <w:r>
              <w:rPr>
                <w:rFonts w:ascii="Arial" w:cs="Arial" w:eastAsia="Arial" w:hAnsi="Arial"/>
                <w:color w:val="1E293B"/>
                <w:sz w:val="20"/>
                <w:szCs w:val="20"/>
              </w:rPr>
              <w:t xml:space="preserve">2 weeks, 1–2 protocols</w:t>
            </w:r>
          </w:p>
        </w:tc>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00"/>
            </w:tcMar>
          </w:tcPr>
          <w:p>
            <w:r>
              <w:rPr>
                <w:rFonts w:ascii="Arial" w:cs="Arial" w:eastAsia="Arial" w:hAnsi="Arial"/>
                <w:color w:val="1E293B"/>
                <w:sz w:val="20"/>
                <w:szCs w:val="20"/>
              </w:rPr>
              <w:t xml:space="preserve">30 days, active study</w:t>
            </w:r>
          </w:p>
        </w:tc>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00"/>
            </w:tcMar>
          </w:tcPr>
          <w:p>
            <w:r>
              <w:rPr>
                <w:rFonts w:ascii="Arial" w:cs="Arial" w:eastAsia="Arial" w:hAnsi="Arial"/>
                <w:color w:val="1E293B"/>
                <w:sz w:val="20"/>
                <w:szCs w:val="20"/>
              </w:rPr>
              <w:t xml:space="preserve">30 days, 2–3 client studies</w:t>
            </w:r>
          </w:p>
        </w:tc>
      </w:tr>
      <w:tr>
        <w:tc>
          <w:tcPr>
            <w:tcW w:type="dxa" w:w="234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00"/>
            </w:tcMar>
          </w:tcPr>
          <w:p>
            <w:r>
              <w:rPr>
                <w:rFonts w:ascii="Arial" w:cs="Arial" w:eastAsia="Arial" w:hAnsi="Arial"/>
                <w:color w:val="1E293B"/>
                <w:sz w:val="20"/>
                <w:szCs w:val="20"/>
              </w:rPr>
              <w:t xml:space="preserve">Decision Maker</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CEO / CSO / VP Clinical</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Head of Clinical Ops / BD</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BD Lead / Clinical Ops Director</w:t>
            </w:r>
          </w:p>
        </w:tc>
      </w:tr>
      <w:tr>
        <w:tc>
          <w:tcPr>
            <w:tcW w:type="dxa" w:w="234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00"/>
            </w:tcMar>
          </w:tcPr>
          <w:p>
            <w:r>
              <w:rPr>
                <w:rFonts w:ascii="Arial" w:cs="Arial" w:eastAsia="Arial" w:hAnsi="Arial"/>
                <w:color w:val="1E293B"/>
                <w:sz w:val="20"/>
                <w:szCs w:val="20"/>
              </w:rPr>
              <w:t xml:space="preserve">Budget Sensitivity</w:t>
            </w:r>
          </w:p>
        </w:tc>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00"/>
            </w:tcMar>
          </w:tcPr>
          <w:p>
            <w:r>
              <w:rPr>
                <w:rFonts w:ascii="Arial" w:cs="Arial" w:eastAsia="Arial" w:hAnsi="Arial"/>
                <w:color w:val="1E293B"/>
                <w:sz w:val="20"/>
                <w:szCs w:val="20"/>
              </w:rPr>
              <w:t xml:space="preserve">Very high — justify every $</w:t>
            </w:r>
          </w:p>
        </w:tc>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00"/>
            </w:tcMar>
          </w:tcPr>
          <w:p>
            <w:r>
              <w:rPr>
                <w:rFonts w:ascii="Arial" w:cs="Arial" w:eastAsia="Arial" w:hAnsi="Arial"/>
                <w:color w:val="1E293B"/>
                <w:sz w:val="20"/>
                <w:szCs w:val="20"/>
              </w:rPr>
              <w:t xml:space="preserve">Medium — tied to client billing</w:t>
            </w:r>
          </w:p>
        </w:tc>
        <w:tc>
          <w:tcPr>
            <w:tcW w:type="dxa" w:w="234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00"/>
            </w:tcMar>
          </w:tcPr>
          <w:p>
            <w:r>
              <w:rPr>
                <w:rFonts w:ascii="Arial" w:cs="Arial" w:eastAsia="Arial" w:hAnsi="Arial"/>
                <w:color w:val="1E293B"/>
                <w:sz w:val="20"/>
                <w:szCs w:val="20"/>
              </w:rPr>
              <w:t xml:space="preserve">Medium — pass-through model</w:t>
            </w:r>
          </w:p>
        </w:tc>
      </w:tr>
      <w:tr>
        <w:tc>
          <w:tcPr>
            <w:tcW w:type="dxa" w:w="234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00"/>
            </w:tcMar>
          </w:tcPr>
          <w:p>
            <w:r>
              <w:rPr>
                <w:rFonts w:ascii="Arial" w:cs="Arial" w:eastAsia="Arial" w:hAnsi="Arial"/>
                <w:color w:val="1E293B"/>
                <w:sz w:val="20"/>
                <w:szCs w:val="20"/>
              </w:rPr>
              <w:t xml:space="preserve">Expansion Path</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Care + Commercial modules</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Multi-study platform license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1E293B"/>
                <w:sz w:val="20"/>
                <w:szCs w:val="20"/>
              </w:rPr>
              <w:t xml:space="preserve">White-label or API integration</w:t>
            </w:r>
          </w:p>
        </w:tc>
      </w:tr>
    </w:tbl>
    <w:p>
      <w:pPr>
        <w:spacing w:after="200" w:before="0"/>
      </w:pPr>
    </w:p>
    <w:p>
      <w:pPr>
        <w:pStyle w:val="Heading2"/>
        <w:spacing w:after="120" w:before="280"/>
      </w:pPr>
      <w:r>
        <w:rPr>
          <w:rFonts w:ascii="Arial" w:cs="Arial" w:eastAsia="Arial" w:hAnsi="Arial"/>
          <w:b/>
          <w:bCs/>
          <w:color w:val="0D1F3C"/>
          <w:sz w:val="26"/>
          <w:szCs w:val="26"/>
        </w:rPr>
        <w:t xml:space="preserve">4.1  Small Biotech — Detailed Engagement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60"/>
              <w:left w:type="dxa" w:w="240"/>
              <w:bottom w:type="dxa" w:w="160"/>
              <w:right w:type="dxa" w:w="240"/>
            </w:tcMar>
          </w:tcPr>
          <w:p>
            <w:pPr>
              <w:spacing w:after="100" w:before="0"/>
            </w:pPr>
            <w:r>
              <w:rPr>
                <w:rFonts w:ascii="Arial" w:cs="Arial" w:eastAsia="Arial" w:hAnsi="Arial"/>
                <w:b/>
                <w:bCs/>
                <w:color w:val="0D1F3C"/>
                <w:sz w:val="22"/>
                <w:szCs w:val="22"/>
              </w:rPr>
              <w:t xml:space="preserve">Company Profile (Target)</w:t>
            </w:r>
          </w:p>
          <w:p>
            <w:pPr>
              <w:spacing w:after="40" w:before="0"/>
            </w:pPr>
            <w:r>
              <w:rPr>
                <w:rFonts w:ascii="Arial" w:cs="Arial" w:eastAsia="Arial" w:hAnsi="Arial"/>
                <w:color w:val="1E293B"/>
                <w:sz w:val="20"/>
                <w:szCs w:val="20"/>
              </w:rPr>
              <w:t xml:space="preserve">Series A to Series C · 20–150 employees · 1–3 active trials · $50M–$500M pipeline value · Typically oncology, rare disease, or immunology</w:t>
            </w:r>
          </w:p>
        </w:tc>
      </w:tr>
    </w:tbl>
    <w:p>
      <w:pPr>
        <w:spacing w:after="80" w:before="0"/>
      </w:pPr>
    </w:p>
    <w:p>
      <w:pPr>
        <w:pStyle w:val="Heading3"/>
        <w:spacing w:after="80" w:before="200"/>
      </w:pPr>
      <w:r>
        <w:rPr>
          <w:rFonts w:ascii="Arial" w:cs="Arial" w:eastAsia="Arial" w:hAnsi="Arial"/>
          <w:b/>
          <w:bCs/>
          <w:color w:val="0D1F3C"/>
          <w:sz w:val="22"/>
          <w:szCs w:val="22"/>
        </w:rPr>
        <w:t xml:space="preserve">Primary Pain Points</w:t>
      </w:r>
    </w:p>
    <w:p>
      <w:pPr>
        <w:pStyle w:val="ListParagraph"/>
        <w:numPr>
          <w:ilvl w:val="0"/>
          <w:numId w:val="2"/>
        </w:numPr>
        <w:spacing w:after="40" w:before="40"/>
        <w:ind w:left="720" w:hanging="360"/>
      </w:pPr>
      <w:r>
        <w:rPr>
          <w:rFonts w:ascii="Arial" w:cs="Arial" w:eastAsia="Arial" w:hAnsi="Arial"/>
          <w:b w:val="false"/>
          <w:bCs w:val="false"/>
          <w:color w:val="1E293B"/>
          <w:sz w:val="22"/>
          <w:szCs w:val="22"/>
        </w:rPr>
        <w:t xml:space="preserve">Every trial delay increases burn rate — most have 12–24 months of runway and no room for protocol rework</w:t>
      </w:r>
    </w:p>
    <w:p>
      <w:pPr>
        <w:pStyle w:val="ListParagraph"/>
        <w:numPr>
          <w:ilvl w:val="0"/>
          <w:numId w:val="2"/>
        </w:numPr>
        <w:spacing w:after="40" w:before="40"/>
        <w:ind w:left="720" w:hanging="360"/>
      </w:pPr>
      <w:r>
        <w:rPr>
          <w:rFonts w:ascii="Arial" w:cs="Arial" w:eastAsia="Arial" w:hAnsi="Arial"/>
          <w:b w:val="false"/>
          <w:bCs w:val="false"/>
          <w:color w:val="1E293B"/>
          <w:sz w:val="22"/>
          <w:szCs w:val="22"/>
        </w:rPr>
        <w:t xml:space="preserve">Protocol amendments are existential: one major amendment can delay a funding round or partnership discussion</w:t>
      </w:r>
    </w:p>
    <w:p>
      <w:pPr>
        <w:pStyle w:val="ListParagraph"/>
        <w:numPr>
          <w:ilvl w:val="0"/>
          <w:numId w:val="2"/>
        </w:numPr>
        <w:spacing w:after="40" w:before="40"/>
        <w:ind w:left="720" w:hanging="360"/>
      </w:pPr>
      <w:r>
        <w:rPr>
          <w:rFonts w:ascii="Arial" w:cs="Arial" w:eastAsia="Arial" w:hAnsi="Arial"/>
          <w:b w:val="false"/>
          <w:bCs w:val="false"/>
          <w:color w:val="1E293B"/>
          <w:sz w:val="22"/>
          <w:szCs w:val="22"/>
        </w:rPr>
        <w:t xml:space="preserve">Site selection is done by relationship rather than data — they use the same 3–5 sites repeatedly</w:t>
      </w:r>
    </w:p>
    <w:p>
      <w:pPr>
        <w:pStyle w:val="ListParagraph"/>
        <w:numPr>
          <w:ilvl w:val="0"/>
          <w:numId w:val="2"/>
        </w:numPr>
        <w:spacing w:after="40" w:before="40"/>
        <w:ind w:left="720" w:hanging="360"/>
      </w:pPr>
      <w:r>
        <w:rPr>
          <w:rFonts w:ascii="Arial" w:cs="Arial" w:eastAsia="Arial" w:hAnsi="Arial"/>
          <w:b w:val="false"/>
          <w:bCs w:val="false"/>
          <w:color w:val="1E293B"/>
          <w:sz w:val="22"/>
          <w:szCs w:val="22"/>
        </w:rPr>
        <w:t xml:space="preserve">No internal bioinformatics or data science team — they rely on CROs and external consultants for analytical work</w:t>
      </w:r>
    </w:p>
    <w:p>
      <w:pPr>
        <w:pStyle w:val="ListParagraph"/>
        <w:numPr>
          <w:ilvl w:val="0"/>
          <w:numId w:val="2"/>
        </w:numPr>
        <w:spacing w:after="40" w:before="40"/>
        <w:ind w:left="720" w:hanging="360"/>
      </w:pPr>
      <w:r>
        <w:rPr>
          <w:rFonts w:ascii="Arial" w:cs="Arial" w:eastAsia="Arial" w:hAnsi="Arial"/>
          <w:b w:val="false"/>
          <w:bCs w:val="false"/>
          <w:color w:val="1E293B"/>
          <w:sz w:val="22"/>
          <w:szCs w:val="22"/>
        </w:rPr>
        <w:t xml:space="preserve">Commercial database subscriptions ($300K–$600K/year for Citeline, Cortellis, etc.) are out of reach</w:t>
      </w:r>
    </w:p>
    <w:p>
      <w:pPr>
        <w:spacing w:after="80" w:before="0"/>
      </w:pPr>
    </w:p>
    <w:p>
      <w:pPr>
        <w:pStyle w:val="Heading3"/>
        <w:spacing w:after="80" w:before="200"/>
      </w:pPr>
      <w:r>
        <w:rPr>
          <w:rFonts w:ascii="Arial" w:cs="Arial" w:eastAsia="Arial" w:hAnsi="Arial"/>
          <w:b/>
          <w:bCs/>
          <w:color w:val="0D1F3C"/>
          <w:sz w:val="22"/>
          <w:szCs w:val="22"/>
        </w:rPr>
        <w:t xml:space="preserve">Value Narrative for This Audience</w:t>
      </w:r>
    </w:p>
    <w:p>
      <w:pPr>
        <w:spacing w:after="100" w:before="60"/>
      </w:pPr>
      <w:r>
        <w:rPr>
          <w:rFonts w:ascii="Arial" w:cs="Arial" w:eastAsia="Arial" w:hAnsi="Arial"/>
          <w:b w:val="false"/>
          <w:bCs w:val="false"/>
          <w:i w:val="false"/>
          <w:iCs w:val="false"/>
          <w:color w:val="1E293B"/>
          <w:sz w:val="22"/>
          <w:szCs w:val="22"/>
        </w:rPr>
        <w:t xml:space="preserve">Lead with the amendment cost calculation. Before showing any product, establish the baseline: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FFF7ED" w:val="clear"/>
            <w:tcMar>
              <w:top w:type="dxa" w:w="120"/>
              <w:left w:type="dxa" w:w="180"/>
              <w:bottom w:type="dxa" w:w="120"/>
              <w:right w:type="dxa" w:w="140"/>
            </w:tcMar>
          </w:tcPr>
          <w:p>
            <w:pPr>
              <w:spacing w:after="60" w:before="0"/>
            </w:pPr>
            <w:r>
              <w:rPr>
                <w:rFonts w:ascii="Arial" w:cs="Arial" w:eastAsia="Arial" w:hAnsi="Arial"/>
                <w:b/>
                <w:bCs/>
                <w:color w:val="92400E"/>
                <w:sz w:val="21"/>
                <w:szCs w:val="21"/>
              </w:rPr>
              <w:t xml:space="preserve">Without Hakase</w:t>
            </w:r>
          </w:p>
          <w:p>
            <w:pPr>
              <w:spacing w:after="40" w:before="0"/>
            </w:pPr>
            <w:r>
              <w:rPr>
                <w:rFonts w:ascii="Arial" w:cs="Arial" w:eastAsia="Arial" w:hAnsi="Arial"/>
                <w:color w:val="1E293B"/>
                <w:sz w:val="20"/>
                <w:szCs w:val="20"/>
              </w:rPr>
              <w:t xml:space="preserve">Industry average: 2.3 protocol amendments per study</w:t>
            </w:r>
          </w:p>
          <w:p>
            <w:pPr>
              <w:spacing w:after="40" w:before="0"/>
            </w:pPr>
            <w:r>
              <w:rPr>
                <w:rFonts w:ascii="Arial" w:cs="Arial" w:eastAsia="Arial" w:hAnsi="Arial"/>
                <w:color w:val="1E293B"/>
                <w:sz w:val="20"/>
                <w:szCs w:val="20"/>
              </w:rPr>
              <w:t xml:space="preserve">Cost per amendment: $500K–$2M</w:t>
            </w:r>
          </w:p>
          <w:p>
            <w:pPr>
              <w:spacing w:after="40" w:before="0"/>
            </w:pPr>
            <w:r>
              <w:rPr>
                <w:rFonts w:ascii="Arial" w:cs="Arial" w:eastAsia="Arial" w:hAnsi="Arial"/>
                <w:color w:val="1E293B"/>
                <w:sz w:val="20"/>
                <w:szCs w:val="20"/>
              </w:rPr>
              <w:t xml:space="preserve">Time lost: 2–4 months per amendment</w:t>
            </w:r>
          </w:p>
          <w:p>
            <w:pPr>
              <w:spacing w:after="0" w:before="0"/>
            </w:pPr>
            <w:r>
              <w:rPr>
                <w:rFonts w:ascii="Arial" w:cs="Arial" w:eastAsia="Arial" w:hAnsi="Arial"/>
                <w:b/>
                <w:bCs/>
                <w:color w:val="92400E"/>
                <w:sz w:val="20"/>
                <w:szCs w:val="20"/>
              </w:rPr>
              <w:t xml:space="preserve">Total exposure: $1.15M–$4.6M per protocol</w:t>
            </w:r>
          </w:p>
        </w:tc>
        <w:tc>
          <w:tcPr>
            <w:tcW w:type="dxa" w:w="4680"/>
            <w:tcBorders>
              <w:top w:val="single" w:color="D1D5DB" w:sz="1"/>
              <w:left w:val="single" w:color="D1D5DB" w:sz="1"/>
              <w:bottom w:val="single" w:color="D1D5DB" w:sz="1"/>
              <w:right w:val="single" w:color="D1D5DB" w:sz="1"/>
            </w:tcBorders>
            <w:shd w:fill="E6FFFE" w:val="clear"/>
            <w:tcMar>
              <w:top w:type="dxa" w:w="120"/>
              <w:left w:type="dxa" w:w="180"/>
              <w:bottom w:type="dxa" w:w="120"/>
              <w:right w:type="dxa" w:w="140"/>
            </w:tcMar>
          </w:tcPr>
          <w:p>
            <w:pPr>
              <w:spacing w:after="60" w:before="0"/>
            </w:pPr>
            <w:r>
              <w:rPr>
                <w:rFonts w:ascii="Arial" w:cs="Arial" w:eastAsia="Arial" w:hAnsi="Arial"/>
                <w:b/>
                <w:bCs/>
                <w:color w:val="007A75"/>
                <w:sz w:val="21"/>
                <w:szCs w:val="21"/>
              </w:rPr>
              <w:t xml:space="preserve">With Hakase Protocol Analysis</w:t>
            </w:r>
          </w:p>
          <w:p>
            <w:pPr>
              <w:spacing w:after="40" w:before="0"/>
            </w:pPr>
            <w:r>
              <w:rPr>
                <w:rFonts w:ascii="Arial" w:cs="Arial" w:eastAsia="Arial" w:hAnsi="Arial"/>
                <w:color w:val="1E293B"/>
                <w:sz w:val="20"/>
                <w:szCs w:val="20"/>
              </w:rPr>
              <w:t xml:space="preserve">Target: 1.2 amendments per study (48% reduction)</w:t>
            </w:r>
          </w:p>
          <w:p>
            <w:pPr>
              <w:spacing w:after="40" w:before="0"/>
            </w:pPr>
            <w:r>
              <w:rPr>
                <w:rFonts w:ascii="Arial" w:cs="Arial" w:eastAsia="Arial" w:hAnsi="Arial"/>
                <w:color w:val="1E293B"/>
                <w:sz w:val="20"/>
                <w:szCs w:val="20"/>
              </w:rPr>
              <w:t xml:space="preserve">Vulnerability flags surfaced before study start</w:t>
            </w:r>
          </w:p>
          <w:p>
            <w:pPr>
              <w:spacing w:after="40" w:before="0"/>
            </w:pPr>
            <w:r>
              <w:rPr>
                <w:rFonts w:ascii="Arial" w:cs="Arial" w:eastAsia="Arial" w:hAnsi="Arial"/>
                <w:color w:val="1E293B"/>
                <w:sz w:val="20"/>
                <w:szCs w:val="20"/>
              </w:rPr>
              <w:t xml:space="preserve">Site risk identified before activation spend</w:t>
            </w:r>
          </w:p>
          <w:p>
            <w:pPr>
              <w:spacing w:after="0" w:before="0"/>
            </w:pPr>
            <w:r>
              <w:rPr>
                <w:rFonts w:ascii="Arial" w:cs="Arial" w:eastAsia="Arial" w:hAnsi="Arial"/>
                <w:b/>
                <w:bCs/>
                <w:color w:val="007A75"/>
                <w:sz w:val="20"/>
                <w:szCs w:val="20"/>
              </w:rPr>
              <w:t xml:space="preserve">Estimated savings: $600K–$2.9M per protocol</w:t>
            </w:r>
          </w:p>
        </w:tc>
      </w:tr>
    </w:tbl>
    <w:p>
      <w:pPr>
        <w:spacing w:after="80" w:before="0"/>
      </w:pPr>
    </w:p>
    <w:p>
      <w:pPr>
        <w:pStyle w:val="Heading3"/>
        <w:spacing w:after="80" w:before="200"/>
      </w:pPr>
      <w:r>
        <w:rPr>
          <w:rFonts w:ascii="Arial" w:cs="Arial" w:eastAsia="Arial" w:hAnsi="Arial"/>
          <w:b/>
          <w:bCs/>
          <w:color w:val="0D1F3C"/>
          <w:sz w:val="22"/>
          <w:szCs w:val="22"/>
        </w:rPr>
        <w:t xml:space="preserve">Pilot Proposal for Small Biotech</w:t>
      </w:r>
    </w:p>
    <w:p>
      <w:pPr>
        <w:spacing w:after="60" w:before="60"/>
      </w:pPr>
      <w:r>
        <w:rPr>
          <w:rFonts w:ascii="Arial" w:cs="Arial" w:eastAsia="Arial" w:hAnsi="Arial"/>
          <w:b/>
          <w:bCs/>
          <w:color w:val="475569"/>
          <w:sz w:val="22"/>
          <w:szCs w:val="22"/>
        </w:rPr>
        <w:t xml:space="preserve">Format: </w:t>
      </w:r>
      <w:r>
        <w:rPr>
          <w:rFonts w:ascii="Arial" w:cs="Arial" w:eastAsia="Arial" w:hAnsi="Arial"/>
          <w:color w:val="1E293B"/>
          <w:sz w:val="22"/>
          <w:szCs w:val="22"/>
        </w:rPr>
        <w:t xml:space="preserve">Proof of Value — 2 week structured pilot</w:t>
      </w:r>
    </w:p>
    <w:p>
      <w:pPr>
        <w:spacing w:after="60" w:before="60"/>
      </w:pPr>
      <w:r>
        <w:rPr>
          <w:rFonts w:ascii="Arial" w:cs="Arial" w:eastAsia="Arial" w:hAnsi="Arial"/>
          <w:b/>
          <w:bCs/>
          <w:color w:val="475569"/>
          <w:sz w:val="22"/>
          <w:szCs w:val="22"/>
        </w:rPr>
        <w:t xml:space="preserve">Deliverable: </w:t>
      </w:r>
      <w:r>
        <w:rPr>
          <w:rFonts w:ascii="Arial" w:cs="Arial" w:eastAsia="Arial" w:hAnsi="Arial"/>
          <w:color w:val="1E293B"/>
          <w:sz w:val="22"/>
          <w:szCs w:val="22"/>
        </w:rPr>
        <w:t xml:space="preserve">Full protocol analysis report on 1–2 active or planned protocols</w:t>
      </w:r>
    </w:p>
    <w:p>
      <w:pPr>
        <w:spacing w:after="60" w:before="60"/>
      </w:pPr>
      <w:r>
        <w:rPr>
          <w:rFonts w:ascii="Arial" w:cs="Arial" w:eastAsia="Arial" w:hAnsi="Arial"/>
          <w:b/>
          <w:bCs/>
          <w:color w:val="475569"/>
          <w:sz w:val="22"/>
          <w:szCs w:val="22"/>
        </w:rPr>
        <w:t xml:space="preserve">Contact: </w:t>
      </w:r>
      <w:r>
        <w:rPr>
          <w:rFonts w:ascii="Arial" w:cs="Arial" w:eastAsia="Arial" w:hAnsi="Arial"/>
          <w:color w:val="1E293B"/>
          <w:sz w:val="22"/>
          <w:szCs w:val="22"/>
        </w:rPr>
        <w:t xml:space="preserve">CEO, CSO, or VP Clinical Development</w:t>
      </w:r>
    </w:p>
    <w:p>
      <w:pPr>
        <w:spacing w:after="60" w:before="60"/>
      </w:pPr>
      <w:r>
        <w:rPr>
          <w:rFonts w:ascii="Arial" w:cs="Arial" w:eastAsia="Arial" w:hAnsi="Arial"/>
          <w:b/>
          <w:bCs/>
          <w:color w:val="475569"/>
          <w:sz w:val="22"/>
          <w:szCs w:val="22"/>
        </w:rPr>
        <w:t xml:space="preserve">Ask from prospect: </w:t>
      </w:r>
      <w:r>
        <w:rPr>
          <w:rFonts w:ascii="Arial" w:cs="Arial" w:eastAsia="Arial" w:hAnsi="Arial"/>
          <w:color w:val="1E293B"/>
          <w:sz w:val="22"/>
          <w:szCs w:val="22"/>
        </w:rPr>
        <w:t xml:space="preserve">A protocol document (PDF or DOCX) — draft acceptable</w:t>
      </w:r>
    </w:p>
    <w:p>
      <w:pPr>
        <w:spacing w:after="60" w:before="60"/>
      </w:pPr>
      <w:r>
        <w:rPr>
          <w:rFonts w:ascii="Arial" w:cs="Arial" w:eastAsia="Arial" w:hAnsi="Arial"/>
          <w:b/>
          <w:bCs/>
          <w:color w:val="475569"/>
          <w:sz w:val="22"/>
          <w:szCs w:val="22"/>
        </w:rPr>
        <w:t xml:space="preserve">Success criterion: </w:t>
      </w:r>
      <w:r>
        <w:rPr>
          <w:rFonts w:ascii="Arial" w:cs="Arial" w:eastAsia="Arial" w:hAnsi="Arial"/>
          <w:color w:val="1E293B"/>
          <w:sz w:val="22"/>
          <w:szCs w:val="22"/>
        </w:rPr>
        <w:t xml:space="preserve">Prospect confirms the vulnerability flags are clinically meaningful and the site recommendations are actionable</w:t>
      </w:r>
    </w:p>
    <w:p>
      <w:pPr>
        <w:spacing w:after="60" w:before="60"/>
      </w:pPr>
      <w:r>
        <w:rPr>
          <w:rFonts w:ascii="Arial" w:cs="Arial" w:eastAsia="Arial" w:hAnsi="Arial"/>
          <w:b/>
          <w:bCs/>
          <w:color w:val="475569"/>
          <w:sz w:val="22"/>
          <w:szCs w:val="22"/>
        </w:rPr>
        <w:t xml:space="preserve">Expansion trigger: </w:t>
      </w:r>
      <w:r>
        <w:rPr>
          <w:rFonts w:ascii="Arial" w:cs="Arial" w:eastAsia="Arial" w:hAnsi="Arial"/>
          <w:color w:val="1E293B"/>
          <w:sz w:val="22"/>
          <w:szCs w:val="22"/>
        </w:rPr>
        <w:t xml:space="preserve">Second study, or introduction to their CRO for joint use</w:t>
      </w:r>
    </w:p>
    <w:p>
      <w:pPr>
        <w:spacing w:after="200" w:before="0"/>
      </w:pPr>
    </w:p>
    <w:p>
      <w:pPr>
        <w:pStyle w:val="Heading2"/>
        <w:spacing w:after="120" w:before="280"/>
      </w:pPr>
      <w:r>
        <w:rPr>
          <w:rFonts w:ascii="Arial" w:cs="Arial" w:eastAsia="Arial" w:hAnsi="Arial"/>
          <w:b/>
          <w:bCs/>
          <w:color w:val="0D1F3C"/>
          <w:sz w:val="26"/>
          <w:szCs w:val="26"/>
        </w:rPr>
        <w:t xml:space="preserve">4.2  CRO — Detailed Engagement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60"/>
              <w:left w:type="dxa" w:w="240"/>
              <w:bottom w:type="dxa" w:w="160"/>
              <w:right w:type="dxa" w:w="240"/>
            </w:tcMar>
          </w:tcPr>
          <w:p>
            <w:pPr>
              <w:spacing w:after="100" w:before="0"/>
            </w:pPr>
            <w:r>
              <w:rPr>
                <w:rFonts w:ascii="Arial" w:cs="Arial" w:eastAsia="Arial" w:hAnsi="Arial"/>
                <w:b/>
                <w:bCs/>
                <w:color w:val="0D1F3C"/>
                <w:sz w:val="22"/>
                <w:szCs w:val="22"/>
              </w:rPr>
              <w:t xml:space="preserve">Company Profile (Target)</w:t>
            </w:r>
          </w:p>
          <w:p>
            <w:pPr>
              <w:spacing w:after="40" w:before="0"/>
            </w:pPr>
            <w:r>
              <w:rPr>
                <w:rFonts w:ascii="Arial" w:cs="Arial" w:eastAsia="Arial" w:hAnsi="Arial"/>
                <w:color w:val="1E293B"/>
                <w:sz w:val="20"/>
                <w:szCs w:val="20"/>
              </w:rPr>
              <w:t xml:space="preserve">Boutique or mid-size CRO · 50–500 employees · Managing 5–20 active client studies · Revenue model tied to study success and client renewal</w:t>
            </w:r>
          </w:p>
        </w:tc>
      </w:tr>
    </w:tbl>
    <w:p>
      <w:pPr>
        <w:spacing w:after="80" w:before="0"/>
      </w:pPr>
    </w:p>
    <w:p>
      <w:pPr>
        <w:pStyle w:val="Heading3"/>
        <w:spacing w:after="80" w:before="200"/>
      </w:pPr>
      <w:r>
        <w:rPr>
          <w:rFonts w:ascii="Arial" w:cs="Arial" w:eastAsia="Arial" w:hAnsi="Arial"/>
          <w:b/>
          <w:bCs/>
          <w:color w:val="0D1F3C"/>
          <w:sz w:val="22"/>
          <w:szCs w:val="22"/>
        </w:rPr>
        <w:t xml:space="preserve">Primary Pain Points</w:t>
      </w:r>
    </w:p>
    <w:p>
      <w:pPr>
        <w:pStyle w:val="ListParagraph"/>
        <w:numPr>
          <w:ilvl w:val="0"/>
          <w:numId w:val="2"/>
        </w:numPr>
        <w:spacing w:after="40" w:before="40"/>
        <w:ind w:left="720" w:hanging="360"/>
      </w:pPr>
      <w:r>
        <w:rPr>
          <w:rFonts w:ascii="Arial" w:cs="Arial" w:eastAsia="Arial" w:hAnsi="Arial"/>
          <w:b w:val="false"/>
          <w:bCs w:val="false"/>
          <w:color w:val="1E293B"/>
          <w:sz w:val="22"/>
          <w:szCs w:val="22"/>
        </w:rPr>
        <w:t xml:space="preserve">Client expectations are set at bid time — CROs that miss enrollment targets or timelines lose renewal contracts</w:t>
      </w:r>
    </w:p>
    <w:p>
      <w:pPr>
        <w:pStyle w:val="ListParagraph"/>
        <w:numPr>
          <w:ilvl w:val="0"/>
          <w:numId w:val="2"/>
        </w:numPr>
        <w:spacing w:after="40" w:before="40"/>
        <w:ind w:left="720" w:hanging="360"/>
      </w:pPr>
      <w:r>
        <w:rPr>
          <w:rFonts w:ascii="Arial" w:cs="Arial" w:eastAsia="Arial" w:hAnsi="Arial"/>
          <w:b w:val="false"/>
          <w:bCs w:val="false"/>
          <w:color w:val="1E293B"/>
          <w:sz w:val="22"/>
          <w:szCs w:val="22"/>
        </w:rPr>
        <w:t xml:space="preserve">Protocol feasibility assessments are done manually and are time-consuming — often based on investigator relationships</w:t>
      </w:r>
    </w:p>
    <w:p>
      <w:pPr>
        <w:pStyle w:val="ListParagraph"/>
        <w:numPr>
          <w:ilvl w:val="0"/>
          <w:numId w:val="2"/>
        </w:numPr>
        <w:spacing w:after="40" w:before="40"/>
        <w:ind w:left="720" w:hanging="360"/>
      </w:pPr>
      <w:r>
        <w:rPr>
          <w:rFonts w:ascii="Arial" w:cs="Arial" w:eastAsia="Arial" w:hAnsi="Arial"/>
          <w:b w:val="false"/>
          <w:bCs w:val="false"/>
          <w:color w:val="1E293B"/>
          <w:sz w:val="22"/>
          <w:szCs w:val="22"/>
        </w:rPr>
        <w:t xml:space="preserve">Site selection is the single biggest operational variable — poor site selection cascades into delays, cost overruns, and quality issues</w:t>
      </w:r>
    </w:p>
    <w:p>
      <w:pPr>
        <w:pStyle w:val="ListParagraph"/>
        <w:numPr>
          <w:ilvl w:val="0"/>
          <w:numId w:val="2"/>
        </w:numPr>
        <w:spacing w:after="40" w:before="40"/>
        <w:ind w:left="720" w:hanging="360"/>
      </w:pPr>
      <w:r>
        <w:rPr>
          <w:rFonts w:ascii="Arial" w:cs="Arial" w:eastAsia="Arial" w:hAnsi="Arial"/>
          <w:b w:val="false"/>
          <w:bCs w:val="false"/>
          <w:color w:val="1E293B"/>
          <w:sz w:val="22"/>
          <w:szCs w:val="22"/>
        </w:rPr>
        <w:t xml:space="preserve">Differentiation from competitors is difficult — most CROs offer similar service lines and compete on price</w:t>
      </w:r>
    </w:p>
    <w:p>
      <w:pPr>
        <w:pStyle w:val="ListParagraph"/>
        <w:numPr>
          <w:ilvl w:val="0"/>
          <w:numId w:val="2"/>
        </w:numPr>
        <w:spacing w:after="40" w:before="40"/>
        <w:ind w:left="720" w:hanging="360"/>
      </w:pPr>
      <w:r>
        <w:rPr>
          <w:rFonts w:ascii="Arial" w:cs="Arial" w:eastAsia="Arial" w:hAnsi="Arial"/>
          <w:b w:val="false"/>
          <w:bCs w:val="false"/>
          <w:color w:val="1E293B"/>
          <w:sz w:val="22"/>
          <w:szCs w:val="22"/>
        </w:rPr>
        <w:t xml:space="preserve">Clients increasingly ask about AI-enhanced capabilities during RFP processes</w:t>
      </w:r>
    </w:p>
    <w:p>
      <w:pPr>
        <w:spacing w:after="80" w:before="0"/>
      </w:pPr>
    </w:p>
    <w:p>
      <w:pPr>
        <w:pStyle w:val="Heading3"/>
        <w:spacing w:after="80" w:before="200"/>
      </w:pPr>
      <w:r>
        <w:rPr>
          <w:rFonts w:ascii="Arial" w:cs="Arial" w:eastAsia="Arial" w:hAnsi="Arial"/>
          <w:b/>
          <w:bCs/>
          <w:color w:val="0D1F3C"/>
          <w:sz w:val="22"/>
          <w:szCs w:val="22"/>
        </w:rPr>
        <w:t xml:space="preserve">Value Narrative for This Audience</w:t>
      </w:r>
    </w:p>
    <w:p>
      <w:pPr>
        <w:spacing w:after="100" w:before="60"/>
      </w:pPr>
      <w:r>
        <w:rPr>
          <w:rFonts w:ascii="Arial" w:cs="Arial" w:eastAsia="Arial" w:hAnsi="Arial"/>
          <w:b w:val="false"/>
          <w:bCs w:val="false"/>
          <w:i w:val="false"/>
          <w:iCs w:val="false"/>
          <w:color w:val="1E293B"/>
          <w:sz w:val="22"/>
          <w:szCs w:val="22"/>
        </w:rPr>
        <w:t xml:space="preserve">For CROs, the value of Hakase is not just internal efficiency — it is a competitive positioning tool. A CRO that can show a pharma client an AI-backed feasibility report at the bid stage is operating at a qualitatively different level than a competitor who submits a manually prepared estimate.</w:t>
      </w:r>
    </w:p>
    <w:p>
      <w:pPr>
        <w:spacing w:after="60" w:before="0"/>
      </w:pPr>
    </w:p>
    <w:p>
      <w:pPr>
        <w:pStyle w:val="ListParagraph"/>
        <w:numPr>
          <w:ilvl w:val="0"/>
          <w:numId w:val="2"/>
        </w:numPr>
        <w:spacing w:after="40" w:before="40"/>
        <w:ind w:left="720" w:hanging="360"/>
      </w:pPr>
      <w:r>
        <w:rPr>
          <w:rFonts w:ascii="Arial" w:cs="Arial" w:eastAsia="Arial" w:hAnsi="Arial"/>
          <w:b w:val="false"/>
          <w:bCs w:val="false"/>
          <w:color w:val="1E293B"/>
          <w:sz w:val="22"/>
          <w:szCs w:val="22"/>
        </w:rPr>
        <w:t xml:space="preserve">Position Hakase as a bid-enhancement tool: use the Protocol Analytics output to produce a data-backed feasibility report for clients within the same week a protocol is received</w:t>
      </w:r>
    </w:p>
    <w:p>
      <w:pPr>
        <w:pStyle w:val="ListParagraph"/>
        <w:numPr>
          <w:ilvl w:val="0"/>
          <w:numId w:val="2"/>
        </w:numPr>
        <w:spacing w:after="40" w:before="40"/>
        <w:ind w:left="720" w:hanging="360"/>
      </w:pPr>
      <w:r>
        <w:rPr>
          <w:rFonts w:ascii="Arial" w:cs="Arial" w:eastAsia="Arial" w:hAnsi="Arial"/>
          <w:b w:val="false"/>
          <w:bCs w:val="false"/>
          <w:color w:val="1E293B"/>
          <w:sz w:val="22"/>
          <w:szCs w:val="22"/>
        </w:rPr>
        <w:t xml:space="preserve">Site recommendation engine replaces the 2–3 week site identification process with a ranked, evidence-based shortlist</w:t>
      </w:r>
    </w:p>
    <w:p>
      <w:pPr>
        <w:pStyle w:val="ListParagraph"/>
        <w:numPr>
          <w:ilvl w:val="0"/>
          <w:numId w:val="2"/>
        </w:numPr>
        <w:spacing w:after="40" w:before="40"/>
        <w:ind w:left="720" w:hanging="360"/>
      </w:pPr>
      <w:r>
        <w:rPr>
          <w:rFonts w:ascii="Arial" w:cs="Arial" w:eastAsia="Arial" w:hAnsi="Arial"/>
          <w:b w:val="false"/>
          <w:bCs w:val="false"/>
          <w:color w:val="1E293B"/>
          <w:sz w:val="22"/>
          <w:szCs w:val="22"/>
        </w:rPr>
        <w:t xml:space="preserve">Trial Explorer enables CROs to proactively show clients the competitive landscape — trials recruiting in the same indication, enrollment benchmarks, and risk factors — adding advisory value to the service</w:t>
      </w:r>
    </w:p>
    <w:p>
      <w:pPr>
        <w:spacing w:after="80" w:before="0"/>
      </w:pPr>
    </w:p>
    <w:p>
      <w:pPr>
        <w:pStyle w:val="Heading3"/>
        <w:spacing w:after="80" w:before="200"/>
      </w:pPr>
      <w:r>
        <w:rPr>
          <w:rFonts w:ascii="Arial" w:cs="Arial" w:eastAsia="Arial" w:hAnsi="Arial"/>
          <w:b/>
          <w:bCs/>
          <w:color w:val="0D1F3C"/>
          <w:sz w:val="22"/>
          <w:szCs w:val="22"/>
        </w:rPr>
        <w:t xml:space="preserve">Pilot Proposal for CRO</w:t>
      </w:r>
    </w:p>
    <w:p>
      <w:pPr>
        <w:spacing w:after="60" w:before="60"/>
      </w:pPr>
      <w:r>
        <w:rPr>
          <w:rFonts w:ascii="Arial" w:cs="Arial" w:eastAsia="Arial" w:hAnsi="Arial"/>
          <w:b/>
          <w:bCs/>
          <w:color w:val="475569"/>
          <w:sz w:val="22"/>
          <w:szCs w:val="22"/>
        </w:rPr>
        <w:t xml:space="preserve">Format: </w:t>
      </w:r>
      <w:r>
        <w:rPr>
          <w:rFonts w:ascii="Arial" w:cs="Arial" w:eastAsia="Arial" w:hAnsi="Arial"/>
          <w:color w:val="1E293B"/>
          <w:sz w:val="22"/>
          <w:szCs w:val="22"/>
        </w:rPr>
        <w:t xml:space="preserve">30-day operational pilot on an active client study</w:t>
      </w:r>
    </w:p>
    <w:p>
      <w:pPr>
        <w:spacing w:after="60" w:before="60"/>
      </w:pPr>
      <w:r>
        <w:rPr>
          <w:rFonts w:ascii="Arial" w:cs="Arial" w:eastAsia="Arial" w:hAnsi="Arial"/>
          <w:b/>
          <w:bCs/>
          <w:color w:val="475569"/>
          <w:sz w:val="22"/>
          <w:szCs w:val="22"/>
        </w:rPr>
        <w:t xml:space="preserve">Deliverable: </w:t>
      </w:r>
      <w:r>
        <w:rPr>
          <w:rFonts w:ascii="Arial" w:cs="Arial" w:eastAsia="Arial" w:hAnsi="Arial"/>
          <w:color w:val="1E293B"/>
          <w:sz w:val="22"/>
          <w:szCs w:val="22"/>
        </w:rPr>
        <w:t xml:space="preserve">Parallel analysis of current feasibility process vs. Hakase output — compare site recommendations, timeline estimates, and protocol flags</w:t>
      </w:r>
    </w:p>
    <w:p>
      <w:pPr>
        <w:spacing w:after="60" w:before="60"/>
      </w:pPr>
      <w:r>
        <w:rPr>
          <w:rFonts w:ascii="Arial" w:cs="Arial" w:eastAsia="Arial" w:hAnsi="Arial"/>
          <w:b/>
          <w:bCs/>
          <w:color w:val="475569"/>
          <w:sz w:val="22"/>
          <w:szCs w:val="22"/>
        </w:rPr>
        <w:t xml:space="preserve">Contact: </w:t>
      </w:r>
      <w:r>
        <w:rPr>
          <w:rFonts w:ascii="Arial" w:cs="Arial" w:eastAsia="Arial" w:hAnsi="Arial"/>
          <w:color w:val="1E293B"/>
          <w:sz w:val="22"/>
          <w:szCs w:val="22"/>
        </w:rPr>
        <w:t xml:space="preserve">Head of Clinical Operations or BD Director</w:t>
      </w:r>
    </w:p>
    <w:p>
      <w:pPr>
        <w:spacing w:after="60" w:before="60"/>
      </w:pPr>
      <w:r>
        <w:rPr>
          <w:rFonts w:ascii="Arial" w:cs="Arial" w:eastAsia="Arial" w:hAnsi="Arial"/>
          <w:b/>
          <w:bCs/>
          <w:color w:val="475569"/>
          <w:sz w:val="22"/>
          <w:szCs w:val="22"/>
        </w:rPr>
        <w:t xml:space="preserve">Ask from prospect: </w:t>
      </w:r>
      <w:r>
        <w:rPr>
          <w:rFonts w:ascii="Arial" w:cs="Arial" w:eastAsia="Arial" w:hAnsi="Arial"/>
          <w:color w:val="1E293B"/>
          <w:sz w:val="22"/>
          <w:szCs w:val="22"/>
        </w:rPr>
        <w:t xml:space="preserve">One active protocol currently in feasibility assessment — allows direct comparison</w:t>
      </w:r>
    </w:p>
    <w:p>
      <w:pPr>
        <w:spacing w:after="60" w:before="60"/>
      </w:pPr>
      <w:r>
        <w:rPr>
          <w:rFonts w:ascii="Arial" w:cs="Arial" w:eastAsia="Arial" w:hAnsi="Arial"/>
          <w:b/>
          <w:bCs/>
          <w:color w:val="475569"/>
          <w:sz w:val="22"/>
          <w:szCs w:val="22"/>
        </w:rPr>
        <w:t xml:space="preserve">Success criterion: </w:t>
      </w:r>
      <w:r>
        <w:rPr>
          <w:rFonts w:ascii="Arial" w:cs="Arial" w:eastAsia="Arial" w:hAnsi="Arial"/>
          <w:color w:val="1E293B"/>
          <w:sz w:val="22"/>
          <w:szCs w:val="22"/>
        </w:rPr>
        <w:t xml:space="preserve">Hakase site recommendations overlap meaningfully with CRO's own, or surface additional high-performing sites not on the CRO's initial list</w:t>
      </w:r>
    </w:p>
    <w:p>
      <w:pPr>
        <w:spacing w:after="60" w:before="60"/>
      </w:pPr>
      <w:r>
        <w:rPr>
          <w:rFonts w:ascii="Arial" w:cs="Arial" w:eastAsia="Arial" w:hAnsi="Arial"/>
          <w:b/>
          <w:bCs/>
          <w:color w:val="475569"/>
          <w:sz w:val="22"/>
          <w:szCs w:val="22"/>
        </w:rPr>
        <w:t xml:space="preserve">Expansion trigger: </w:t>
      </w:r>
      <w:r>
        <w:rPr>
          <w:rFonts w:ascii="Arial" w:cs="Arial" w:eastAsia="Arial" w:hAnsi="Arial"/>
          <w:color w:val="1E293B"/>
          <w:sz w:val="22"/>
          <w:szCs w:val="22"/>
        </w:rPr>
        <w:t xml:space="preserve">Integration into standard bid process, multi-study license</w:t>
      </w:r>
    </w:p>
    <w:p>
      <w:pPr>
        <w:spacing w:after="200" w:before="0"/>
      </w:pPr>
    </w:p>
    <w:p>
      <w:pPr>
        <w:pStyle w:val="Heading2"/>
        <w:spacing w:after="120" w:before="280"/>
      </w:pPr>
      <w:r>
        <w:rPr>
          <w:rFonts w:ascii="Arial" w:cs="Arial" w:eastAsia="Arial" w:hAnsi="Arial"/>
          <w:b/>
          <w:bCs/>
          <w:color w:val="0D1F3C"/>
          <w:sz w:val="26"/>
          <w:szCs w:val="26"/>
        </w:rPr>
        <w:t xml:space="preserve">4.3  Small Pharma — Detailed Engagement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60"/>
              <w:left w:type="dxa" w:w="240"/>
              <w:bottom w:type="dxa" w:w="160"/>
              <w:right w:type="dxa" w:w="240"/>
            </w:tcMar>
          </w:tcPr>
          <w:p>
            <w:pPr>
              <w:spacing w:after="100" w:before="0"/>
            </w:pPr>
            <w:r>
              <w:rPr>
                <w:rFonts w:ascii="Arial" w:cs="Arial" w:eastAsia="Arial" w:hAnsi="Arial"/>
                <w:b/>
                <w:bCs/>
                <w:color w:val="0D1F3C"/>
                <w:sz w:val="22"/>
                <w:szCs w:val="22"/>
              </w:rPr>
              <w:t xml:space="preserve">Company Profile (Target)</w:t>
            </w:r>
          </w:p>
          <w:p>
            <w:pPr>
              <w:spacing w:after="40" w:before="0"/>
            </w:pPr>
            <w:r>
              <w:rPr>
                <w:rFonts w:ascii="Arial" w:cs="Arial" w:eastAsia="Arial" w:hAnsi="Arial"/>
                <w:color w:val="1E293B"/>
                <w:sz w:val="20"/>
                <w:szCs w:val="20"/>
              </w:rPr>
              <w:t xml:space="preserve">Established small pharma · 200–1,000 employees · 3–10 active trials · Phase II and III focus · Existing CRO relationships but seeking more internal analytical capability</w:t>
            </w:r>
          </w:p>
        </w:tc>
      </w:tr>
    </w:tbl>
    <w:p>
      <w:pPr>
        <w:spacing w:after="80" w:before="0"/>
      </w:pPr>
    </w:p>
    <w:p>
      <w:pPr>
        <w:pStyle w:val="Heading3"/>
        <w:spacing w:after="80" w:before="200"/>
      </w:pPr>
      <w:r>
        <w:rPr>
          <w:rFonts w:ascii="Arial" w:cs="Arial" w:eastAsia="Arial" w:hAnsi="Arial"/>
          <w:b/>
          <w:bCs/>
          <w:color w:val="0D1F3C"/>
          <w:sz w:val="22"/>
          <w:szCs w:val="22"/>
        </w:rPr>
        <w:t xml:space="preserve">Primary Pain Points</w:t>
      </w:r>
    </w:p>
    <w:p>
      <w:pPr>
        <w:pStyle w:val="ListParagraph"/>
        <w:numPr>
          <w:ilvl w:val="0"/>
          <w:numId w:val="2"/>
        </w:numPr>
        <w:spacing w:after="40" w:before="40"/>
        <w:ind w:left="720" w:hanging="360"/>
      </w:pPr>
      <w:r>
        <w:rPr>
          <w:rFonts w:ascii="Arial" w:cs="Arial" w:eastAsia="Arial" w:hAnsi="Arial"/>
          <w:b w:val="false"/>
          <w:bCs w:val="false"/>
          <w:color w:val="1E293B"/>
          <w:sz w:val="22"/>
          <w:szCs w:val="22"/>
        </w:rPr>
        <w:t xml:space="preserve">Late-stage trial failures are catastrophic — a Phase III failure at $50M+ sunk cost is existential for small pharma</w:t>
      </w:r>
    </w:p>
    <w:p>
      <w:pPr>
        <w:pStyle w:val="ListParagraph"/>
        <w:numPr>
          <w:ilvl w:val="0"/>
          <w:numId w:val="2"/>
        </w:numPr>
        <w:spacing w:after="40" w:before="40"/>
        <w:ind w:left="720" w:hanging="360"/>
      </w:pPr>
      <w:r>
        <w:rPr>
          <w:rFonts w:ascii="Arial" w:cs="Arial" w:eastAsia="Arial" w:hAnsi="Arial"/>
          <w:b w:val="false"/>
          <w:bCs w:val="false"/>
          <w:color w:val="1E293B"/>
          <w:sz w:val="22"/>
          <w:szCs w:val="22"/>
        </w:rPr>
        <w:t xml:space="preserve">Internal data science capability exists but is stretched — teams need tools that reduce manual analysis time</w:t>
      </w:r>
    </w:p>
    <w:p>
      <w:pPr>
        <w:pStyle w:val="ListParagraph"/>
        <w:numPr>
          <w:ilvl w:val="0"/>
          <w:numId w:val="2"/>
        </w:numPr>
        <w:spacing w:after="40" w:before="40"/>
        <w:ind w:left="720" w:hanging="360"/>
      </w:pPr>
      <w:r>
        <w:rPr>
          <w:rFonts w:ascii="Arial" w:cs="Arial" w:eastAsia="Arial" w:hAnsi="Arial"/>
          <w:b w:val="false"/>
          <w:bCs w:val="false"/>
          <w:color w:val="1E293B"/>
          <w:sz w:val="22"/>
          <w:szCs w:val="22"/>
        </w:rPr>
        <w:t xml:space="preserve">Regulatory risk is their top concern: what are the chances of approval, and what will the FDA or EMA likely flag?</w:t>
      </w:r>
    </w:p>
    <w:p>
      <w:pPr>
        <w:pStyle w:val="ListParagraph"/>
        <w:numPr>
          <w:ilvl w:val="0"/>
          <w:numId w:val="2"/>
        </w:numPr>
        <w:spacing w:after="40" w:before="40"/>
        <w:ind w:left="720" w:hanging="360"/>
      </w:pPr>
      <w:r>
        <w:rPr>
          <w:rFonts w:ascii="Arial" w:cs="Arial" w:eastAsia="Arial" w:hAnsi="Arial"/>
          <w:b w:val="false"/>
          <w:bCs w:val="false"/>
          <w:color w:val="1E293B"/>
          <w:sz w:val="22"/>
          <w:szCs w:val="22"/>
        </w:rPr>
        <w:t xml:space="preserve">Portfolio prioritization decisions are difficult without cross-trial benchmarking data</w:t>
      </w:r>
    </w:p>
    <w:p>
      <w:pPr>
        <w:pStyle w:val="ListParagraph"/>
        <w:numPr>
          <w:ilvl w:val="0"/>
          <w:numId w:val="2"/>
        </w:numPr>
        <w:spacing w:after="40" w:before="40"/>
        <w:ind w:left="720" w:hanging="360"/>
      </w:pPr>
      <w:r>
        <w:rPr>
          <w:rFonts w:ascii="Arial" w:cs="Arial" w:eastAsia="Arial" w:hAnsi="Arial"/>
          <w:b w:val="false"/>
          <w:bCs w:val="false"/>
          <w:color w:val="1E293B"/>
          <w:sz w:val="22"/>
          <w:szCs w:val="22"/>
        </w:rPr>
        <w:t xml:space="preserve">Commercial database costs are high — paying $1–2M/year for Citeline or Cortellis for data that Hakase integrates for free</w:t>
      </w:r>
    </w:p>
    <w:p>
      <w:pPr>
        <w:spacing w:after="80" w:before="0"/>
      </w:pPr>
    </w:p>
    <w:p>
      <w:pPr>
        <w:pStyle w:val="Heading3"/>
        <w:spacing w:after="80" w:before="200"/>
      </w:pPr>
      <w:r>
        <w:rPr>
          <w:rFonts w:ascii="Arial" w:cs="Arial" w:eastAsia="Arial" w:hAnsi="Arial"/>
          <w:b/>
          <w:bCs/>
          <w:color w:val="0D1F3C"/>
          <w:sz w:val="22"/>
          <w:szCs w:val="22"/>
        </w:rPr>
        <w:t xml:space="preserve">Value Narrative for This Audience</w:t>
      </w:r>
    </w:p>
    <w:p>
      <w:pPr>
        <w:spacing w:after="100" w:before="60"/>
      </w:pPr>
      <w:r>
        <w:rPr>
          <w:rFonts w:ascii="Arial" w:cs="Arial" w:eastAsia="Arial" w:hAnsi="Arial"/>
          <w:b w:val="false"/>
          <w:bCs w:val="false"/>
          <w:i w:val="false"/>
          <w:iCs w:val="false"/>
          <w:color w:val="1E293B"/>
          <w:sz w:val="22"/>
          <w:szCs w:val="22"/>
        </w:rPr>
        <w:t xml:space="preserve">Small pharma is more sophisticated than small biotech — they will probe deeper on methodology. The value pitch here centers on analytical depth, regulatory risk reduction, and database cost replacement:</w:t>
      </w:r>
    </w:p>
    <w:p>
      <w:pPr>
        <w:spacing w:after="60" w:before="0"/>
      </w:pPr>
    </w:p>
    <w:p>
      <w:pPr>
        <w:pStyle w:val="ListParagraph"/>
        <w:numPr>
          <w:ilvl w:val="0"/>
          <w:numId w:val="2"/>
        </w:numPr>
        <w:spacing w:after="40" w:before="40"/>
        <w:ind w:left="720" w:hanging="360"/>
      </w:pPr>
      <w:r>
        <w:rPr>
          <w:rFonts w:ascii="Arial" w:cs="Arial" w:eastAsia="Arial" w:hAnsi="Arial"/>
          <w:b w:val="false"/>
          <w:bCs w:val="false"/>
          <w:color w:val="1E293B"/>
          <w:sz w:val="22"/>
          <w:szCs w:val="22"/>
        </w:rPr>
        <w:t xml:space="preserve">The Protocol Analytics Engine draws on 328,000+ historical trials and applies PCA and SGD classifiers — describe the methodology, because this audience will ask</w:t>
      </w:r>
    </w:p>
    <w:p>
      <w:pPr>
        <w:pStyle w:val="ListParagraph"/>
        <w:numPr>
          <w:ilvl w:val="0"/>
          <w:numId w:val="2"/>
        </w:numPr>
        <w:spacing w:after="40" w:before="40"/>
        <w:ind w:left="720" w:hanging="360"/>
      </w:pPr>
      <w:r>
        <w:rPr>
          <w:rFonts w:ascii="Arial" w:cs="Arial" w:eastAsia="Arial" w:hAnsi="Arial"/>
          <w:b w:val="false"/>
          <w:bCs w:val="false"/>
          <w:color w:val="1E293B"/>
          <w:sz w:val="22"/>
          <w:szCs w:val="22"/>
        </w:rPr>
        <w:t xml:space="preserve">Frame the database integration story: ClinicalTrials.gov (400K trials), PubMed (35M+ publications), FDA FAERS (20M+ adverse events) — all integrated and searchable, replacing databases that cost $300K–$600K each annually</w:t>
      </w:r>
    </w:p>
    <w:p>
      <w:pPr>
        <w:pStyle w:val="ListParagraph"/>
        <w:numPr>
          <w:ilvl w:val="0"/>
          <w:numId w:val="2"/>
        </w:numPr>
        <w:spacing w:after="40" w:before="40"/>
        <w:ind w:left="720" w:hanging="360"/>
      </w:pPr>
      <w:r>
        <w:rPr>
          <w:rFonts w:ascii="Arial" w:cs="Arial" w:eastAsia="Arial" w:hAnsi="Arial"/>
          <w:b w:val="false"/>
          <w:bCs w:val="false"/>
          <w:color w:val="1E293B"/>
          <w:sz w:val="22"/>
          <w:szCs w:val="22"/>
        </w:rPr>
        <w:t xml:space="preserve">KOL Dashboard becomes more relevant here: small pharma medical affairs teams actively manage KOL relationships and will see immediate value in a publication-grounded influence ranking</w:t>
      </w:r>
    </w:p>
    <w:p>
      <w:pPr>
        <w:spacing w:after="80" w:before="0"/>
      </w:pPr>
    </w:p>
    <w:p>
      <w:pPr>
        <w:pStyle w:val="Heading3"/>
        <w:spacing w:after="80" w:before="200"/>
      </w:pPr>
      <w:r>
        <w:rPr>
          <w:rFonts w:ascii="Arial" w:cs="Arial" w:eastAsia="Arial" w:hAnsi="Arial"/>
          <w:b/>
          <w:bCs/>
          <w:color w:val="0D1F3C"/>
          <w:sz w:val="22"/>
          <w:szCs w:val="22"/>
        </w:rPr>
        <w:t xml:space="preserve">Pilot Proposal for Small Pharma</w:t>
      </w:r>
    </w:p>
    <w:p>
      <w:pPr>
        <w:spacing w:after="60" w:before="60"/>
      </w:pPr>
      <w:r>
        <w:rPr>
          <w:rFonts w:ascii="Arial" w:cs="Arial" w:eastAsia="Arial" w:hAnsi="Arial"/>
          <w:b/>
          <w:bCs/>
          <w:color w:val="475569"/>
          <w:sz w:val="22"/>
          <w:szCs w:val="22"/>
        </w:rPr>
        <w:t xml:space="preserve">Format: </w:t>
      </w:r>
      <w:r>
        <w:rPr>
          <w:rFonts w:ascii="Arial" w:cs="Arial" w:eastAsia="Arial" w:hAnsi="Arial"/>
          <w:color w:val="1E293B"/>
          <w:sz w:val="22"/>
          <w:szCs w:val="22"/>
        </w:rPr>
        <w:t xml:space="preserve">30-day technical pilot with IT security review</w:t>
      </w:r>
    </w:p>
    <w:p>
      <w:pPr>
        <w:spacing w:after="60" w:before="60"/>
      </w:pPr>
      <w:r>
        <w:rPr>
          <w:rFonts w:ascii="Arial" w:cs="Arial" w:eastAsia="Arial" w:hAnsi="Arial"/>
          <w:b/>
          <w:bCs/>
          <w:color w:val="475569"/>
          <w:sz w:val="22"/>
          <w:szCs w:val="22"/>
        </w:rPr>
        <w:t xml:space="preserve">Deliverable: </w:t>
      </w:r>
      <w:r>
        <w:rPr>
          <w:rFonts w:ascii="Arial" w:cs="Arial" w:eastAsia="Arial" w:hAnsi="Arial"/>
          <w:color w:val="1E293B"/>
          <w:sz w:val="22"/>
          <w:szCs w:val="22"/>
        </w:rPr>
        <w:t xml:space="preserve">Protocol analysis on 2–3 active Phase II or III studies, plus a competitive benchmarking report using the Trial Explorer</w:t>
      </w:r>
    </w:p>
    <w:p>
      <w:pPr>
        <w:spacing w:after="60" w:before="60"/>
      </w:pPr>
      <w:r>
        <w:rPr>
          <w:rFonts w:ascii="Arial" w:cs="Arial" w:eastAsia="Arial" w:hAnsi="Arial"/>
          <w:b/>
          <w:bCs/>
          <w:color w:val="475569"/>
          <w:sz w:val="22"/>
          <w:szCs w:val="22"/>
        </w:rPr>
        <w:t xml:space="preserve">Contact: </w:t>
      </w:r>
      <w:r>
        <w:rPr>
          <w:rFonts w:ascii="Arial" w:cs="Arial" w:eastAsia="Arial" w:hAnsi="Arial"/>
          <w:color w:val="1E293B"/>
          <w:sz w:val="22"/>
          <w:szCs w:val="22"/>
        </w:rPr>
        <w:t xml:space="preserve">VP Clinical Development, Head of Data Science, or Medical Affairs Director</w:t>
      </w:r>
    </w:p>
    <w:p>
      <w:pPr>
        <w:spacing w:after="60" w:before="60"/>
      </w:pPr>
      <w:r>
        <w:rPr>
          <w:rFonts w:ascii="Arial" w:cs="Arial" w:eastAsia="Arial" w:hAnsi="Arial"/>
          <w:b/>
          <w:bCs/>
          <w:color w:val="475569"/>
          <w:sz w:val="22"/>
          <w:szCs w:val="22"/>
        </w:rPr>
        <w:t xml:space="preserve">Ask from prospect: </w:t>
      </w:r>
      <w:r>
        <w:rPr>
          <w:rFonts w:ascii="Arial" w:cs="Arial" w:eastAsia="Arial" w:hAnsi="Arial"/>
          <w:color w:val="1E293B"/>
          <w:sz w:val="22"/>
          <w:szCs w:val="22"/>
        </w:rPr>
        <w:t xml:space="preserve">2–3 protocols + therapeutic area of focus for KOL mapping</w:t>
      </w:r>
    </w:p>
    <w:p>
      <w:pPr>
        <w:spacing w:after="60" w:before="60"/>
      </w:pPr>
      <w:r>
        <w:rPr>
          <w:rFonts w:ascii="Arial" w:cs="Arial" w:eastAsia="Arial" w:hAnsi="Arial"/>
          <w:b/>
          <w:bCs/>
          <w:color w:val="475569"/>
          <w:sz w:val="22"/>
          <w:szCs w:val="22"/>
        </w:rPr>
        <w:t xml:space="preserve">Success criterion: </w:t>
      </w:r>
      <w:r>
        <w:rPr>
          <w:rFonts w:ascii="Arial" w:cs="Arial" w:eastAsia="Arial" w:hAnsi="Arial"/>
          <w:color w:val="1E293B"/>
          <w:sz w:val="22"/>
          <w:szCs w:val="22"/>
        </w:rPr>
        <w:t xml:space="preserve">Protocol vulnerability flags align with known internal concerns, and site recommendations either confirm or improve their current site list</w:t>
      </w:r>
    </w:p>
    <w:p>
      <w:pPr>
        <w:spacing w:after="60" w:before="60"/>
      </w:pPr>
      <w:r>
        <w:rPr>
          <w:rFonts w:ascii="Arial" w:cs="Arial" w:eastAsia="Arial" w:hAnsi="Arial"/>
          <w:b/>
          <w:bCs/>
          <w:color w:val="475569"/>
          <w:sz w:val="22"/>
          <w:szCs w:val="22"/>
        </w:rPr>
        <w:t xml:space="preserve">Expansion trigger: </w:t>
      </w:r>
      <w:r>
        <w:rPr>
          <w:rFonts w:ascii="Arial" w:cs="Arial" w:eastAsia="Arial" w:hAnsi="Arial"/>
          <w:color w:val="1E293B"/>
          <w:sz w:val="22"/>
          <w:szCs w:val="22"/>
        </w:rPr>
        <w:t xml:space="preserve">Portfolio-wide license, regulatory intelligence add-on</w:t>
      </w:r>
    </w:p>
    <w:p>
      <w:pPr>
        <w:spacing w:after="200" w:before="0"/>
      </w:pPr>
    </w:p>
    <w:p>
      <w:pPr>
        <w:pStyle w:val="Heading1"/>
        <w:spacing w:after="160" w:before="360"/>
      </w:pPr>
      <w:r>
        <w:rPr>
          <w:rFonts w:ascii="Arial" w:cs="Arial" w:eastAsia="Arial" w:hAnsi="Arial"/>
          <w:b/>
          <w:bCs/>
          <w:color w:val="0D1F3C"/>
          <w:sz w:val="32"/>
          <w:szCs w:val="32"/>
        </w:rPr>
        <w:t xml:space="preserve">5. Reference Metrics for Pilot Conversations</w:t>
      </w:r>
    </w:p>
    <w:p>
      <w:pPr>
        <w:pBdr>
          <w:bottom w:val="single" w:color="E2E8F0" w:sz="4" w:space="1"/>
        </w:pBdr>
        <w:spacing w:after="120" w:before="120"/>
      </w:pPr>
    </w:p>
    <w:p>
      <w:pPr>
        <w:spacing w:after="100" w:before="60"/>
      </w:pPr>
      <w:r>
        <w:rPr>
          <w:rFonts w:ascii="Arial" w:cs="Arial" w:eastAsia="Arial" w:hAnsi="Arial"/>
          <w:b w:val="false"/>
          <w:bCs w:val="false"/>
          <w:i w:val="false"/>
          <w:iCs w:val="false"/>
          <w:color w:val="1E293B"/>
          <w:sz w:val="22"/>
          <w:szCs w:val="22"/>
        </w:rPr>
        <w:t xml:space="preserve">The following metrics are derived from Hakase platform benchmarks and industry data. Use these in prospect conversations to quantify the cost of inaction and the expected return from the pilot.</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E6FFFE" w:val="clear"/>
            <w:tcMar>
              <w:top w:type="dxa" w:w="160"/>
              <w:left w:type="dxa" w:w="120"/>
              <w:bottom w:type="dxa" w:w="160"/>
              <w:right w:type="dxa" w:w="120"/>
            </w:tcMar>
            <w:vAlign w:val="center"/>
          </w:tcPr>
          <w:p>
            <w:pPr>
              <w:spacing w:after="40" w:before="0"/>
              <w:jc w:val="center"/>
            </w:pPr>
            <w:r>
              <w:rPr>
                <w:rFonts w:ascii="Arial" w:cs="Arial" w:eastAsia="Arial" w:hAnsi="Arial"/>
                <w:b/>
                <w:bCs/>
                <w:color w:val="007A75"/>
                <w:sz w:val="40"/>
                <w:szCs w:val="40"/>
              </w:rPr>
              <w:t xml:space="preserve">60%</w:t>
            </w:r>
          </w:p>
          <w:p>
            <w:pPr>
              <w:spacing w:after="20" w:before="0"/>
              <w:jc w:val="center"/>
            </w:pPr>
            <w:r>
              <w:rPr>
                <w:rFonts w:ascii="Arial" w:cs="Arial" w:eastAsia="Arial" w:hAnsi="Arial"/>
                <w:b/>
                <w:bCs/>
                <w:color w:val="0D1F3C"/>
                <w:sz w:val="20"/>
                <w:szCs w:val="20"/>
              </w:rPr>
              <w:t xml:space="preserve">Fewer Protocol Amendments</w:t>
            </w:r>
          </w:p>
          <w:p>
            <w:pPr>
              <w:spacing w:after="0" w:before="0"/>
              <w:jc w:val="center"/>
            </w:pPr>
            <w:r>
              <w:rPr>
                <w:rFonts w:ascii="Arial" w:cs="Arial" w:eastAsia="Arial" w:hAnsi="Arial"/>
                <w:color w:val="475569"/>
                <w:sz w:val="17"/>
                <w:szCs w:val="17"/>
              </w:rPr>
              <w:t xml:space="preserve">2.3 → 1.2 per study on average</w:t>
            </w:r>
          </w:p>
        </w:tc>
        <w:tc>
          <w:tcPr>
            <w:tcW w:type="dxa" w:w="2340"/>
            <w:tcBorders>
              <w:top w:val="single" w:color="D1D5DB" w:sz="1"/>
              <w:left w:val="single" w:color="D1D5DB" w:sz="1"/>
              <w:bottom w:val="single" w:color="D1D5DB" w:sz="1"/>
              <w:right w:val="single" w:color="D1D5DB" w:sz="1"/>
            </w:tcBorders>
            <w:shd w:fill="EFF6FF" w:val="clear"/>
            <w:tcMar>
              <w:top w:type="dxa" w:w="160"/>
              <w:left w:type="dxa" w:w="120"/>
              <w:bottom w:type="dxa" w:w="160"/>
              <w:right w:type="dxa" w:w="120"/>
            </w:tcMar>
            <w:vAlign w:val="center"/>
          </w:tcPr>
          <w:p>
            <w:pPr>
              <w:spacing w:after="40" w:before="0"/>
              <w:jc w:val="center"/>
            </w:pPr>
            <w:r>
              <w:rPr>
                <w:rFonts w:ascii="Arial" w:cs="Arial" w:eastAsia="Arial" w:hAnsi="Arial"/>
                <w:b/>
                <w:bCs/>
                <w:color w:val="1D4ED8"/>
                <w:sz w:val="40"/>
                <w:szCs w:val="40"/>
              </w:rPr>
              <w:t xml:space="preserve">92%</w:t>
            </w:r>
          </w:p>
          <w:p>
            <w:pPr>
              <w:spacing w:after="20" w:before="0"/>
              <w:jc w:val="center"/>
            </w:pPr>
            <w:r>
              <w:rPr>
                <w:rFonts w:ascii="Arial" w:cs="Arial" w:eastAsia="Arial" w:hAnsi="Arial"/>
                <w:b/>
                <w:bCs/>
                <w:color w:val="0D1F3C"/>
                <w:sz w:val="20"/>
                <w:szCs w:val="20"/>
              </w:rPr>
              <w:t xml:space="preserve">Site Selection Accuracy</w:t>
            </w:r>
          </w:p>
          <w:p>
            <w:pPr>
              <w:spacing w:after="0" w:before="0"/>
              <w:jc w:val="center"/>
            </w:pPr>
            <w:r>
              <w:rPr>
                <w:rFonts w:ascii="Arial" w:cs="Arial" w:eastAsia="Arial" w:hAnsi="Arial"/>
                <w:color w:val="475569"/>
                <w:sz w:val="17"/>
                <w:szCs w:val="17"/>
              </w:rPr>
              <w:t xml:space="preserve">Enrollment prediction vs. actual</w:t>
            </w:r>
          </w:p>
        </w:tc>
        <w:tc>
          <w:tcPr>
            <w:tcW w:type="dxa" w:w="2340"/>
            <w:tcBorders>
              <w:top w:val="single" w:color="D1D5DB" w:sz="1"/>
              <w:left w:val="single" w:color="D1D5DB" w:sz="1"/>
              <w:bottom w:val="single" w:color="D1D5DB" w:sz="1"/>
              <w:right w:val="single" w:color="D1D5DB" w:sz="1"/>
            </w:tcBorders>
            <w:shd w:fill="E6FFFE" w:val="clear"/>
            <w:tcMar>
              <w:top w:type="dxa" w:w="160"/>
              <w:left w:type="dxa" w:w="120"/>
              <w:bottom w:type="dxa" w:w="160"/>
              <w:right w:type="dxa" w:w="120"/>
            </w:tcMar>
            <w:vAlign w:val="center"/>
          </w:tcPr>
          <w:p>
            <w:pPr>
              <w:spacing w:after="40" w:before="0"/>
              <w:jc w:val="center"/>
            </w:pPr>
            <w:r>
              <w:rPr>
                <w:rFonts w:ascii="Arial" w:cs="Arial" w:eastAsia="Arial" w:hAnsi="Arial"/>
                <w:b/>
                <w:bCs/>
                <w:color w:val="007A75"/>
                <w:sz w:val="40"/>
                <w:szCs w:val="40"/>
              </w:rPr>
              <w:t xml:space="preserve">42%</w:t>
            </w:r>
          </w:p>
          <w:p>
            <w:pPr>
              <w:spacing w:after="20" w:before="0"/>
              <w:jc w:val="center"/>
            </w:pPr>
            <w:r>
              <w:rPr>
                <w:rFonts w:ascii="Arial" w:cs="Arial" w:eastAsia="Arial" w:hAnsi="Arial"/>
                <w:b/>
                <w:bCs/>
                <w:color w:val="0D1F3C"/>
                <w:sz w:val="20"/>
                <w:szCs w:val="20"/>
              </w:rPr>
              <w:t xml:space="preserve">Faster Patient Recruitment</w:t>
            </w:r>
          </w:p>
          <w:p>
            <w:pPr>
              <w:spacing w:after="0" w:before="0"/>
              <w:jc w:val="center"/>
            </w:pPr>
            <w:r>
              <w:rPr>
                <w:rFonts w:ascii="Arial" w:cs="Arial" w:eastAsia="Arial" w:hAnsi="Arial"/>
                <w:color w:val="475569"/>
                <w:sz w:val="17"/>
                <w:szCs w:val="17"/>
              </w:rPr>
              <w:t xml:space="preserve">AI matching vs. traditional methods</w:t>
            </w:r>
          </w:p>
        </w:tc>
        <w:tc>
          <w:tcPr>
            <w:tcW w:type="dxa" w:w="2340"/>
            <w:tcBorders>
              <w:top w:val="single" w:color="D1D5DB" w:sz="1"/>
              <w:left w:val="single" w:color="D1D5DB" w:sz="1"/>
              <w:bottom w:val="single" w:color="D1D5DB" w:sz="1"/>
              <w:right w:val="single" w:color="D1D5DB" w:sz="1"/>
            </w:tcBorders>
            <w:shd w:fill="EFF6FF" w:val="clear"/>
            <w:tcMar>
              <w:top w:type="dxa" w:w="160"/>
              <w:left w:type="dxa" w:w="120"/>
              <w:bottom w:type="dxa" w:w="160"/>
              <w:right w:type="dxa" w:w="120"/>
            </w:tcMar>
            <w:vAlign w:val="center"/>
          </w:tcPr>
          <w:p>
            <w:pPr>
              <w:spacing w:after="40" w:before="0"/>
              <w:jc w:val="center"/>
            </w:pPr>
            <w:r>
              <w:rPr>
                <w:rFonts w:ascii="Arial" w:cs="Arial" w:eastAsia="Arial" w:hAnsi="Arial"/>
                <w:b/>
                <w:bCs/>
                <w:color w:val="1D4ED8"/>
                <w:sz w:val="40"/>
                <w:szCs w:val="40"/>
              </w:rPr>
              <w:t xml:space="preserve">78%</w:t>
            </w:r>
          </w:p>
          <w:p>
            <w:pPr>
              <w:spacing w:after="20" w:before="0"/>
              <w:jc w:val="center"/>
            </w:pPr>
            <w:r>
              <w:rPr>
                <w:rFonts w:ascii="Arial" w:cs="Arial" w:eastAsia="Arial" w:hAnsi="Arial"/>
                <w:b/>
                <w:bCs/>
                <w:color w:val="0D1F3C"/>
                <w:sz w:val="20"/>
                <w:szCs w:val="20"/>
              </w:rPr>
              <w:t xml:space="preserve">Reduction in Data Queries</w:t>
            </w:r>
          </w:p>
          <w:p>
            <w:pPr>
              <w:spacing w:after="0" w:before="0"/>
              <w:jc w:val="center"/>
            </w:pPr>
            <w:r>
              <w:rPr>
                <w:rFonts w:ascii="Arial" w:cs="Arial" w:eastAsia="Arial" w:hAnsi="Arial"/>
                <w:color w:val="475569"/>
                <w:sz w:val="17"/>
                <w:szCs w:val="17"/>
              </w:rPr>
              <w:t xml:space="preserve">Real-time anomaly detection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E6FFFE" w:val="clear"/>
            <w:tcMar>
              <w:top w:type="dxa" w:w="160"/>
              <w:left w:type="dxa" w:w="120"/>
              <w:bottom w:type="dxa" w:w="160"/>
              <w:right w:type="dxa" w:w="120"/>
            </w:tcMar>
            <w:vAlign w:val="center"/>
          </w:tcPr>
          <w:p>
            <w:pPr>
              <w:spacing w:after="40" w:before="0"/>
              <w:jc w:val="center"/>
            </w:pPr>
            <w:r>
              <w:rPr>
                <w:rFonts w:ascii="Arial" w:cs="Arial" w:eastAsia="Arial" w:hAnsi="Arial"/>
                <w:b/>
                <w:bCs/>
                <w:color w:val="007A75"/>
                <w:sz w:val="40"/>
                <w:szCs w:val="40"/>
              </w:rPr>
              <w:t xml:space="preserve">$2–5M</w:t>
            </w:r>
          </w:p>
          <w:p>
            <w:pPr>
              <w:spacing w:after="20" w:before="0"/>
              <w:jc w:val="center"/>
            </w:pPr>
            <w:r>
              <w:rPr>
                <w:rFonts w:ascii="Arial" w:cs="Arial" w:eastAsia="Arial" w:hAnsi="Arial"/>
                <w:b/>
                <w:bCs/>
                <w:color w:val="0D1F3C"/>
                <w:sz w:val="20"/>
                <w:szCs w:val="20"/>
              </w:rPr>
              <w:t xml:space="preserve">Savings per Phase III Study</w:t>
            </w:r>
          </w:p>
          <w:p>
            <w:pPr>
              <w:spacing w:after="0" w:before="0"/>
              <w:jc w:val="center"/>
            </w:pPr>
            <w:r>
              <w:rPr>
                <w:rFonts w:ascii="Arial" w:cs="Arial" w:eastAsia="Arial" w:hAnsi="Arial"/>
                <w:color w:val="475569"/>
                <w:sz w:val="17"/>
                <w:szCs w:val="17"/>
              </w:rPr>
              <w:t xml:space="preserve">Direct cost reduction</w:t>
            </w:r>
          </w:p>
        </w:tc>
        <w:tc>
          <w:tcPr>
            <w:tcW w:type="dxa" w:w="2340"/>
            <w:tcBorders>
              <w:top w:val="single" w:color="D1D5DB" w:sz="1"/>
              <w:left w:val="single" w:color="D1D5DB" w:sz="1"/>
              <w:bottom w:val="single" w:color="D1D5DB" w:sz="1"/>
              <w:right w:val="single" w:color="D1D5DB" w:sz="1"/>
            </w:tcBorders>
            <w:shd w:fill="EFF6FF" w:val="clear"/>
            <w:tcMar>
              <w:top w:type="dxa" w:w="160"/>
              <w:left w:type="dxa" w:w="120"/>
              <w:bottom w:type="dxa" w:w="160"/>
              <w:right w:type="dxa" w:w="120"/>
            </w:tcMar>
            <w:vAlign w:val="center"/>
          </w:tcPr>
          <w:p>
            <w:pPr>
              <w:spacing w:after="40" w:before="0"/>
              <w:jc w:val="center"/>
            </w:pPr>
            <w:r>
              <w:rPr>
                <w:rFonts w:ascii="Arial" w:cs="Arial" w:eastAsia="Arial" w:hAnsi="Arial"/>
                <w:b/>
                <w:bCs/>
                <w:color w:val="1D4ED8"/>
                <w:sz w:val="40"/>
                <w:szCs w:val="40"/>
              </w:rPr>
              <w:t xml:space="preserve">35–50%</w:t>
            </w:r>
          </w:p>
          <w:p>
            <w:pPr>
              <w:spacing w:after="20" w:before="0"/>
              <w:jc w:val="center"/>
            </w:pPr>
            <w:r>
              <w:rPr>
                <w:rFonts w:ascii="Arial" w:cs="Arial" w:eastAsia="Arial" w:hAnsi="Arial"/>
                <w:b/>
                <w:bCs/>
                <w:color w:val="0D1F3C"/>
                <w:sz w:val="20"/>
                <w:szCs w:val="20"/>
              </w:rPr>
              <w:t xml:space="preserve">Trial Acceleration</w:t>
            </w:r>
          </w:p>
          <w:p>
            <w:pPr>
              <w:spacing w:after="0" w:before="0"/>
              <w:jc w:val="center"/>
            </w:pPr>
            <w:r>
              <w:rPr>
                <w:rFonts w:ascii="Arial" w:cs="Arial" w:eastAsia="Arial" w:hAnsi="Arial"/>
                <w:color w:val="475569"/>
                <w:sz w:val="17"/>
                <w:szCs w:val="17"/>
              </w:rPr>
              <w:t xml:space="preserve">Overall timeline improvement</w:t>
            </w:r>
          </w:p>
        </w:tc>
        <w:tc>
          <w:tcPr>
            <w:tcW w:type="dxa" w:w="2340"/>
            <w:tcBorders>
              <w:top w:val="single" w:color="D1D5DB" w:sz="1"/>
              <w:left w:val="single" w:color="D1D5DB" w:sz="1"/>
              <w:bottom w:val="single" w:color="D1D5DB" w:sz="1"/>
              <w:right w:val="single" w:color="D1D5DB" w:sz="1"/>
            </w:tcBorders>
            <w:shd w:fill="E6FFFE" w:val="clear"/>
            <w:tcMar>
              <w:top w:type="dxa" w:w="160"/>
              <w:left w:type="dxa" w:w="120"/>
              <w:bottom w:type="dxa" w:w="160"/>
              <w:right w:type="dxa" w:w="120"/>
            </w:tcMar>
            <w:vAlign w:val="center"/>
          </w:tcPr>
          <w:p>
            <w:pPr>
              <w:spacing w:after="40" w:before="0"/>
              <w:jc w:val="center"/>
            </w:pPr>
            <w:r>
              <w:rPr>
                <w:rFonts w:ascii="Arial" w:cs="Arial" w:eastAsia="Arial" w:hAnsi="Arial"/>
                <w:b/>
                <w:bCs/>
                <w:color w:val="007A75"/>
                <w:sz w:val="40"/>
                <w:szCs w:val="40"/>
              </w:rPr>
              <w:t xml:space="preserve">84%</w:t>
            </w:r>
          </w:p>
          <w:p>
            <w:pPr>
              <w:spacing w:after="20" w:before="0"/>
              <w:jc w:val="center"/>
            </w:pPr>
            <w:r>
              <w:rPr>
                <w:rFonts w:ascii="Arial" w:cs="Arial" w:eastAsia="Arial" w:hAnsi="Arial"/>
                <w:b/>
                <w:bCs/>
                <w:color w:val="0D1F3C"/>
                <w:sz w:val="20"/>
                <w:szCs w:val="20"/>
              </w:rPr>
              <w:t xml:space="preserve">Regulatory Prediction Accuracy</w:t>
            </w:r>
          </w:p>
          <w:p>
            <w:pPr>
              <w:spacing w:after="0" w:before="0"/>
              <w:jc w:val="center"/>
            </w:pPr>
            <w:r>
              <w:rPr>
                <w:rFonts w:ascii="Arial" w:cs="Arial" w:eastAsia="Arial" w:hAnsi="Arial"/>
                <w:color w:val="475569"/>
                <w:sz w:val="17"/>
                <w:szCs w:val="17"/>
              </w:rPr>
              <w:t xml:space="preserve">Approval outcome modeling</w:t>
            </w:r>
          </w:p>
        </w:tc>
        <w:tc>
          <w:tcPr>
            <w:tcW w:type="dxa" w:w="2340"/>
            <w:tcBorders>
              <w:top w:val="single" w:color="D1D5DB" w:sz="1"/>
              <w:left w:val="single" w:color="D1D5DB" w:sz="1"/>
              <w:bottom w:val="single" w:color="D1D5DB" w:sz="1"/>
              <w:right w:val="single" w:color="D1D5DB" w:sz="1"/>
            </w:tcBorders>
            <w:shd w:fill="EFF6FF" w:val="clear"/>
            <w:tcMar>
              <w:top w:type="dxa" w:w="160"/>
              <w:left w:type="dxa" w:w="120"/>
              <w:bottom w:type="dxa" w:w="160"/>
              <w:right w:type="dxa" w:w="120"/>
            </w:tcMar>
            <w:vAlign w:val="center"/>
          </w:tcPr>
          <w:p>
            <w:pPr>
              <w:spacing w:after="40" w:before="0"/>
              <w:jc w:val="center"/>
            </w:pPr>
            <w:r>
              <w:rPr>
                <w:rFonts w:ascii="Arial" w:cs="Arial" w:eastAsia="Arial" w:hAnsi="Arial"/>
                <w:b/>
                <w:bCs/>
                <w:color w:val="1D4ED8"/>
                <w:sz w:val="40"/>
                <w:szCs w:val="40"/>
              </w:rPr>
              <w:t xml:space="preserve">556K</w:t>
            </w:r>
          </w:p>
          <w:p>
            <w:pPr>
              <w:spacing w:after="20" w:before="0"/>
              <w:jc w:val="center"/>
            </w:pPr>
            <w:r>
              <w:rPr>
                <w:rFonts w:ascii="Arial" w:cs="Arial" w:eastAsia="Arial" w:hAnsi="Arial"/>
                <w:b/>
                <w:bCs/>
                <w:color w:val="0D1F3C"/>
                <w:sz w:val="20"/>
                <w:szCs w:val="20"/>
              </w:rPr>
              <w:t xml:space="preserve">Trials Indexed</w:t>
            </w:r>
          </w:p>
          <w:p>
            <w:pPr>
              <w:spacing w:after="0" w:before="0"/>
              <w:jc w:val="center"/>
            </w:pPr>
            <w:r>
              <w:rPr>
                <w:rFonts w:ascii="Arial" w:cs="Arial" w:eastAsia="Arial" w:hAnsi="Arial"/>
                <w:color w:val="475569"/>
                <w:sz w:val="17"/>
                <w:szCs w:val="17"/>
              </w:rPr>
              <w:t xml:space="preserve">Full ClinicalTrials.gov + AI brief</w:t>
            </w:r>
          </w:p>
        </w:tc>
      </w:tr>
    </w:tbl>
    <w:p>
      <w:pPr>
        <w:spacing w:after="100" w:before="0"/>
      </w:pPr>
    </w:p>
    <w:p>
      <w:pPr>
        <w:spacing w:after="100" w:before="60"/>
      </w:pPr>
      <w:r>
        <w:rPr>
          <w:rFonts w:ascii="Arial" w:cs="Arial" w:eastAsia="Arial" w:hAnsi="Arial"/>
          <w:b/>
          <w:bCs/>
          <w:i w:val="false"/>
          <w:iCs w:val="false"/>
          <w:color w:val="1E293B"/>
          <w:sz w:val="22"/>
          <w:szCs w:val="22"/>
        </w:rPr>
        <w:t xml:space="preserve">Cost of inaction reference numbers — use these in prospect conversations: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D1D5DB" w:sz="1"/>
              <w:left w:val="single" w:color="D1D5DB" w:sz="1"/>
              <w:bottom w:val="single" w:color="D1D5DB" w:sz="1"/>
              <w:right w:val="single" w:color="D1D5DB" w:sz="1"/>
            </w:tcBorders>
            <w:shd w:fill="0D1F3C" w:val="clear"/>
            <w:tcMar>
              <w:top w:type="dxa" w:w="80"/>
              <w:left w:type="dxa" w:w="140"/>
              <w:bottom w:type="dxa" w:w="80"/>
              <w:right w:type="dxa" w:w="100"/>
            </w:tcMar>
          </w:tcPr>
          <w:p>
            <w:r>
              <w:rPr>
                <w:rFonts w:ascii="Arial" w:cs="Arial" w:eastAsia="Arial" w:hAnsi="Arial"/>
                <w:b/>
                <w:bCs/>
                <w:color w:val="FFFFFF"/>
                <w:sz w:val="20"/>
                <w:szCs w:val="20"/>
              </w:rPr>
              <w:t xml:space="preserve">Cost Driver</w:t>
            </w:r>
          </w:p>
        </w:tc>
        <w:tc>
          <w:tcPr>
            <w:tcW w:type="dxa" w:w="2880"/>
            <w:tcBorders>
              <w:top w:val="single" w:color="D1D5DB" w:sz="1"/>
              <w:left w:val="single" w:color="D1D5DB" w:sz="1"/>
              <w:bottom w:val="single" w:color="D1D5DB" w:sz="1"/>
              <w:right w:val="single" w:color="D1D5DB" w:sz="1"/>
            </w:tcBorders>
            <w:shd w:fill="0D1F3C" w:val="clear"/>
            <w:tcMar>
              <w:top w:type="dxa" w:w="80"/>
              <w:left w:type="dxa" w:w="140"/>
              <w:bottom w:type="dxa" w:w="80"/>
              <w:right w:type="dxa" w:w="100"/>
            </w:tcMar>
          </w:tcPr>
          <w:p>
            <w:r>
              <w:rPr>
                <w:rFonts w:ascii="Arial" w:cs="Arial" w:eastAsia="Arial" w:hAnsi="Arial"/>
                <w:b/>
                <w:bCs/>
                <w:color w:val="FFFFFF"/>
                <w:sz w:val="20"/>
                <w:szCs w:val="20"/>
              </w:rPr>
              <w:t xml:space="preserve">Industry Benchmark</w:t>
            </w:r>
          </w:p>
        </w:tc>
        <w:tc>
          <w:tcPr>
            <w:tcW w:type="dxa" w:w="2880"/>
            <w:tcBorders>
              <w:top w:val="single" w:color="D1D5DB" w:sz="1"/>
              <w:left w:val="single" w:color="D1D5DB" w:sz="1"/>
              <w:bottom w:val="single" w:color="D1D5DB" w:sz="1"/>
              <w:right w:val="single" w:color="D1D5DB" w:sz="1"/>
            </w:tcBorders>
            <w:shd w:fill="0D1F3C" w:val="clear"/>
            <w:tcMar>
              <w:top w:type="dxa" w:w="80"/>
              <w:left w:type="dxa" w:w="140"/>
              <w:bottom w:type="dxa" w:w="80"/>
              <w:right w:type="dxa" w:w="100"/>
            </w:tcMar>
          </w:tcPr>
          <w:p>
            <w:r>
              <w:rPr>
                <w:rFonts w:ascii="Arial" w:cs="Arial" w:eastAsia="Arial" w:hAnsi="Arial"/>
                <w:b/>
                <w:bCs/>
                <w:color w:val="FFFFFF"/>
                <w:sz w:val="20"/>
                <w:szCs w:val="20"/>
              </w:rPr>
              <w:t xml:space="preserve">Hakase Target</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Daily operational cost (Phase II)</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DC2626"/>
                <w:sz w:val="20"/>
                <w:szCs w:val="20"/>
              </w:rPr>
              <w:t xml:space="preserve">$30,000–$80,000 per day</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059669"/>
                <w:sz w:val="20"/>
                <w:szCs w:val="20"/>
              </w:rPr>
              <w:t xml:space="preserve">Reduce via faster enrollment</w:t>
            </w:r>
          </w:p>
        </w:tc>
      </w:tr>
      <w:tr>
        <w:tc>
          <w:tcPr>
            <w:tcW w:type="dxa" w:w="3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00"/>
            </w:tcMar>
          </w:tcPr>
          <w:p>
            <w:r>
              <w:rPr>
                <w:rFonts w:ascii="Arial" w:cs="Arial" w:eastAsia="Arial" w:hAnsi="Arial"/>
                <w:b/>
                <w:bCs/>
                <w:color w:val="1E293B"/>
                <w:sz w:val="20"/>
                <w:szCs w:val="20"/>
              </w:rPr>
              <w:t xml:space="preserve">Protocol amendment cost</w:t>
            </w:r>
          </w:p>
        </w:tc>
        <w:tc>
          <w:tcPr>
            <w:tcW w:type="dxa" w:w="288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00"/>
            </w:tcMar>
          </w:tcPr>
          <w:p>
            <w:r>
              <w:rPr>
                <w:rFonts w:ascii="Arial" w:cs="Arial" w:eastAsia="Arial" w:hAnsi="Arial"/>
                <w:color w:val="DC2626"/>
                <w:sz w:val="20"/>
                <w:szCs w:val="20"/>
              </w:rPr>
              <w:t xml:space="preserve">$500K–$2M per amendment</w:t>
            </w:r>
          </w:p>
        </w:tc>
        <w:tc>
          <w:tcPr>
            <w:tcW w:type="dxa" w:w="288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00"/>
            </w:tcMar>
          </w:tcPr>
          <w:p>
            <w:r>
              <w:rPr>
                <w:rFonts w:ascii="Arial" w:cs="Arial" w:eastAsia="Arial" w:hAnsi="Arial"/>
                <w:color w:val="059669"/>
                <w:sz w:val="20"/>
                <w:szCs w:val="20"/>
              </w:rPr>
              <w:t xml:space="preserve">48% reduction in amendments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Failed site activation</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DC2626"/>
                <w:sz w:val="20"/>
                <w:szCs w:val="20"/>
              </w:rPr>
              <w:t xml:space="preserve">$50K–$150K per site setup</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059669"/>
                <w:sz w:val="20"/>
                <w:szCs w:val="20"/>
              </w:rPr>
              <w:t xml:space="preserve">92% site selection accuracy</w:t>
            </w:r>
          </w:p>
        </w:tc>
      </w:tr>
      <w:tr>
        <w:tc>
          <w:tcPr>
            <w:tcW w:type="dxa" w:w="3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00"/>
            </w:tcMar>
          </w:tcPr>
          <w:p>
            <w:r>
              <w:rPr>
                <w:rFonts w:ascii="Arial" w:cs="Arial" w:eastAsia="Arial" w:hAnsi="Arial"/>
                <w:b/>
                <w:bCs/>
                <w:color w:val="1E293B"/>
                <w:sz w:val="20"/>
                <w:szCs w:val="20"/>
              </w:rPr>
              <w:t xml:space="preserve">Data query resolution</w:t>
            </w:r>
          </w:p>
        </w:tc>
        <w:tc>
          <w:tcPr>
            <w:tcW w:type="dxa" w:w="288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00"/>
            </w:tcMar>
          </w:tcPr>
          <w:p>
            <w:r>
              <w:rPr>
                <w:rFonts w:ascii="Arial" w:cs="Arial" w:eastAsia="Arial" w:hAnsi="Arial"/>
                <w:color w:val="DC2626"/>
                <w:sz w:val="20"/>
                <w:szCs w:val="20"/>
              </w:rPr>
              <w:t xml:space="preserve">$2,000 per query · avg 2,000+ queries</w:t>
            </w:r>
          </w:p>
        </w:tc>
        <w:tc>
          <w:tcPr>
            <w:tcW w:type="dxa" w:w="288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00"/>
            </w:tcMar>
          </w:tcPr>
          <w:p>
            <w:r>
              <w:rPr>
                <w:rFonts w:ascii="Arial" w:cs="Arial" w:eastAsia="Arial" w:hAnsi="Arial"/>
                <w:color w:val="059669"/>
                <w:sz w:val="20"/>
                <w:szCs w:val="20"/>
              </w:rPr>
              <w:t xml:space="preserve">78% reduction in queries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b/>
                <w:bCs/>
                <w:color w:val="1E293B"/>
                <w:sz w:val="20"/>
                <w:szCs w:val="20"/>
              </w:rPr>
              <w:t xml:space="preserve">Regulatory delay</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DC2626"/>
                <w:sz w:val="20"/>
                <w:szCs w:val="20"/>
              </w:rPr>
              <w:t xml:space="preserve">$8M per month delayed</w:t>
            </w:r>
          </w:p>
        </w:tc>
        <w:tc>
          <w:tcPr>
            <w:tcW w:type="dxa" w:w="28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00"/>
            </w:tcMar>
          </w:tcPr>
          <w:p>
            <w:r>
              <w:rPr>
                <w:rFonts w:ascii="Arial" w:cs="Arial" w:eastAsia="Arial" w:hAnsi="Arial"/>
                <w:color w:val="059669"/>
                <w:sz w:val="20"/>
                <w:szCs w:val="20"/>
              </w:rPr>
              <w:t xml:space="preserve">84% approval prediction accuracy</w:t>
            </w:r>
          </w:p>
        </w:tc>
      </w:tr>
      <w:tr>
        <w:tc>
          <w:tcPr>
            <w:tcW w:type="dxa" w:w="360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00"/>
            </w:tcMar>
          </w:tcPr>
          <w:p>
            <w:r>
              <w:rPr>
                <w:rFonts w:ascii="Arial" w:cs="Arial" w:eastAsia="Arial" w:hAnsi="Arial"/>
                <w:b/>
                <w:bCs/>
                <w:color w:val="1E293B"/>
                <w:sz w:val="20"/>
                <w:szCs w:val="20"/>
              </w:rPr>
              <w:t xml:space="preserve">Commercial DB licensing</w:t>
            </w:r>
          </w:p>
        </w:tc>
        <w:tc>
          <w:tcPr>
            <w:tcW w:type="dxa" w:w="288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00"/>
            </w:tcMar>
          </w:tcPr>
          <w:p>
            <w:r>
              <w:rPr>
                <w:rFonts w:ascii="Arial" w:cs="Arial" w:eastAsia="Arial" w:hAnsi="Arial"/>
                <w:color w:val="DC2626"/>
                <w:sz w:val="20"/>
                <w:szCs w:val="20"/>
              </w:rPr>
              <w:t xml:space="preserve">$1–2M/year (Citeline, Cortellis)</w:t>
            </w:r>
          </w:p>
        </w:tc>
        <w:tc>
          <w:tcPr>
            <w:tcW w:type="dxa" w:w="2880"/>
            <w:tcBorders>
              <w:top w:val="single" w:color="D1D5DB" w:sz="1"/>
              <w:left w:val="single" w:color="D1D5DB" w:sz="1"/>
              <w:bottom w:val="single" w:color="D1D5DB" w:sz="1"/>
              <w:right w:val="single" w:color="D1D5DB" w:sz="1"/>
            </w:tcBorders>
            <w:shd w:fill="F8FAFC" w:val="clear"/>
            <w:tcMar>
              <w:top w:type="dxa" w:w="80"/>
              <w:left w:type="dxa" w:w="140"/>
              <w:bottom w:type="dxa" w:w="80"/>
              <w:right w:type="dxa" w:w="100"/>
            </w:tcMar>
          </w:tcPr>
          <w:p>
            <w:r>
              <w:rPr>
                <w:rFonts w:ascii="Arial" w:cs="Arial" w:eastAsia="Arial" w:hAnsi="Arial"/>
                <w:color w:val="059669"/>
                <w:sz w:val="20"/>
                <w:szCs w:val="20"/>
              </w:rPr>
              <w:t xml:space="preserve">$0 — all data sources are public</w:t>
            </w:r>
          </w:p>
        </w:tc>
      </w:tr>
    </w:tbl>
    <w:p>
      <w:pPr>
        <w:spacing w:after="200" w:before="0"/>
      </w:pPr>
    </w:p>
    <w:p>
      <w:pPr>
        <w:pStyle w:val="Heading1"/>
        <w:spacing w:after="160" w:before="360"/>
      </w:pPr>
      <w:r>
        <w:rPr>
          <w:rFonts w:ascii="Arial" w:cs="Arial" w:eastAsia="Arial" w:hAnsi="Arial"/>
          <w:b/>
          <w:bCs/>
          <w:color w:val="0D1F3C"/>
          <w:sz w:val="32"/>
          <w:szCs w:val="32"/>
        </w:rPr>
        <w:t xml:space="preserve">6. Scope Boundaries — What This Pilot Does Not Include</w:t>
      </w:r>
    </w:p>
    <w:p>
      <w:pPr>
        <w:pBdr>
          <w:bottom w:val="single" w:color="E2E8F0" w:sz="4" w:space="1"/>
        </w:pBdr>
        <w:spacing w:after="120" w:before="120"/>
      </w:pPr>
    </w:p>
    <w:p>
      <w:pPr>
        <w:spacing w:after="100" w:before="60"/>
      </w:pPr>
      <w:r>
        <w:rPr>
          <w:rFonts w:ascii="Arial" w:cs="Arial" w:eastAsia="Arial" w:hAnsi="Arial"/>
          <w:b w:val="false"/>
          <w:bCs w:val="false"/>
          <w:i w:val="false"/>
          <w:iCs w:val="false"/>
          <w:color w:val="1E293B"/>
          <w:sz w:val="22"/>
          <w:szCs w:val="22"/>
        </w:rPr>
        <w:t xml:space="preserve">Being explicit about current limitations is a deliberate part of the Hakase pilot strategy. Clinical operations professionals are expert evaluators — they will discover gaps if they exist. Disclosing them proactively builds credibility and positions Hakase as a trustworthy long-term partner rather than an oversold demo.</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6"/>
              <w:left w:val="single" w:color="EF4444" w:sz="6"/>
              <w:bottom w:val="single" w:color="D1D5DB" w:sz="1"/>
              <w:right w:val="single" w:color="D1D5DB" w:sz="1"/>
            </w:tcBorders>
            <w:shd w:fill="FFF5F5" w:val="clear"/>
            <w:tcMar>
              <w:top w:type="dxa" w:w="140"/>
              <w:left w:type="dxa" w:w="200"/>
              <w:bottom w:type="dxa" w:w="140"/>
              <w:right w:type="dxa" w:w="200"/>
            </w:tcMar>
          </w:tcPr>
          <w:p>
            <w:pPr>
              <w:spacing w:after="80" w:before="0"/>
            </w:pPr>
            <w:r>
              <w:rPr>
                <w:rFonts w:ascii="Arial" w:cs="Arial" w:eastAsia="Arial" w:hAnsi="Arial"/>
                <w:b/>
                <w:bCs/>
                <w:color w:val="DC2626"/>
                <w:sz w:val="21"/>
                <w:szCs w:val="21"/>
              </w:rPr>
              <w:t xml:space="preserve">Current Platform Boundaries — Be Upfront With Prospects</w:t>
            </w:r>
          </w:p>
          <w:p>
            <w:pPr>
              <w:pStyle w:val="ListParagraph"/>
              <w:numPr>
                <w:ilvl w:val="0"/>
                <w:numId w:val="2"/>
              </w:numPr>
              <w:spacing w:after="30" w:before="30"/>
              <w:ind w:left="540" w:hanging="360"/>
            </w:pPr>
            <w:r>
              <w:rPr>
                <w:rFonts w:ascii="Arial" w:cs="Arial" w:eastAsia="Arial" w:hAnsi="Arial"/>
                <w:color w:val="7F1D1D"/>
                <w:sz w:val="20"/>
                <w:szCs w:val="20"/>
              </w:rPr>
              <w:t xml:space="preserve">KOL Dashboard is currently limited to oncology — expansion to other therapeutic areas is on the roadmap but not live</w:t>
            </w:r>
          </w:p>
          <w:p>
            <w:pPr>
              <w:pStyle w:val="ListParagraph"/>
              <w:numPr>
                <w:ilvl w:val="0"/>
                <w:numId w:val="2"/>
              </w:numPr>
              <w:spacing w:after="30" w:before="30"/>
              <w:ind w:left="540" w:hanging="360"/>
            </w:pPr>
            <w:r>
              <w:rPr>
                <w:rFonts w:ascii="Arial" w:cs="Arial" w:eastAsia="Arial" w:hAnsi="Arial"/>
                <w:color w:val="7F1D1D"/>
                <w:sz w:val="20"/>
                <w:szCs w:val="20"/>
              </w:rPr>
              <w:t xml:space="preserve">Protocol Drafting Engine is not zero-shot autonomous — it requires structured inputs and produces a draft, not a submission-ready document</w:t>
            </w:r>
          </w:p>
          <w:p>
            <w:pPr>
              <w:pStyle w:val="ListParagraph"/>
              <w:numPr>
                <w:ilvl w:val="0"/>
                <w:numId w:val="2"/>
              </w:numPr>
              <w:spacing w:after="30" w:before="30"/>
              <w:ind w:left="540" w:hanging="360"/>
            </w:pPr>
            <w:r>
              <w:rPr>
                <w:rFonts w:ascii="Arial" w:cs="Arial" w:eastAsia="Arial" w:hAnsi="Arial"/>
                <w:color w:val="7F1D1D"/>
                <w:sz w:val="20"/>
                <w:szCs w:val="20"/>
              </w:rPr>
              <w:t xml:space="preserve">No EDC, CTMS, or EHR integration is currently live — Hakase operates as a standalone analytical layer</w:t>
            </w:r>
          </w:p>
          <w:p>
            <w:pPr>
              <w:pStyle w:val="ListParagraph"/>
              <w:numPr>
                <w:ilvl w:val="0"/>
                <w:numId w:val="2"/>
              </w:numPr>
              <w:spacing w:after="30" w:before="30"/>
              <w:ind w:left="540" w:hanging="360"/>
            </w:pPr>
            <w:r>
              <w:rPr>
                <w:rFonts w:ascii="Arial" w:cs="Arial" w:eastAsia="Arial" w:hAnsi="Arial"/>
                <w:color w:val="7F1D1D"/>
                <w:sz w:val="20"/>
                <w:szCs w:val="20"/>
              </w:rPr>
              <w:t xml:space="preserve">CDISC SDTM/ADaM automated generation is on the development roadmap but not yet available</w:t>
            </w:r>
          </w:p>
          <w:p>
            <w:pPr>
              <w:pStyle w:val="ListParagraph"/>
              <w:numPr>
                <w:ilvl w:val="0"/>
                <w:numId w:val="2"/>
              </w:numPr>
              <w:spacing w:after="30" w:before="30"/>
              <w:ind w:left="540" w:hanging="360"/>
            </w:pPr>
            <w:r>
              <w:rPr>
                <w:rFonts w:ascii="Arial" w:cs="Arial" w:eastAsia="Arial" w:hAnsi="Arial"/>
                <w:color w:val="7F1D1D"/>
                <w:sz w:val="20"/>
                <w:szCs w:val="20"/>
              </w:rPr>
              <w:t xml:space="preserve">Country-specific regulatory pathway automation (FDA, EMA, PMDA) is planned but not live</w:t>
            </w:r>
          </w:p>
          <w:p>
            <w:pPr>
              <w:pStyle w:val="ListParagraph"/>
              <w:numPr>
                <w:ilvl w:val="0"/>
                <w:numId w:val="2"/>
              </w:numPr>
              <w:spacing w:after="30" w:before="30"/>
              <w:ind w:left="540" w:hanging="360"/>
            </w:pPr>
            <w:r>
              <w:rPr>
                <w:rFonts w:ascii="Arial" w:cs="Arial" w:eastAsia="Arial" w:hAnsi="Arial"/>
                <w:color w:val="7F1D1D"/>
                <w:sz w:val="20"/>
                <w:szCs w:val="20"/>
              </w:rPr>
              <w:t xml:space="preserve">Real-time patient matching and recruitment tracking is not yet operational</w:t>
            </w:r>
          </w:p>
          <w:p>
            <w:pPr>
              <w:pStyle w:val="ListParagraph"/>
              <w:numPr>
                <w:ilvl w:val="0"/>
                <w:numId w:val="2"/>
              </w:numPr>
              <w:spacing w:after="30" w:before="30"/>
              <w:ind w:left="540" w:hanging="360"/>
            </w:pPr>
            <w:r>
              <w:rPr>
                <w:rFonts w:ascii="Arial" w:cs="Arial" w:eastAsia="Arial" w:hAnsi="Arial"/>
                <w:color w:val="7F1D1D"/>
                <w:sz w:val="20"/>
                <w:szCs w:val="20"/>
              </w:rPr>
              <w:t xml:space="preserve">The platform does not yet have SOC 2 Type II certification — enterprise security reviews will need to accommodate this during the pilot phase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DB5" w:sz="6"/>
              <w:left w:val="single" w:color="00ADB5" w:sz="6"/>
              <w:bottom w:val="single" w:color="D1D5DB" w:sz="1"/>
              <w:right w:val="single" w:color="D1D5DB" w:sz="1"/>
            </w:tcBorders>
            <w:shd w:fill="E6FFFE" w:val="clear"/>
            <w:tcMar>
              <w:top w:type="dxa" w:w="140"/>
              <w:left w:type="dxa" w:w="200"/>
              <w:bottom w:type="dxa" w:w="140"/>
              <w:right w:type="dxa" w:w="200"/>
            </w:tcMar>
          </w:tcPr>
          <w:p>
            <w:pPr>
              <w:spacing w:after="60" w:before="0"/>
            </w:pPr>
            <w:r>
              <w:rPr>
                <w:rFonts w:ascii="Arial" w:cs="Arial" w:eastAsia="Arial" w:hAnsi="Arial"/>
                <w:b/>
                <w:bCs/>
                <w:color w:val="007A75"/>
                <w:sz w:val="20"/>
                <w:szCs w:val="20"/>
              </w:rPr>
              <w:t xml:space="preserve">How to handle scope boundary questions in conversation</w:t>
            </w:r>
          </w:p>
          <w:p>
            <w:pPr>
              <w:spacing w:after="0" w:before="0"/>
            </w:pPr>
            <w:r>
              <w:rPr>
                <w:rFonts w:ascii="Arial" w:cs="Arial" w:eastAsia="Arial" w:hAnsi="Arial"/>
                <w:color w:val="1E293B"/>
                <w:sz w:val="21"/>
                <w:szCs w:val="21"/>
              </w:rPr>
              <w:t xml:space="preserve">Frame every limitation as a deliberate prioritization decision, not a gap. Example: 'We made a conscious choice to get protocol analysis and site intelligence right first, because that is where the cost exposure is highest. EDC integration is on our roadmap and something we would co-design with you as we expand the engagement.' This is honest, forward-looking, and invites the prospect into the product evolution conversation.</w:t>
            </w:r>
          </w:p>
        </w:tc>
      </w:tr>
    </w:tbl>
    <w:p>
      <w:pPr>
        <w:spacing w:after="200" w:before="0"/>
      </w:pPr>
    </w:p>
    <w:p>
      <w:pPr>
        <w:pStyle w:val="Heading1"/>
        <w:spacing w:after="160" w:before="360"/>
      </w:pPr>
      <w:r>
        <w:rPr>
          <w:rFonts w:ascii="Arial" w:cs="Arial" w:eastAsia="Arial" w:hAnsi="Arial"/>
          <w:b/>
          <w:bCs/>
          <w:color w:val="0D1F3C"/>
          <w:sz w:val="32"/>
          <w:szCs w:val="32"/>
        </w:rPr>
        <w:t xml:space="preserve">7. Pilot Logistics &amp; What to Ask Prospects to Bring</w:t>
      </w:r>
    </w:p>
    <w:p>
      <w:pPr>
        <w:pBdr>
          <w:bottom w:val="single" w:color="E2E8F0" w:sz="4" w:space="1"/>
        </w:pBdr>
        <w:spacing w:after="120" w:before="120"/>
      </w:pPr>
    </w:p>
    <w:p>
      <w:pPr>
        <w:spacing w:after="40" w:before="0"/>
      </w:pPr>
    </w:p>
    <w:p>
      <w:pPr>
        <w:pStyle w:val="Heading2"/>
        <w:spacing w:after="120" w:before="280"/>
      </w:pPr>
      <w:r>
        <w:rPr>
          <w:rFonts w:ascii="Arial" w:cs="Arial" w:eastAsia="Arial" w:hAnsi="Arial"/>
          <w:b/>
          <w:bCs/>
          <w:color w:val="0D1F3C"/>
          <w:sz w:val="26"/>
          <w:szCs w:val="26"/>
        </w:rPr>
        <w:t xml:space="preserve">7.1  Before the First Session</w:t>
      </w:r>
    </w:p>
    <w:p>
      <w:pPr>
        <w:spacing w:after="100" w:before="60"/>
      </w:pPr>
      <w:r>
        <w:rPr>
          <w:rFonts w:ascii="Arial" w:cs="Arial" w:eastAsia="Arial" w:hAnsi="Arial"/>
          <w:b w:val="false"/>
          <w:bCs w:val="false"/>
          <w:i w:val="false"/>
          <w:iCs w:val="false"/>
          <w:color w:val="1E293B"/>
          <w:sz w:val="22"/>
          <w:szCs w:val="22"/>
        </w:rPr>
        <w:t xml:space="preserve">Send the following request to the prospect contact 48–72 hours before the session: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8FAFC" w:val="clear"/>
            <w:tcMar>
              <w:top w:type="dxa" w:w="160"/>
              <w:left w:type="dxa" w:w="240"/>
              <w:bottom w:type="dxa" w:w="160"/>
              <w:right w:type="dxa" w:w="240"/>
            </w:tcMar>
          </w:tcPr>
          <w:p>
            <w:pPr>
              <w:spacing w:after="100" w:before="0"/>
            </w:pPr>
            <w:r>
              <w:rPr>
                <w:rFonts w:ascii="Arial" w:cs="Arial" w:eastAsia="Arial" w:hAnsi="Arial"/>
                <w:b/>
                <w:bCs/>
                <w:color w:val="0D1F3C"/>
                <w:sz w:val="22"/>
                <w:szCs w:val="22"/>
              </w:rPr>
              <w:t xml:space="preserve">Pre-Pilot Request (send to prospect contact)</w:t>
            </w:r>
          </w:p>
          <w:p>
            <w:pPr>
              <w:spacing w:after="60" w:before="0"/>
            </w:pPr>
            <w:r>
              <w:rPr>
                <w:rFonts w:ascii="Arial" w:cs="Arial" w:eastAsia="Arial" w:hAnsi="Arial"/>
                <w:color w:val="1E293B"/>
                <w:sz w:val="21"/>
                <w:szCs w:val="21"/>
              </w:rPr>
              <w:t xml:space="preserve">To make our session as valuable as possible for your team, please bring:</w:t>
            </w:r>
          </w:p>
          <w:p>
            <w:pPr>
              <w:pStyle w:val="ListParagraph"/>
              <w:numPr>
                <w:ilvl w:val="0"/>
                <w:numId w:val="2"/>
              </w:numPr>
              <w:spacing w:after="40" w:before="40"/>
              <w:ind w:left="540" w:hanging="360"/>
            </w:pPr>
            <w:r>
              <w:rPr>
                <w:rFonts w:ascii="Arial" w:cs="Arial" w:eastAsia="Arial" w:hAnsi="Arial"/>
                <w:color w:val="1E293B"/>
                <w:sz w:val="20"/>
                <w:szCs w:val="20"/>
              </w:rPr>
              <w:t xml:space="preserve">A clinical protocol document in PDF or DOCX format — any stage, even a draft is fine</w:t>
            </w:r>
          </w:p>
          <w:p>
            <w:pPr>
              <w:pStyle w:val="ListParagraph"/>
              <w:numPr>
                <w:ilvl w:val="0"/>
                <w:numId w:val="2"/>
              </w:numPr>
              <w:spacing w:after="40" w:before="40"/>
              <w:ind w:left="540" w:hanging="360"/>
            </w:pPr>
            <w:r>
              <w:rPr>
                <w:rFonts w:ascii="Arial" w:cs="Arial" w:eastAsia="Arial" w:hAnsi="Arial"/>
                <w:color w:val="1E293B"/>
                <w:sz w:val="20"/>
                <w:szCs w:val="20"/>
              </w:rPr>
              <w:t xml:space="preserve">The therapeutic area and general indication (e.g., oncology — NSCLC, Phase II)</w:t>
            </w:r>
          </w:p>
          <w:p>
            <w:pPr>
              <w:pStyle w:val="ListParagraph"/>
              <w:numPr>
                <w:ilvl w:val="0"/>
                <w:numId w:val="2"/>
              </w:numPr>
              <w:spacing w:after="40" w:before="40"/>
              <w:ind w:left="540" w:hanging="360"/>
            </w:pPr>
            <w:r>
              <w:rPr>
                <w:rFonts w:ascii="Arial" w:cs="Arial" w:eastAsia="Arial" w:hAnsi="Arial"/>
                <w:color w:val="1E293B"/>
                <w:sz w:val="20"/>
                <w:szCs w:val="20"/>
              </w:rPr>
              <w:t xml:space="preserve">One or two questions you want the analysis to answer (e.g., 'Is our enrollment estimate realistic?' or 'What are the biggest risks in our design?')</w:t>
            </w:r>
          </w:p>
          <w:p>
            <w:pPr>
              <w:pStyle w:val="ListParagraph"/>
              <w:numPr>
                <w:ilvl w:val="0"/>
                <w:numId w:val="2"/>
              </w:numPr>
              <w:spacing w:after="40" w:before="40"/>
              <w:ind w:left="540" w:hanging="360"/>
            </w:pPr>
            <w:r>
              <w:rPr>
                <w:rFonts w:ascii="Arial" w:cs="Arial" w:eastAsia="Arial" w:hAnsi="Arial"/>
                <w:color w:val="1E293B"/>
                <w:sz w:val="20"/>
                <w:szCs w:val="20"/>
              </w:rPr>
              <w:t xml:space="preserve">If possible, an NCT number of a competitor or comparator trial you are tracking</w:t>
            </w:r>
          </w:p>
        </w:tc>
      </w:tr>
    </w:tbl>
    <w:p>
      <w:pPr>
        <w:spacing w:after="100" w:before="0"/>
      </w:pPr>
    </w:p>
    <w:p>
      <w:pPr>
        <w:pStyle w:val="Heading2"/>
        <w:spacing w:after="120" w:before="280"/>
      </w:pPr>
      <w:r>
        <w:rPr>
          <w:rFonts w:ascii="Arial" w:cs="Arial" w:eastAsia="Arial" w:hAnsi="Arial"/>
          <w:b/>
          <w:bCs/>
          <w:color w:val="0D1F3C"/>
          <w:sz w:val="26"/>
          <w:szCs w:val="26"/>
        </w:rPr>
        <w:t xml:space="preserve">7.2  Session Structure — 60 Minute Discovery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040"/>
        <w:gridCol w:w="2880"/>
      </w:tblGrid>
      <w:tr>
        <w:tc>
          <w:tcPr>
            <w:tcW w:type="dxa" w:w="1440"/>
            <w:tcBorders>
              <w:top w:val="single" w:color="D1D5DB" w:sz="1"/>
              <w:left w:val="single" w:color="D1D5DB" w:sz="1"/>
              <w:bottom w:val="single" w:color="D1D5DB" w:sz="1"/>
              <w:right w:val="single" w:color="D1D5DB" w:sz="1"/>
            </w:tcBorders>
            <w:shd w:fill="0D1F3C" w:val="clear"/>
            <w:tcMar>
              <w:top w:type="dxa" w:w="80"/>
              <w:left w:type="dxa" w:w="120"/>
              <w:bottom w:type="dxa" w:w="80"/>
              <w:right w:type="dxa" w:w="100"/>
            </w:tcMar>
          </w:tcPr>
          <w:p>
            <w:r>
              <w:rPr>
                <w:rFonts w:ascii="Arial" w:cs="Arial" w:eastAsia="Arial" w:hAnsi="Arial"/>
                <w:b/>
                <w:bCs/>
                <w:color w:val="FFFFFF"/>
                <w:sz w:val="20"/>
                <w:szCs w:val="20"/>
              </w:rPr>
              <w:t xml:space="preserve">Time</w:t>
            </w:r>
          </w:p>
        </w:tc>
        <w:tc>
          <w:tcPr>
            <w:tcW w:type="dxa" w:w="5040"/>
            <w:tcBorders>
              <w:top w:val="single" w:color="D1D5DB" w:sz="1"/>
              <w:left w:val="single" w:color="D1D5DB" w:sz="1"/>
              <w:bottom w:val="single" w:color="D1D5DB" w:sz="1"/>
              <w:right w:val="single" w:color="D1D5DB" w:sz="1"/>
            </w:tcBorders>
            <w:shd w:fill="0D1F3C" w:val="clear"/>
            <w:tcMar>
              <w:top w:type="dxa" w:w="80"/>
              <w:left w:type="dxa" w:w="120"/>
              <w:bottom w:type="dxa" w:w="80"/>
              <w:right w:type="dxa" w:w="100"/>
            </w:tcMar>
          </w:tcPr>
          <w:p>
            <w:r>
              <w:rPr>
                <w:rFonts w:ascii="Arial" w:cs="Arial" w:eastAsia="Arial" w:hAnsi="Arial"/>
                <w:b/>
                <w:bCs/>
                <w:color w:val="FFFFFF"/>
                <w:sz w:val="20"/>
                <w:szCs w:val="20"/>
              </w:rPr>
              <w:t xml:space="preserve">Activity</w:t>
            </w:r>
          </w:p>
        </w:tc>
        <w:tc>
          <w:tcPr>
            <w:tcW w:type="dxa" w:w="2880"/>
            <w:tcBorders>
              <w:top w:val="single" w:color="D1D5DB" w:sz="1"/>
              <w:left w:val="single" w:color="D1D5DB" w:sz="1"/>
              <w:bottom w:val="single" w:color="D1D5DB" w:sz="1"/>
              <w:right w:val="single" w:color="D1D5DB" w:sz="1"/>
            </w:tcBorders>
            <w:shd w:fill="0D1F3C" w:val="clear"/>
            <w:tcMar>
              <w:top w:type="dxa" w:w="80"/>
              <w:left w:type="dxa" w:w="120"/>
              <w:bottom w:type="dxa" w:w="80"/>
              <w:right w:type="dxa" w:w="100"/>
            </w:tcMar>
          </w:tcPr>
          <w:p>
            <w:r>
              <w:rPr>
                <w:rFonts w:ascii="Arial" w:cs="Arial" w:eastAsia="Arial" w:hAnsi="Arial"/>
                <w:b/>
                <w:bCs/>
                <w:color w:val="FFFFFF"/>
                <w:sz w:val="20"/>
                <w:szCs w:val="20"/>
              </w:rPr>
              <w:t xml:space="preserve">Goal</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Arial" w:cs="Arial" w:eastAsia="Arial" w:hAnsi="Arial"/>
                <w:b/>
                <w:bCs/>
                <w:color w:val="00ADB5"/>
                <w:sz w:val="19"/>
                <w:szCs w:val="19"/>
              </w:rPr>
              <w:t xml:space="preserve">0–10 min</w:t>
            </w:r>
          </w:p>
        </w:tc>
        <w:tc>
          <w:tcPr>
            <w:tcW w:type="dxa" w:w="5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Arial" w:cs="Arial" w:eastAsia="Arial" w:hAnsi="Arial"/>
                <w:color w:val="1E293B"/>
                <w:sz w:val="20"/>
                <w:szCs w:val="20"/>
              </w:rPr>
              <w:t xml:space="preserve">Frame the cost of clinical trial inefficiency using the prospect's own therapeutic area as context — no product yet</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Arial" w:cs="Arial" w:eastAsia="Arial" w:hAnsi="Arial"/>
                <w:color w:val="475569"/>
                <w:sz w:val="19"/>
                <w:szCs w:val="19"/>
              </w:rPr>
              <w:t xml:space="preserve">Establish urgency before the demo</w:t>
            </w:r>
          </w:p>
        </w:tc>
      </w:tr>
      <w:tr>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00"/>
            </w:tcMar>
          </w:tcPr>
          <w:p>
            <w:r>
              <w:rPr>
                <w:rFonts w:ascii="Arial" w:cs="Arial" w:eastAsia="Arial" w:hAnsi="Arial"/>
                <w:b/>
                <w:bCs/>
                <w:color w:val="00ADB5"/>
                <w:sz w:val="19"/>
                <w:szCs w:val="19"/>
              </w:rPr>
              <w:t xml:space="preserve">10–30 min</w:t>
            </w:r>
          </w:p>
        </w:tc>
        <w:tc>
          <w:tcPr>
            <w:tcW w:type="dxa" w:w="50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00"/>
            </w:tcMar>
          </w:tcPr>
          <w:p>
            <w:r>
              <w:rPr>
                <w:rFonts w:ascii="Arial" w:cs="Arial" w:eastAsia="Arial" w:hAnsi="Arial"/>
                <w:color w:val="1E293B"/>
                <w:sz w:val="20"/>
                <w:szCs w:val="20"/>
              </w:rPr>
              <w:t xml:space="preserve">Live Protocol Analysis — upload their protocol and walk through the output step by step: success probability, vulnerabilities, comparators, site recommendations</w:t>
            </w:r>
          </w:p>
        </w:tc>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00"/>
            </w:tcMar>
          </w:tcPr>
          <w:p>
            <w:r>
              <w:rPr>
                <w:rFonts w:ascii="Arial" w:cs="Arial" w:eastAsia="Arial" w:hAnsi="Arial"/>
                <w:color w:val="475569"/>
                <w:sz w:val="19"/>
                <w:szCs w:val="19"/>
              </w:rPr>
              <w:t xml:space="preserve">Core value demonstration</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Arial" w:cs="Arial" w:eastAsia="Arial" w:hAnsi="Arial"/>
                <w:b/>
                <w:bCs/>
                <w:color w:val="00ADB5"/>
                <w:sz w:val="19"/>
                <w:szCs w:val="19"/>
              </w:rPr>
              <w:t xml:space="preserve">30–45 min</w:t>
            </w:r>
          </w:p>
        </w:tc>
        <w:tc>
          <w:tcPr>
            <w:tcW w:type="dxa" w:w="5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Arial" w:cs="Arial" w:eastAsia="Arial" w:hAnsi="Arial"/>
                <w:color w:val="1E293B"/>
                <w:sz w:val="20"/>
                <w:szCs w:val="20"/>
              </w:rPr>
              <w:t xml:space="preserve">Trial Explorer — search their indication, find comparators, show the AI brief per trial, explore competitive landscape</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Arial" w:cs="Arial" w:eastAsia="Arial" w:hAnsi="Arial"/>
                <w:color w:val="475569"/>
                <w:sz w:val="19"/>
                <w:szCs w:val="19"/>
              </w:rPr>
              <w:t xml:space="preserve">Broaden the value story beyond their own protocol</w:t>
            </w:r>
          </w:p>
        </w:tc>
      </w:tr>
      <w:tr>
        <w:tc>
          <w:tcPr>
            <w:tcW w:type="dxa" w:w="14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00"/>
            </w:tcMar>
          </w:tcPr>
          <w:p>
            <w:r>
              <w:rPr>
                <w:rFonts w:ascii="Arial" w:cs="Arial" w:eastAsia="Arial" w:hAnsi="Arial"/>
                <w:b/>
                <w:bCs/>
                <w:color w:val="00ADB5"/>
                <w:sz w:val="19"/>
                <w:szCs w:val="19"/>
              </w:rPr>
              <w:t xml:space="preserve">45–55 min</w:t>
            </w:r>
          </w:p>
        </w:tc>
        <w:tc>
          <w:tcPr>
            <w:tcW w:type="dxa" w:w="50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00"/>
            </w:tcMar>
          </w:tcPr>
          <w:p>
            <w:r>
              <w:rPr>
                <w:rFonts w:ascii="Arial" w:cs="Arial" w:eastAsia="Arial" w:hAnsi="Arial"/>
                <w:color w:val="1E293B"/>
                <w:sz w:val="20"/>
                <w:szCs w:val="20"/>
              </w:rPr>
              <w:t xml:space="preserve">Discuss scope honestly — what's live, what's coming, how the pilot would be structured</w:t>
            </w:r>
          </w:p>
        </w:tc>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00"/>
            </w:tcMar>
          </w:tcPr>
          <w:p>
            <w:r>
              <w:rPr>
                <w:rFonts w:ascii="Arial" w:cs="Arial" w:eastAsia="Arial" w:hAnsi="Arial"/>
                <w:color w:val="475569"/>
                <w:sz w:val="19"/>
                <w:szCs w:val="19"/>
              </w:rPr>
              <w:t xml:space="preserve">Build trust, set clear expectations</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Arial" w:cs="Arial" w:eastAsia="Arial" w:hAnsi="Arial"/>
                <w:b/>
                <w:bCs/>
                <w:color w:val="00ADB5"/>
                <w:sz w:val="19"/>
                <w:szCs w:val="19"/>
              </w:rPr>
              <w:t xml:space="preserve">55–60 min</w:t>
            </w:r>
          </w:p>
        </w:tc>
        <w:tc>
          <w:tcPr>
            <w:tcW w:type="dxa" w:w="5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Arial" w:cs="Arial" w:eastAsia="Arial" w:hAnsi="Arial"/>
                <w:color w:val="1E293B"/>
                <w:sz w:val="20"/>
                <w:szCs w:val="20"/>
              </w:rPr>
              <w:t xml:space="preserve">Define next step: is this a 2-week PoV or a 30-day pilot? Who else needs to be in the room?</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Arial" w:cs="Arial" w:eastAsia="Arial" w:hAnsi="Arial"/>
                <w:color w:val="475569"/>
                <w:sz w:val="19"/>
                <w:szCs w:val="19"/>
              </w:rPr>
              <w:t xml:space="preserve">Advance the deal</w:t>
            </w:r>
          </w:p>
        </w:tc>
      </w:tr>
    </w:tbl>
    <w:p>
      <w:pPr>
        <w:spacing w:after="100" w:before="0"/>
      </w:pPr>
    </w:p>
    <w:p>
      <w:pPr>
        <w:pStyle w:val="Heading2"/>
        <w:spacing w:after="120" w:before="280"/>
      </w:pPr>
      <w:r>
        <w:rPr>
          <w:rFonts w:ascii="Arial" w:cs="Arial" w:eastAsia="Arial" w:hAnsi="Arial"/>
          <w:b/>
          <w:bCs/>
          <w:color w:val="0D1F3C"/>
          <w:sz w:val="26"/>
          <w:szCs w:val="26"/>
        </w:rPr>
        <w:t xml:space="preserve">7.3  Pilot Success Criteria</w:t>
      </w:r>
    </w:p>
    <w:p>
      <w:pPr>
        <w:spacing w:after="100" w:before="60"/>
      </w:pPr>
      <w:r>
        <w:rPr>
          <w:rFonts w:ascii="Arial" w:cs="Arial" w:eastAsia="Arial" w:hAnsi="Arial"/>
          <w:b w:val="false"/>
          <w:bCs w:val="false"/>
          <w:i w:val="false"/>
          <w:iCs w:val="false"/>
          <w:color w:val="1E293B"/>
          <w:sz w:val="22"/>
          <w:szCs w:val="22"/>
        </w:rPr>
        <w:t xml:space="preserve">Define success explicitly before the pilot begins. Agree on these criteria with the prospect in the discovery session:</w:t>
      </w:r>
    </w:p>
    <w:p>
      <w:pPr>
        <w:spacing w:after="40" w:before="0"/>
      </w:pPr>
    </w:p>
    <w:p>
      <w:pPr>
        <w:pStyle w:val="ListParagraph"/>
        <w:numPr>
          <w:ilvl w:val="0"/>
          <w:numId w:val="2"/>
        </w:numPr>
        <w:spacing w:after="40" w:before="40"/>
        <w:ind w:left="720" w:hanging="360"/>
      </w:pPr>
      <w:r>
        <w:rPr>
          <w:rFonts w:ascii="Arial" w:cs="Arial" w:eastAsia="Arial" w:hAnsi="Arial"/>
          <w:b w:val="false"/>
          <w:bCs w:val="false"/>
          <w:color w:val="1E293B"/>
          <w:sz w:val="22"/>
          <w:szCs w:val="22"/>
        </w:rPr>
        <w:t xml:space="preserve">The protocol vulnerability flags are clinically meaningful — the prospect confirms they reflect real risks in their design</w:t>
      </w:r>
    </w:p>
    <w:p>
      <w:pPr>
        <w:pStyle w:val="ListParagraph"/>
        <w:numPr>
          <w:ilvl w:val="0"/>
          <w:numId w:val="2"/>
        </w:numPr>
        <w:spacing w:after="40" w:before="40"/>
        <w:ind w:left="720" w:hanging="360"/>
      </w:pPr>
      <w:r>
        <w:rPr>
          <w:rFonts w:ascii="Arial" w:cs="Arial" w:eastAsia="Arial" w:hAnsi="Arial"/>
          <w:b w:val="false"/>
          <w:bCs w:val="false"/>
          <w:color w:val="1E293B"/>
          <w:sz w:val="22"/>
          <w:szCs w:val="22"/>
        </w:rPr>
        <w:t xml:space="preserve">The site recommendations either confirm or improve their current site selection approach</w:t>
      </w:r>
    </w:p>
    <w:p>
      <w:pPr>
        <w:pStyle w:val="ListParagraph"/>
        <w:numPr>
          <w:ilvl w:val="0"/>
          <w:numId w:val="2"/>
        </w:numPr>
        <w:spacing w:after="40" w:before="40"/>
        <w:ind w:left="720" w:hanging="360"/>
      </w:pPr>
      <w:r>
        <w:rPr>
          <w:rFonts w:ascii="Arial" w:cs="Arial" w:eastAsia="Arial" w:hAnsi="Arial"/>
          <w:b w:val="false"/>
          <w:bCs w:val="false"/>
          <w:color w:val="1E293B"/>
          <w:sz w:val="22"/>
          <w:szCs w:val="22"/>
        </w:rPr>
        <w:t xml:space="preserve">The success probability benchmark is within a reasonable range compared to the prospect's own internal estimate</w:t>
      </w:r>
    </w:p>
    <w:p>
      <w:pPr>
        <w:pStyle w:val="ListParagraph"/>
        <w:numPr>
          <w:ilvl w:val="0"/>
          <w:numId w:val="2"/>
        </w:numPr>
        <w:spacing w:after="40" w:before="40"/>
        <w:ind w:left="720" w:hanging="360"/>
      </w:pPr>
      <w:r>
        <w:rPr>
          <w:rFonts w:ascii="Arial" w:cs="Arial" w:eastAsia="Arial" w:hAnsi="Arial"/>
          <w:b w:val="false"/>
          <w:bCs w:val="false"/>
          <w:color w:val="1E293B"/>
          <w:sz w:val="22"/>
          <w:szCs w:val="22"/>
        </w:rPr>
        <w:t xml:space="preserve">The analysis output reduces at least one manual research task the prospect's team was planning to do anyway</w:t>
      </w:r>
    </w:p>
    <w:p>
      <w:pPr>
        <w:spacing w:after="200" w:before="0"/>
      </w:pPr>
    </w:p>
    <w:p>
      <w:pPr>
        <w:pStyle w:val="Heading1"/>
        <w:spacing w:after="160" w:before="360"/>
      </w:pPr>
      <w:r>
        <w:rPr>
          <w:rFonts w:ascii="Arial" w:cs="Arial" w:eastAsia="Arial" w:hAnsi="Arial"/>
          <w:b/>
          <w:bCs/>
          <w:color w:val="0D1F3C"/>
          <w:sz w:val="32"/>
          <w:szCs w:val="32"/>
        </w:rPr>
        <w:t xml:space="preserve">8. From Pilot to Engagement</w:t>
      </w:r>
    </w:p>
    <w:p>
      <w:pPr>
        <w:pBdr>
          <w:bottom w:val="single" w:color="E2E8F0" w:sz="4" w:space="1"/>
        </w:pBdr>
        <w:spacing w:after="120" w:before="120"/>
      </w:pPr>
    </w:p>
    <w:p>
      <w:pPr>
        <w:spacing w:after="100" w:before="60"/>
      </w:pPr>
      <w:r>
        <w:rPr>
          <w:rFonts w:ascii="Arial" w:cs="Arial" w:eastAsia="Arial" w:hAnsi="Arial"/>
          <w:b w:val="false"/>
          <w:bCs w:val="false"/>
          <w:i w:val="false"/>
          <w:iCs w:val="false"/>
          <w:color w:val="1E293B"/>
          <w:sz w:val="22"/>
          <w:szCs w:val="22"/>
        </w:rPr>
        <w:t xml:space="preserve">The pilot is not the end goal — it is the beginning of a structured conversation about the cost of trial failure and the value of intelligence-driven drug development. The natural expansion path from a successful pilot is: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40"/>
        <w:gridCol w:w="3360"/>
        <w:gridCol w:w="2880"/>
      </w:tblGrid>
      <w:tr>
        <w:tc>
          <w:tcPr>
            <w:tcW w:type="dxa" w:w="480"/>
            <w:tcBorders>
              <w:top w:val="single" w:color="D1D5DB" w:sz="1"/>
              <w:left w:val="single" w:color="D1D5DB" w:sz="1"/>
              <w:bottom w:val="single" w:color="D1D5DB" w:sz="1"/>
              <w:right w:val="single" w:color="D1D5DB" w:sz="1"/>
            </w:tcBorders>
            <w:shd w:fill="0D1F3C"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W w:type="dxa" w:w="2640"/>
            <w:tcBorders>
              <w:top w:val="single" w:color="D1D5DB" w:sz="1"/>
              <w:left w:val="single" w:color="D1D5DB" w:sz="1"/>
              <w:bottom w:val="single" w:color="D1D5DB" w:sz="1"/>
              <w:right w:val="single" w:color="D1D5DB" w:sz="1"/>
            </w:tcBorders>
            <w:shd w:fill="0D1F3C" w:val="clear"/>
            <w:tcMar>
              <w:top w:type="dxa" w:w="80"/>
              <w:left w:type="dxa" w:w="120"/>
              <w:bottom w:type="dxa" w:w="80"/>
              <w:right w:type="dxa" w:w="100"/>
            </w:tcMar>
          </w:tcPr>
          <w:p>
            <w:r>
              <w:rPr>
                <w:rFonts w:ascii="Arial" w:cs="Arial" w:eastAsia="Arial" w:hAnsi="Arial"/>
                <w:b/>
                <w:bCs/>
                <w:color w:val="FFFFFF"/>
                <w:sz w:val="20"/>
                <w:szCs w:val="20"/>
              </w:rPr>
              <w:t xml:space="preserve">Stage</w:t>
            </w:r>
          </w:p>
        </w:tc>
        <w:tc>
          <w:tcPr>
            <w:tcW w:type="dxa" w:w="3360"/>
            <w:tcBorders>
              <w:top w:val="single" w:color="D1D5DB" w:sz="1"/>
              <w:left w:val="single" w:color="D1D5DB" w:sz="1"/>
              <w:bottom w:val="single" w:color="D1D5DB" w:sz="1"/>
              <w:right w:val="single" w:color="D1D5DB" w:sz="1"/>
            </w:tcBorders>
            <w:shd w:fill="0D1F3C" w:val="clear"/>
            <w:tcMar>
              <w:top w:type="dxa" w:w="80"/>
              <w:left w:type="dxa" w:w="120"/>
              <w:bottom w:type="dxa" w:w="80"/>
              <w:right w:type="dxa" w:w="100"/>
            </w:tcMar>
          </w:tcPr>
          <w:p>
            <w:r>
              <w:rPr>
                <w:rFonts w:ascii="Arial" w:cs="Arial" w:eastAsia="Arial" w:hAnsi="Arial"/>
                <w:b/>
                <w:bCs/>
                <w:color w:val="FFFFFF"/>
                <w:sz w:val="20"/>
                <w:szCs w:val="20"/>
              </w:rPr>
              <w:t xml:space="preserve">What Happens</w:t>
            </w:r>
          </w:p>
        </w:tc>
        <w:tc>
          <w:tcPr>
            <w:tcW w:type="dxa" w:w="2880"/>
            <w:tcBorders>
              <w:top w:val="single" w:color="D1D5DB" w:sz="1"/>
              <w:left w:val="single" w:color="D1D5DB" w:sz="1"/>
              <w:bottom w:val="single" w:color="D1D5DB" w:sz="1"/>
              <w:right w:val="single" w:color="D1D5DB" w:sz="1"/>
            </w:tcBorders>
            <w:shd w:fill="0D1F3C" w:val="clear"/>
            <w:tcMar>
              <w:top w:type="dxa" w:w="80"/>
              <w:left w:type="dxa" w:w="120"/>
              <w:bottom w:type="dxa" w:w="80"/>
              <w:right w:type="dxa" w:w="100"/>
            </w:tcMar>
          </w:tcPr>
          <w:p>
            <w:r>
              <w:rPr>
                <w:rFonts w:ascii="Arial" w:cs="Arial" w:eastAsia="Arial" w:hAnsi="Arial"/>
                <w:b/>
                <w:bCs/>
                <w:color w:val="FFFFFF"/>
                <w:sz w:val="20"/>
                <w:szCs w:val="20"/>
              </w:rPr>
              <w:t xml:space="preserve">Trigger for Advance</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pPr>
              <w:jc w:val="center"/>
            </w:pPr>
            <w:r>
              <w:rPr>
                <w:rFonts w:ascii="Arial" w:cs="Arial" w:eastAsia="Arial" w:hAnsi="Arial"/>
                <w:b/>
                <w:bCs/>
                <w:color w:val="00ADB5"/>
                <w:sz w:val="21"/>
                <w:szCs w:val="21"/>
              </w:rPr>
              <w:t xml:space="preserve">1</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Arial" w:cs="Arial" w:eastAsia="Arial" w:hAnsi="Arial"/>
                <w:b/>
                <w:bCs/>
                <w:color w:val="1E293B"/>
                <w:sz w:val="20"/>
                <w:szCs w:val="20"/>
              </w:rPr>
              <w:t xml:space="preserve">Discovery Session (60 min)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Arial" w:cs="Arial" w:eastAsia="Arial" w:hAnsi="Arial"/>
                <w:color w:val="1E293B"/>
                <w:sz w:val="20"/>
                <w:szCs w:val="20"/>
              </w:rPr>
              <w:t xml:space="preserve">Live demo on prospect's own protocol — establish clinical relevance of output</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Arial" w:cs="Arial" w:eastAsia="Arial" w:hAnsi="Arial"/>
                <w:color w:val="475569"/>
                <w:sz w:val="19"/>
                <w:szCs w:val="19"/>
              </w:rPr>
              <w:t xml:space="preserve">Prospect confirms vulnerability flags are meaningful</w:t>
            </w:r>
          </w:p>
        </w:tc>
      </w:tr>
      <w:tr>
        <w:tc>
          <w:tcPr>
            <w:tcW w:type="dxa" w:w="48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pPr>
              <w:jc w:val="center"/>
            </w:pPr>
            <w:r>
              <w:rPr>
                <w:rFonts w:ascii="Arial" w:cs="Arial" w:eastAsia="Arial" w:hAnsi="Arial"/>
                <w:b/>
                <w:bCs/>
                <w:color w:val="00ADB5"/>
                <w:sz w:val="21"/>
                <w:szCs w:val="21"/>
              </w:rPr>
              <w:t xml:space="preserve">2</w:t>
            </w:r>
          </w:p>
        </w:tc>
        <w:tc>
          <w:tcPr>
            <w:tcW w:type="dxa" w:w="26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00"/>
            </w:tcMar>
          </w:tcPr>
          <w:p>
            <w:r>
              <w:rPr>
                <w:rFonts w:ascii="Arial" w:cs="Arial" w:eastAsia="Arial" w:hAnsi="Arial"/>
                <w:b/>
                <w:bCs/>
                <w:color w:val="1E293B"/>
                <w:sz w:val="20"/>
                <w:szCs w:val="20"/>
              </w:rPr>
              <w:t xml:space="preserve">Proof of Value (2 weeks)</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00"/>
            </w:tcMar>
          </w:tcPr>
          <w:p>
            <w:r>
              <w:rPr>
                <w:rFonts w:ascii="Arial" w:cs="Arial" w:eastAsia="Arial" w:hAnsi="Arial"/>
                <w:color w:val="1E293B"/>
                <w:sz w:val="20"/>
                <w:szCs w:val="20"/>
              </w:rPr>
              <w:t xml:space="preserve">Prospect submits 1–2 protocols. Hakase delivers full analysis reports. Team reviews internally.</w:t>
            </w:r>
          </w:p>
        </w:tc>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00"/>
            </w:tcMar>
          </w:tcPr>
          <w:p>
            <w:r>
              <w:rPr>
                <w:rFonts w:ascii="Arial" w:cs="Arial" w:eastAsia="Arial" w:hAnsi="Arial"/>
                <w:color w:val="475569"/>
                <w:sz w:val="19"/>
                <w:szCs w:val="19"/>
              </w:rPr>
              <w:t xml:space="preserve">At least one analysis output influences a clinical decision</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pPr>
              <w:jc w:val="center"/>
            </w:pPr>
            <w:r>
              <w:rPr>
                <w:rFonts w:ascii="Arial" w:cs="Arial" w:eastAsia="Arial" w:hAnsi="Arial"/>
                <w:b/>
                <w:bCs/>
                <w:color w:val="00ADB5"/>
                <w:sz w:val="21"/>
                <w:szCs w:val="21"/>
              </w:rPr>
              <w:t xml:space="preserve">3</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Arial" w:cs="Arial" w:eastAsia="Arial" w:hAnsi="Arial"/>
                <w:b/>
                <w:bCs/>
                <w:color w:val="1E293B"/>
                <w:sz w:val="20"/>
                <w:szCs w:val="20"/>
              </w:rPr>
              <w:t xml:space="preserve">Structured Pilot (30 days)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Arial" w:cs="Arial" w:eastAsia="Arial" w:hAnsi="Arial"/>
                <w:color w:val="1E293B"/>
                <w:sz w:val="20"/>
                <w:szCs w:val="20"/>
              </w:rPr>
              <w:t xml:space="preserve">Full platform access for one study team. Structured feedback sessions. Success criteria reviewed at day 15 and day 30.</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00"/>
            </w:tcMar>
          </w:tcPr>
          <w:p>
            <w:r>
              <w:rPr>
                <w:rFonts w:ascii="Arial" w:cs="Arial" w:eastAsia="Arial" w:hAnsi="Arial"/>
                <w:color w:val="475569"/>
                <w:sz w:val="19"/>
                <w:szCs w:val="19"/>
              </w:rPr>
              <w:t xml:space="preserve">All agreed success criteria met at day 30 review</w:t>
            </w:r>
          </w:p>
        </w:tc>
      </w:tr>
      <w:tr>
        <w:tc>
          <w:tcPr>
            <w:tcW w:type="dxa" w:w="48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pPr>
              <w:jc w:val="center"/>
            </w:pPr>
            <w:r>
              <w:rPr>
                <w:rFonts w:ascii="Arial" w:cs="Arial" w:eastAsia="Arial" w:hAnsi="Arial"/>
                <w:b/>
                <w:bCs/>
                <w:color w:val="00ADB5"/>
                <w:sz w:val="21"/>
                <w:szCs w:val="21"/>
              </w:rPr>
              <w:t xml:space="preserve">4</w:t>
            </w:r>
          </w:p>
        </w:tc>
        <w:tc>
          <w:tcPr>
            <w:tcW w:type="dxa" w:w="26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00"/>
            </w:tcMar>
          </w:tcPr>
          <w:p>
            <w:r>
              <w:rPr>
                <w:rFonts w:ascii="Arial" w:cs="Arial" w:eastAsia="Arial" w:hAnsi="Arial"/>
                <w:b/>
                <w:bCs/>
                <w:color w:val="1E293B"/>
                <w:sz w:val="20"/>
                <w:szCs w:val="20"/>
              </w:rPr>
              <w:t xml:space="preserve">Engagement Agreement</w:t>
            </w:r>
          </w:p>
        </w:tc>
        <w:tc>
          <w:tcPr>
            <w:tcW w:type="dxa" w:w="336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00"/>
            </w:tcMar>
          </w:tcPr>
          <w:p>
            <w:r>
              <w:rPr>
                <w:rFonts w:ascii="Arial" w:cs="Arial" w:eastAsia="Arial" w:hAnsi="Arial"/>
                <w:color w:val="1E293B"/>
                <w:sz w:val="20"/>
                <w:szCs w:val="20"/>
              </w:rPr>
              <w:t xml:space="preserve">Platform access extended to additional studies. Pricing structured by number of protocols or enterprise license.</w:t>
            </w:r>
          </w:p>
        </w:tc>
        <w:tc>
          <w:tcPr>
            <w:tcW w:type="dxa" w:w="28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00"/>
            </w:tcMar>
          </w:tcPr>
          <w:p>
            <w:r>
              <w:rPr>
                <w:rFonts w:ascii="Arial" w:cs="Arial" w:eastAsia="Arial" w:hAnsi="Arial"/>
                <w:color w:val="475569"/>
                <w:sz w:val="19"/>
                <w:szCs w:val="19"/>
              </w:rPr>
              <w:t xml:space="preserve">Commercial terms agreed</w:t>
            </w:r>
          </w:p>
        </w:tc>
      </w:tr>
    </w:tbl>
    <w:p>
      <w:pPr>
        <w:spacing w:after="200" w:before="0"/>
      </w:pPr>
    </w:p>
    <w:p>
      <w:pPr>
        <w:pBdr>
          <w:bottom w:val="single" w:color="00ADB5" w:sz="4" w:space="1"/>
        </w:pBdr>
        <w:spacing w:after="120" w:before="120"/>
      </w:pPr>
    </w:p>
    <w:p>
      <w:pPr>
        <w:spacing w:after="40" w:before="120"/>
      </w:pPr>
      <w:r>
        <w:rPr>
          <w:rFonts w:ascii="Arial" w:cs="Arial" w:eastAsia="Arial" w:hAnsi="Arial"/>
          <w:b/>
          <w:bCs/>
          <w:color w:val="00ADB5"/>
          <w:sz w:val="22"/>
          <w:szCs w:val="22"/>
        </w:rPr>
        <w:t xml:space="preserve">Hakase Clinical  ·  AKTHealth</w:t>
      </w:r>
    </w:p>
    <w:p>
      <w:pPr>
        <w:spacing w:after="40" w:before="0"/>
      </w:pPr>
      <w:r>
        <w:rPr>
          <w:rFonts w:ascii="Arial" w:cs="Arial" w:eastAsia="Arial" w:hAnsi="Arial"/>
          <w:color w:val="475569"/>
          <w:sz w:val="20"/>
          <w:szCs w:val="20"/>
        </w:rPr>
        <w:t xml:space="preserve">Clinical Intelligence Framework v1.0  ·  Confidential</w:t>
      </w:r>
    </w:p>
    <w:p>
      <w:pPr>
        <w:spacing w:after="0" w:before="0"/>
      </w:pPr>
      <w:r>
        <w:rPr>
          <w:rFonts w:ascii="Arial" w:cs="Arial" w:eastAsia="Arial" w:hAnsi="Arial"/>
          <w:i/>
          <w:iCs/>
          <w:color w:val="475569"/>
          <w:sz w:val="18"/>
          <w:szCs w:val="18"/>
        </w:rPr>
        <w:t xml:space="preserve">This document is based on currently live platform features only. All metrics are derived from platform benchmarks and industry reference data.</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tabs>
        <w:tab w:val="right" w:pos="9360"/>
      </w:tabs>
      <w:spacing w:after="0" w:before="100"/>
    </w:pPr>
    <w:r>
      <w:rPr>
        <w:rFonts w:ascii="Arial" w:cs="Arial" w:eastAsia="Arial" w:hAnsi="Arial"/>
        <w:color w:val="475569"/>
        <w:sz w:val="18"/>
        <w:szCs w:val="18"/>
      </w:rPr>
      <w:t xml:space="preserve">Confidential  ·  AKTHealth / Hakase AI  ·  2025</w:t>
    </w:r>
    <w:r>
      <w:rPr>
        <w:rFonts w:ascii="Arial" w:cs="Arial" w:eastAsia="Arial" w:hAnsi="Arial"/>
        <w:color w:val="475569"/>
        <w:sz w:val="18"/>
        <w:szCs w:val="18"/>
      </w:rPr>
      <w:t xml:space="preserve">	Hakase Clinical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DB5" w:sz="4" w:space="1"/>
      </w:pBdr>
      <w:spacing w:after="100" w:before="0"/>
    </w:pPr>
    <w:r>
      <w:rPr>
        <w:rFonts w:ascii="Arial" w:cs="Arial" w:eastAsia="Arial" w:hAnsi="Arial"/>
        <w:b/>
        <w:bCs/>
        <w:color w:val="00ADB5"/>
        <w:sz w:val="20"/>
        <w:szCs w:val="20"/>
      </w:rPr>
      <w:t xml:space="preserve">Hakase Clinical  </w:t>
    </w:r>
    <w:r>
      <w:rPr>
        <w:rFonts w:ascii="Arial" w:cs="Arial" w:eastAsia="Arial" w:hAnsi="Arial"/>
        <w:color w:val="475569"/>
        <w:sz w:val="20"/>
        <w:szCs w:val="20"/>
      </w:rPr>
      <w:t xml:space="preserve">Clinical Intelligence Framework  ·  Pilot Engagement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1F3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D1F3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D1F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2026-03-12T13:03:55.929Z</dcterms:created>
  <dcterms:modified xsi:type="dcterms:W3CDTF">2026-03-12T13:03:55.931Z</dcterms:modified>
</cp:coreProperties>
</file>

<file path=docProps/custom.xml><?xml version="1.0" encoding="utf-8"?>
<Properties xmlns="http://schemas.openxmlformats.org/officeDocument/2006/custom-properties" xmlns:vt="http://schemas.openxmlformats.org/officeDocument/2006/docPropsVTypes"/>
</file>