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Apex AI Governance and Compliance Checklist</w:t>
      </w:r>
    </w:p>
    <w:p>
      <w:pPr>
        <w:jc w:val="center"/>
      </w:pPr>
      <w:r>
        <w:rPr>
          <w:i/>
          <w:sz w:val="18"/>
        </w:rPr>
        <w:t>Synthetic but realistic enterprise test document for AI Readiness Intelligence Studio end-to-end validation.</w:t>
      </w:r>
    </w:p>
    <w:p/>
    <w:p>
      <w:pPr>
        <w:pStyle w:val="Heading1"/>
      </w:pPr>
      <w:r>
        <w:t>1. Compliance Requirements</w:t>
      </w:r>
    </w:p>
    <w:p>
      <w:r>
        <w:t>Apex operates under GDPR and SOC2 Type II expectations. Any AI solution handling client documents must preserve confidentiality, traceability, and human accountability.</w:t>
      </w:r>
    </w:p>
    <w:p>
      <w:pPr>
        <w:pStyle w:val="Heading1"/>
      </w:pPr>
      <w:r>
        <w:t>2. Required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Current State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Required AI Control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Risk Severity</w:t>
            </w:r>
          </w:p>
        </w:tc>
      </w:tr>
      <w:tr>
        <w:tc>
          <w:tcPr>
            <w:tcW w:type="dxa" w:w="2556"/>
            <w:vAlign w:val="top"/>
          </w:tcPr>
          <w:p>
            <w:r>
              <w:t>PII and client data handling</w:t>
            </w:r>
          </w:p>
        </w:tc>
        <w:tc>
          <w:tcPr>
            <w:tcW w:type="dxa" w:w="2556"/>
            <w:vAlign w:val="top"/>
          </w:tcPr>
          <w:p>
            <w:r>
              <w:t>Client names, pricing, and contract notes appear in proposal folders.</w:t>
            </w:r>
          </w:p>
        </w:tc>
        <w:tc>
          <w:tcPr>
            <w:tcW w:type="dxa" w:w="2556"/>
            <w:vAlign w:val="top"/>
          </w:tcPr>
          <w:p>
            <w:r>
              <w:t>PII scanning, redaction gate, document-level permissions.</w:t>
            </w:r>
          </w:p>
        </w:tc>
        <w:tc>
          <w:tcPr>
            <w:tcW w:type="dxa" w:w="2556"/>
            <w:vAlign w:val="top"/>
          </w:tcPr>
          <w:p>
            <w:r>
              <w:t>High</w:t>
            </w:r>
          </w:p>
        </w:tc>
      </w:tr>
      <w:tr>
        <w:tc>
          <w:tcPr>
            <w:tcW w:type="dxa" w:w="2556"/>
            <w:vAlign w:val="top"/>
          </w:tcPr>
          <w:p>
            <w:r>
              <w:t>Output reliability</w:t>
            </w:r>
          </w:p>
        </w:tc>
        <w:tc>
          <w:tcPr>
            <w:tcW w:type="dxa" w:w="2556"/>
            <w:vAlign w:val="top"/>
          </w:tcPr>
          <w:p>
            <w:r>
              <w:t>Current drafts are reviewed manually by senior consultants.</w:t>
            </w:r>
          </w:p>
        </w:tc>
        <w:tc>
          <w:tcPr>
            <w:tcW w:type="dxa" w:w="2556"/>
            <w:vAlign w:val="top"/>
          </w:tcPr>
          <w:p>
            <w:r>
              <w:t>Source citations, hallucination checks, low-confidence escalation.</w:t>
            </w:r>
          </w:p>
        </w:tc>
        <w:tc>
          <w:tcPr>
            <w:tcW w:type="dxa" w:w="2556"/>
            <w:vAlign w:val="top"/>
          </w:tcPr>
          <w:p>
            <w:r>
              <w:t>High</w:t>
            </w:r>
          </w:p>
        </w:tc>
      </w:tr>
      <w:tr>
        <w:tc>
          <w:tcPr>
            <w:tcW w:type="dxa" w:w="2556"/>
            <w:vAlign w:val="top"/>
          </w:tcPr>
          <w:p>
            <w:r>
              <w:t>Human approval</w:t>
            </w:r>
          </w:p>
        </w:tc>
        <w:tc>
          <w:tcPr>
            <w:tcW w:type="dxa" w:w="2556"/>
            <w:vAlign w:val="top"/>
          </w:tcPr>
          <w:p>
            <w:r>
              <w:t>Consultants manually approve final documents.</w:t>
            </w:r>
          </w:p>
        </w:tc>
        <w:tc>
          <w:tcPr>
            <w:tcW w:type="dxa" w:w="2556"/>
            <w:vAlign w:val="top"/>
          </w:tcPr>
          <w:p>
            <w:r>
              <w:t>Draft -&gt; Reviewed -&gt; Approved workflow before client export.</w:t>
            </w:r>
          </w:p>
        </w:tc>
        <w:tc>
          <w:tcPr>
            <w:tcW w:type="dxa" w:w="2556"/>
            <w:vAlign w:val="top"/>
          </w:tcPr>
          <w:p>
            <w:r>
              <w:t>Medium</w:t>
            </w:r>
          </w:p>
        </w:tc>
      </w:tr>
      <w:tr>
        <w:tc>
          <w:tcPr>
            <w:tcW w:type="dxa" w:w="2556"/>
            <w:vAlign w:val="top"/>
          </w:tcPr>
          <w:p>
            <w:r>
              <w:t>Auditability</w:t>
            </w:r>
          </w:p>
        </w:tc>
        <w:tc>
          <w:tcPr>
            <w:tcW w:type="dxa" w:w="2556"/>
            <w:vAlign w:val="top"/>
          </w:tcPr>
          <w:p>
            <w:r>
              <w:t>Some SharePoint history exists but no AI prompt/output log.</w:t>
            </w:r>
          </w:p>
        </w:tc>
        <w:tc>
          <w:tcPr>
            <w:tcW w:type="dxa" w:w="2556"/>
            <w:vAlign w:val="top"/>
          </w:tcPr>
          <w:p>
            <w:r>
              <w:t>Prompt/output logs, reviewer notes, export history.</w:t>
            </w:r>
          </w:p>
        </w:tc>
        <w:tc>
          <w:tcPr>
            <w:tcW w:type="dxa" w:w="2556"/>
            <w:vAlign w:val="top"/>
          </w:tcPr>
          <w:p>
            <w:r>
              <w:t>Medium</w:t>
            </w:r>
          </w:p>
        </w:tc>
      </w:tr>
      <w:tr>
        <w:tc>
          <w:tcPr>
            <w:tcW w:type="dxa" w:w="2556"/>
            <w:vAlign w:val="top"/>
          </w:tcPr>
          <w:p>
            <w:r>
              <w:t>Retention policy</w:t>
            </w:r>
          </w:p>
        </w:tc>
        <w:tc>
          <w:tcPr>
            <w:tcW w:type="dxa" w:w="2556"/>
            <w:vAlign w:val="top"/>
          </w:tcPr>
          <w:p>
            <w:r>
              <w:t>Different teams retain files inconsistently.</w:t>
            </w:r>
          </w:p>
        </w:tc>
        <w:tc>
          <w:tcPr>
            <w:tcW w:type="dxa" w:w="2556"/>
            <w:vAlign w:val="top"/>
          </w:tcPr>
          <w:p>
            <w:r>
              <w:t>Retention rules for uploaded files, generated assets, and logs.</w:t>
            </w:r>
          </w:p>
        </w:tc>
        <w:tc>
          <w:tcPr>
            <w:tcW w:type="dxa" w:w="2556"/>
            <w:vAlign w:val="top"/>
          </w:tcPr>
          <w:p>
            <w:r>
              <w:t>Medium</w:t>
            </w:r>
          </w:p>
        </w:tc>
      </w:tr>
    </w:tbl>
    <w:p/>
    <w:p>
      <w:pPr>
        <w:pStyle w:val="Heading1"/>
      </w:pPr>
      <w:r>
        <w:t>3. Governance Policy Notes</w:t>
      </w:r>
    </w:p>
    <w:p>
      <w:pPr>
        <w:pStyle w:val="ListBullet"/>
      </w:pPr>
      <w:r>
        <w:t>AI-generated proposal content must be treated as a draft until reviewed by an accountable consultant.</w:t>
      </w:r>
    </w:p>
    <w:p>
      <w:pPr>
        <w:pStyle w:val="ListBullet"/>
      </w:pPr>
      <w:r>
        <w:t>The system should not send client-facing emails or proposals automatically.</w:t>
      </w:r>
    </w:p>
    <w:p>
      <w:pPr>
        <w:pStyle w:val="ListBullet"/>
      </w:pPr>
      <w:r>
        <w:t>Sensitive commercial data must be masked or kept within approved environments.</w:t>
      </w:r>
    </w:p>
    <w:p>
      <w:pPr>
        <w:pStyle w:val="ListBullet"/>
      </w:pPr>
      <w:r>
        <w:t>Each generated recommendation should include evidence or a clear reasoning trail.</w:t>
      </w:r>
    </w:p>
    <w:p>
      <w:pPr>
        <w:pStyle w:val="ListBullet"/>
      </w:pPr>
      <w:r>
        <w:t>Model evaluation should include factuality, source alignment, refusal behavior, and reviewer acceptance rate.</w:t>
      </w:r>
    </w:p>
    <w:p>
      <w:pPr>
        <w:pStyle w:val="Heading1"/>
      </w:pPr>
      <w:r>
        <w:t>4. Escalation Rules</w:t>
      </w:r>
    </w:p>
    <w:p>
      <w:r>
        <w:t>Escalate to compliance leadership when output confidence falls below 85%, a client-specific commercial term is detected, or a proposal includes regulatory commitments not found in approved source documents.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