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Apex Global Consulting Partners - Client Brief</w:t>
      </w:r>
    </w:p>
    <w:p>
      <w:pPr>
        <w:jc w:val="center"/>
      </w:pPr>
      <w:r>
        <w:rPr>
          <w:i/>
          <w:sz w:val="18"/>
        </w:rPr>
        <w:t>Synthetic but realistic enterprise test document for AI Readiness Intelligence Studio end-to-end validation.</w:t>
      </w:r>
    </w:p>
    <w:p/>
    <w:p>
      <w:pPr>
        <w:pStyle w:val="Heading1"/>
      </w:pPr>
      <w:r>
        <w:t>1. Company Context</w:t>
      </w:r>
    </w:p>
    <w:p>
      <w:r>
        <w:t>Apex Global Consulting Partners is a mid-sized professional services firm operating across sales, pre-sales, delivery, customer support, operations, and compliance teams. Leadership wants to identify practical AI pilots that can improve proposal throughput, reduce manual support triage, and strengthen governance without replacing existing business systems.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Reduce first-draft proposal preparation time from 2-3 days to under 30 minutes for standard bid responses.</w:t>
      </w:r>
    </w:p>
    <w:p>
      <w:pPr>
        <w:pStyle w:val="ListBullet"/>
      </w:pPr>
      <w:r>
        <w:t>Improve reuse of approved proposal language, solution sections, compliance statements, and case-study snippets.</w:t>
      </w:r>
    </w:p>
    <w:p>
      <w:pPr>
        <w:pStyle w:val="ListBullet"/>
      </w:pPr>
      <w:r>
        <w:t>Reduce manual support ticket classification delays and improve routing accuracy with human review.</w:t>
      </w:r>
    </w:p>
    <w:p>
      <w:pPr>
        <w:pStyle w:val="ListBullet"/>
      </w:pPr>
      <w:r>
        <w:t>Create an auditable AI adoption roadmap that aligns with GDPR and SOC2 Type II obligations.</w:t>
      </w:r>
    </w:p>
    <w:p>
      <w:pPr>
        <w:pStyle w:val="ListBullet"/>
      </w:pPr>
      <w:r>
        <w:t>Avoid high-risk autonomous workflows until evidence grounding, access control, and approval gates are mature.</w:t>
      </w:r>
    </w:p>
    <w:p>
      <w:pPr>
        <w:pStyle w:val="Heading1"/>
      </w:pPr>
      <w:r>
        <w:t>3. Departments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Current Challenge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AI Opportunity Signal</w:t>
            </w:r>
          </w:p>
        </w:tc>
      </w:tr>
      <w:tr>
        <w:tc>
          <w:tcPr>
            <w:tcW w:type="dxa" w:w="3408"/>
            <w:vAlign w:val="top"/>
          </w:tcPr>
          <w:p>
            <w:r>
              <w:t>Sales &amp; Pre-sales</w:t>
            </w:r>
          </w:p>
        </w:tc>
        <w:tc>
          <w:tcPr>
            <w:tcW w:type="dxa" w:w="3408"/>
            <w:vAlign w:val="top"/>
          </w:tcPr>
          <w:p>
            <w:r>
              <w:t>Teams manually copy prior proposal sections from SharePoint, email, and old bid folders.</w:t>
            </w:r>
          </w:p>
        </w:tc>
        <w:tc>
          <w:tcPr>
            <w:tcW w:type="dxa" w:w="3408"/>
            <w:vAlign w:val="top"/>
          </w:tcPr>
          <w:p>
            <w:r>
              <w:t>High-value proposal copilot with approved content reuse.</w:t>
            </w:r>
          </w:p>
        </w:tc>
      </w:tr>
      <w:tr>
        <w:tc>
          <w:tcPr>
            <w:tcW w:type="dxa" w:w="3408"/>
            <w:vAlign w:val="top"/>
          </w:tcPr>
          <w:p>
            <w:r>
              <w:t>Customer Support</w:t>
            </w:r>
          </w:p>
        </w:tc>
        <w:tc>
          <w:tcPr>
            <w:tcW w:type="dxa" w:w="3408"/>
            <w:vAlign w:val="top"/>
          </w:tcPr>
          <w:p>
            <w:r>
              <w:t>Tickets are manually tagged and routed in Jira Service Desk; first response is delayed.</w:t>
            </w:r>
          </w:p>
        </w:tc>
        <w:tc>
          <w:tcPr>
            <w:tcW w:type="dxa" w:w="3408"/>
            <w:vAlign w:val="top"/>
          </w:tcPr>
          <w:p>
            <w:r>
              <w:t>Support triage router with confidence scoring and human approval.</w:t>
            </w:r>
          </w:p>
        </w:tc>
      </w:tr>
      <w:tr>
        <w:tc>
          <w:tcPr>
            <w:tcW w:type="dxa" w:w="3408"/>
            <w:vAlign w:val="top"/>
          </w:tcPr>
          <w:p>
            <w:r>
              <w:t>Operations</w:t>
            </w:r>
          </w:p>
        </w:tc>
        <w:tc>
          <w:tcPr>
            <w:tcW w:type="dxa" w:w="3408"/>
            <w:vAlign w:val="top"/>
          </w:tcPr>
          <w:p>
            <w:r>
              <w:t>Billing reconciliation uses Excel exports from delivery logs and manual mapping to invoice templates.</w:t>
            </w:r>
          </w:p>
        </w:tc>
        <w:tc>
          <w:tcPr>
            <w:tcW w:type="dxa" w:w="3408"/>
            <w:vAlign w:val="top"/>
          </w:tcPr>
          <w:p>
            <w:r>
              <w:t>Document and spreadsheet extraction assistant.</w:t>
            </w:r>
          </w:p>
        </w:tc>
      </w:tr>
      <w:tr>
        <w:tc>
          <w:tcPr>
            <w:tcW w:type="dxa" w:w="3408"/>
            <w:vAlign w:val="top"/>
          </w:tcPr>
          <w:p>
            <w:r>
              <w:t>Compliance &amp; Governance</w:t>
            </w:r>
          </w:p>
        </w:tc>
        <w:tc>
          <w:tcPr>
            <w:tcW w:type="dxa" w:w="3408"/>
            <w:vAlign w:val="top"/>
          </w:tcPr>
          <w:p>
            <w:r>
              <w:t>Contract terms are checked manually against GDPR/SOC2 control checklists.</w:t>
            </w:r>
          </w:p>
        </w:tc>
        <w:tc>
          <w:tcPr>
            <w:tcW w:type="dxa" w:w="3408"/>
            <w:vAlign w:val="top"/>
          </w:tcPr>
          <w:p>
            <w:r>
              <w:t>Contract audit assistant and governance register.</w:t>
            </w:r>
          </w:p>
        </w:tc>
      </w:tr>
    </w:tbl>
    <w:p/>
    <w:p>
      <w:pPr>
        <w:pStyle w:val="Heading1"/>
      </w:pPr>
      <w:r>
        <w:t>4. Current Tooling</w:t>
      </w:r>
    </w:p>
    <w:p>
      <w:r>
        <w:t>Current tools include Salesforce, Microsoft Excel, Jira Service Desk, SharePoint, Slack, and manually maintained proposal folders. Data exists, but it is fragmented across departments and lacks a unified retrieval layer.</w:t>
      </w:r>
    </w:p>
    <w:p>
      <w:pPr>
        <w:pStyle w:val="Heading1"/>
      </w:pPr>
      <w:r>
        <w:t>5. Target First Pilot</w:t>
      </w:r>
    </w:p>
    <w:p>
      <w:r>
        <w:t>Recommended first pilot: Intelligent Pre-Sales Proposal Copilot. The pilot should ingest prior proposal templates, approved solution language, compliance statements, and case studies. Outputs must remain draft-only until consultant review and approval.</w:t>
      </w:r>
    </w:p>
    <w:p>
      <w:pPr>
        <w:pStyle w:val="Heading1"/>
      </w:pPr>
      <w:r>
        <w:t>6.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Target Direction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First draft proposal preparation</w:t>
            </w:r>
          </w:p>
        </w:tc>
        <w:tc>
          <w:tcPr>
            <w:tcW w:type="dxa" w:w="3408"/>
            <w:vAlign w:val="top"/>
          </w:tcPr>
          <w:p>
            <w:r>
              <w:t>2-3 days</w:t>
            </w:r>
          </w:p>
        </w:tc>
        <w:tc>
          <w:tcPr>
            <w:tcW w:type="dxa" w:w="3408"/>
            <w:vAlign w:val="top"/>
          </w:tcPr>
          <w:p>
            <w:r>
              <w:t>Under 30 minutes for standard first drafts</w:t>
            </w:r>
          </w:p>
        </w:tc>
      </w:tr>
      <w:tr>
        <w:tc>
          <w:tcPr>
            <w:tcW w:type="dxa" w:w="3408"/>
            <w:vAlign w:val="top"/>
          </w:tcPr>
          <w:p>
            <w:r>
              <w:t>Approved content reuse</w:t>
            </w:r>
          </w:p>
        </w:tc>
        <w:tc>
          <w:tcPr>
            <w:tcW w:type="dxa" w:w="3408"/>
            <w:vAlign w:val="top"/>
          </w:tcPr>
          <w:p>
            <w:r>
              <w:t>Manual copy-paste</w:t>
            </w:r>
          </w:p>
        </w:tc>
        <w:tc>
          <w:tcPr>
            <w:tcW w:type="dxa" w:w="3408"/>
            <w:vAlign w:val="top"/>
          </w:tcPr>
          <w:p>
            <w:r>
              <w:t>Centralized retrieval with source traceability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Senior review effort</w:t>
            </w:r>
          </w:p>
        </w:tc>
        <w:tc>
          <w:tcPr>
            <w:tcW w:type="dxa" w:w="3408"/>
            <w:vAlign w:val="top"/>
          </w:tcPr>
          <w:p>
            <w:r>
              <w:t>High</w:t>
            </w:r>
          </w:p>
        </w:tc>
        <w:tc>
          <w:tcPr>
            <w:tcW w:type="dxa" w:w="3408"/>
            <w:vAlign w:val="top"/>
          </w:tcPr>
          <w:p>
            <w:r>
              <w:t>Reduced through consistent draft structure</w:t>
            </w:r>
          </w:p>
        </w:tc>
      </w:tr>
      <w:tr>
        <w:tc>
          <w:tcPr>
            <w:tcW w:type="dxa" w:w="3408"/>
            <w:vAlign w:val="top"/>
          </w:tcPr>
          <w:p>
            <w:r>
              <w:t>Governance confidence</w:t>
            </w:r>
          </w:p>
        </w:tc>
        <w:tc>
          <w:tcPr>
            <w:tcW w:type="dxa" w:w="3408"/>
            <w:vAlign w:val="top"/>
          </w:tcPr>
          <w:p>
            <w:r>
              <w:t>Informal review</w:t>
            </w:r>
          </w:p>
        </w:tc>
        <w:tc>
          <w:tcPr>
            <w:tcW w:type="dxa" w:w="3408"/>
            <w:vAlign w:val="top"/>
          </w:tcPr>
          <w:p>
            <w:r>
              <w:t>Audit trail with source-backed outputs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