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4"/>
        </w:rPr>
        <w:t>AI Transformation Pilot Proposal</w:t>
      </w:r>
    </w:p>
    <w:p>
      <w:r>
        <w:rPr>
          <w:i/>
          <w:color w:val="64748B"/>
          <w:sz w:val="22"/>
        </w:rPr>
        <w:t>“From business documents to AI opportunity roadmap in minutes.”</w:t>
      </w:r>
    </w:p>
    <w:p>
      <w:r>
        <w:t>Prepared For: Apex Global Consulting Partners</w:t>
        <w:br/>
        <w:t>Date: May 29, 2026</w:t>
        <w:br/>
        <w:t>Review Status: Approved</w:t>
        <w:br/>
        <w:t>Studio Node Run: LangGraph Active</w:t>
      </w:r>
    </w:p>
    <w:p>
      <w:r>
        <w:br w:type="page"/>
      </w:r>
    </w:p>
    <w:p>
      <w:pPr>
        <w:pStyle w:val="Heading1"/>
      </w:pPr>
      <w:r>
        <w:rPr>
          <w:color w:val="3B82F6"/>
        </w:rPr>
        <w:t>1. Executive Summary</w:t>
      </w:r>
    </w:p>
    <w:p>
      <w:r>
        <w:t>Apex Global Consulting Partners shows strong potential for a controlled AI pilot focused on pre-sales proposal acceleration, support triage, and governance-backed knowledge reuse. The recommended first pilot is an Intelligent Pre-Sales Proposal Copilot because it targets a high-value, document-heavy workflow with clear human review checkpoints</w:t>
      </w:r>
    </w:p>
    <w:p>
      <w:pPr>
        <w:ind w:left="576"/>
      </w:pPr>
      <w:r>
        <w:rPr>
          <w:b/>
        </w:rPr>
        <w:t xml:space="preserve">Recommended First Pilot Opportunity: </w:t>
      </w:r>
      <w:r>
        <w:t>Intelligent Pre-Sales Proposal Copilot</w:t>
        <w:br/>
      </w:r>
      <w:r>
        <w:rPr>
          <w:b/>
        </w:rPr>
        <w:t xml:space="preserve">Why recommended: </w:t>
      </w:r>
      <w:r>
        <w:t>The client has reusable proposal assets, repeated pre-sales drafting patterns, and clear opportunities to improve response speed while preserving review control and compliance traceability</w:t>
        <w:br/>
      </w:r>
      <w:r>
        <w:rPr>
          <w:b/>
        </w:rPr>
        <w:t xml:space="preserve">Expected Impact: </w:t>
      </w:r>
      <w:r>
        <w:t>Directional improvement in first-draft proposal preparation time, improved approved-content reuse, and stronger consistency across client-facing proposal outputs</w:t>
      </w:r>
    </w:p>
    <w:p>
      <w:pPr>
        <w:pStyle w:val="Heading1"/>
      </w:pPr>
      <w:r>
        <w:rPr>
          <w:color w:val="3B82F6"/>
        </w:rPr>
        <w:t>2. Prioritized Use Case Catalog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 Case Scope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Intelligent Pre-Sales Proposal Copilot: Intelligent solution drafting companion that pulls from verified proposal assets and past winning bid documents to build compliance-mapped proposal outlines</w:t>
            </w:r>
          </w:p>
        </w:tc>
        <w:tc>
          <w:tcPr>
            <w:tcW w:type="dxa" w:w="2160"/>
          </w:tcPr>
          <w:p>
            <w:r>
              <w:t>Sales &amp; Pre-sales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Support Intake and Draft Response Assistant: Classify inbound requests, suggest grounded replies, and route cases to the right queue using internal knowledge</w:t>
            </w:r>
          </w:p>
        </w:tc>
        <w:tc>
          <w:tcPr>
            <w:tcW w:type="dxa" w:w="2160"/>
          </w:tcPr>
          <w:p>
            <w:r>
              <w:t>Customer Support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Operations Workflow Intelligence Assistant: Guide teams through Manual Process Overload Workflow with structured AI assistance, summarized evidence, and reusable task handoffs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B82F6"/>
        </w:rPr>
        <w:t>3. Evidence Basis (Document-Grounded Evidence)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 File</w:t>
            </w:r>
          </w:p>
        </w:tc>
        <w:tc>
          <w:tcPr>
            <w:tcW w:type="dxa" w:w="2160"/>
          </w:tcPr>
          <w:p>
            <w:r>
              <w:t>Signal Type</w:t>
            </w:r>
          </w:p>
        </w:tc>
        <w:tc>
          <w:tcPr>
            <w:tcW w:type="dxa" w:w="2160"/>
          </w:tcPr>
          <w:p>
            <w:r>
              <w:t>Evidence Finding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Apex_Client_Brief.docx</w:t>
            </w:r>
          </w:p>
        </w:tc>
        <w:tc>
          <w:tcPr>
            <w:tcW w:type="dxa" w:w="2160"/>
          </w:tcPr>
          <w:p>
            <w:r>
              <w:t>Document Upload</w:t>
            </w:r>
          </w:p>
        </w:tc>
        <w:tc>
          <w:tcPr>
            <w:tcW w:type="dxa" w:w="2160"/>
          </w:tcPr>
          <w:p>
            <w:r>
              <w:t>Identified client goals around proposal acceleration, support triage, billing workflow improvement, and governance readiness.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Apex_AI_Governance_Checklist.docx</w:t>
            </w:r>
          </w:p>
        </w:tc>
        <w:tc>
          <w:tcPr>
            <w:tcW w:type="dxa" w:w="2160"/>
          </w:tcPr>
          <w:p>
            <w:r>
              <w:t>Document Upload</w:t>
            </w:r>
          </w:p>
        </w:tc>
        <w:tc>
          <w:tcPr>
            <w:tcW w:type="dxa" w:w="2160"/>
          </w:tcPr>
          <w:p>
            <w:r>
              <w:t>Identified governance controls around human review, audit logs, access control, and compliance validation.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Apex_Sales_Playbook.pdf</w:t>
            </w:r>
          </w:p>
        </w:tc>
        <w:tc>
          <w:tcPr>
            <w:tcW w:type="dxa" w:w="2160"/>
          </w:tcPr>
          <w:p>
            <w:r>
              <w:t>Document Upload</w:t>
            </w:r>
          </w:p>
        </w:tc>
        <w:tc>
          <w:tcPr>
            <w:tcW w:type="dxa" w:w="2160"/>
          </w:tcPr>
          <w:p>
            <w:r>
              <w:t>Identified reusable proposal assets, pre-sales workflow dependencies, and approved content reuse opportunities.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Apex_Support_Triage_Logs.txt</w:t>
            </w:r>
          </w:p>
        </w:tc>
        <w:tc>
          <w:tcPr>
            <w:tcW w:type="dxa" w:w="2160"/>
          </w:tcPr>
          <w:p>
            <w:r>
              <w:t>Document Upload</w:t>
            </w:r>
          </w:p>
        </w:tc>
        <w:tc>
          <w:tcPr>
            <w:tcW w:type="dxa" w:w="2160"/>
          </w:tcPr>
          <w:p>
            <w:r>
              <w:t>Identified repeated support classification, routing, and response drafting patterns.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Apex_Operations_Billing_Workflow.txt</w:t>
            </w:r>
          </w:p>
        </w:tc>
        <w:tc>
          <w:tcPr>
            <w:tcW w:type="dxa" w:w="2160"/>
          </w:tcPr>
          <w:p>
            <w:r>
              <w:t>Document Upload</w:t>
            </w:r>
          </w:p>
        </w:tc>
        <w:tc>
          <w:tcPr>
            <w:tcW w:type="dxa" w:w="2160"/>
          </w:tcPr>
          <w:p>
            <w:r>
              <w:t>Identified manual billing reconciliation steps involving spreadsheets and recurring operational handoffs.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LangGraphOrchestrator</w:t>
            </w:r>
          </w:p>
        </w:tc>
        <w:tc>
          <w:tcPr>
            <w:tcW w:type="dxa" w:w="2160"/>
          </w:tcPr>
          <w:p>
            <w:r>
              <w:t>Execution Complete</w:t>
            </w:r>
          </w:p>
        </w:tc>
        <w:tc>
          <w:tcPr>
            <w:tcW w:type="dxa" w:w="2160"/>
          </w:tcPr>
          <w:p>
            <w:r>
              <w:t>Confirmed successful completion of the stateful multi-agent assessment pipeline.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1"/>
      </w:pPr>
      <w:r>
        <w:rPr>
          <w:color w:val="3B82F6"/>
        </w:rPr>
        <w:t>4. Commercial Strategy &amp; Architecture Blueprint</w:t>
      </w:r>
    </w:p>
    <w:p>
      <w:r>
        <w:rPr>
          <w:b/>
        </w:rPr>
        <w:t xml:space="preserve">Recommended Engagement Model: </w:t>
      </w:r>
    </w:p>
    <w:p>
      <w:r>
        <w:t>Pilot MVP Build</w:t>
      </w:r>
    </w:p>
    <w:p>
      <w:r>
        <w:rPr>
          <w:b/>
        </w:rPr>
        <w:t xml:space="preserve">Indicative Investment: </w:t>
      </w:r>
    </w:p>
    <w:p>
      <w:r>
        <w:t>INR 10.2L – INR 26.5L</w:t>
      </w:r>
    </w:p>
    <w:p>
      <w:pPr>
        <w:ind w:left="576"/>
      </w:pPr>
      <w:r>
        <w:rPr>
          <w:i/>
        </w:rPr>
        <w:t>Disclaimer: Pricing is indicative, assumption-based, and subject to discovery validation.</w:t>
      </w:r>
    </w:p>
    <w:p>
      <w:r>
        <w:rPr>
          <w:b/>
        </w:rPr>
        <w:t xml:space="preserve">Model Rationale: </w:t>
      </w:r>
    </w:p>
    <w:p>
      <w:r>
        <w:t>The client has clear Sales &amp; Pre-sales bottlenecks, highly structured reusable proposal playbooks, and a high-value / low-complexity P1 first pilot opportunity.</w:t>
      </w:r>
    </w:p>
    <w:p>
      <w:pPr>
        <w:pStyle w:val="Heading2"/>
      </w:pPr>
      <w:r>
        <w:t>Scoping &amp; Justification Factors</w:t>
      </w:r>
    </w:p>
    <w:p>
      <w:pPr>
        <w:pStyle w:val="ListBullet"/>
      </w:pPr>
      <w:r>
        <w:rPr>
          <w:b/>
        </w:rPr>
        <w:t xml:space="preserve">Sales &amp; Pre-sales: </w:t>
      </w:r>
      <w:r>
        <w:t>Intelligent Pre-Sales Proposal Copilot requires RAG semantic parsing over proprietary playbooks.</w:t>
      </w:r>
    </w:p>
    <w:p>
      <w:pPr>
        <w:pStyle w:val="ListBullet"/>
      </w:pPr>
      <w:r>
        <w:rPr>
          <w:b/>
        </w:rPr>
        <w:t xml:space="preserve">Customer Support: </w:t>
      </w:r>
      <w:r>
        <w:t>Autonomous Support Triage Router demands layout classification and log parsing.</w:t>
      </w:r>
    </w:p>
    <w:p>
      <w:pPr>
        <w:pStyle w:val="ListBullet"/>
      </w:pPr>
      <w:r>
        <w:rPr>
          <w:b/>
        </w:rPr>
        <w:t xml:space="preserve">Integrations in Scope: </w:t>
      </w:r>
      <w:r>
        <w:t>API integrations mapping Salesforce pipeline context, SharePoint files, and Jira webhooks.</w:t>
      </w:r>
    </w:p>
    <w:p>
      <w:pPr>
        <w:pStyle w:val="ListBullet"/>
      </w:pPr>
      <w:r>
        <w:rPr>
          <w:b/>
        </w:rPr>
        <w:t xml:space="preserve">Compliance Checkpoints: </w:t>
      </w:r>
      <w:r>
        <w:t>GDPR policy checks and SOC2 Type II metadata auditing require secure tenant scoping.</w:t>
      </w:r>
    </w:p>
    <w:p>
      <w:pPr>
        <w:pStyle w:val="ListBullet"/>
      </w:pPr>
      <w:r>
        <w:rPr>
          <w:b/>
        </w:rPr>
        <w:t xml:space="preserve">Strategic Asset Generator: </w:t>
      </w:r>
      <w:r>
        <w:t>Custom-branded PDF Readiness Reports and Executive Board PPTX export integrations.</w:t>
      </w:r>
    </w:p>
    <w:p>
      <w:pPr>
        <w:pStyle w:val="ListBullet"/>
      </w:pPr>
      <w:r>
        <w:rPr>
          <w:b/>
        </w:rPr>
        <w:t xml:space="preserve">Human Review Workflow: </w:t>
      </w:r>
      <w:r>
        <w:t>Draft-to-Approved validation screens to prevent operational model hallucinations.</w:t>
      </w:r>
    </w:p>
    <w:p>
      <w:pPr>
        <w:pStyle w:val="Heading2"/>
      </w:pPr>
      <w:r>
        <w:t>Recommended Delivery Team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Allocation</w:t>
            </w:r>
          </w:p>
        </w:tc>
      </w:tr>
      <w:tr>
        <w:tc>
          <w:tcPr>
            <w:tcW w:type="dxa" w:w="2880"/>
          </w:tcPr>
          <w:p>
            <w:r>
              <w:t>AI Product Lead</w:t>
            </w:r>
          </w:p>
        </w:tc>
        <w:tc>
          <w:tcPr>
            <w:tcW w:type="dxa" w:w="2880"/>
          </w:tcPr>
          <w:p>
            <w:r>
              <w:t>Owns MVP feature prioritization, aligns delivery checkpoints, and shapes pilot scopes.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LLM / RAG Engineer</w:t>
            </w:r>
          </w:p>
        </w:tc>
        <w:tc>
          <w:tcPr>
            <w:tcW w:type="dxa" w:w="2880"/>
          </w:tcPr>
          <w:p>
            <w:r>
              <w:t>Configures parsing scripts, creates embedding vectors, and constructs orchestration nodes.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Full-Stack Engineer</w:t>
            </w:r>
          </w:p>
        </w:tc>
        <w:tc>
          <w:tcPr>
            <w:tcW w:type="dxa" w:w="2880"/>
          </w:tcPr>
          <w:p>
            <w:r>
              <w:t>Develops responsive client-facing review dashboard screens and mounts API routes.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QA / Evaluation Specialist</w:t>
            </w:r>
          </w:p>
        </w:tc>
        <w:tc>
          <w:tcPr>
            <w:tcW w:type="dxa" w:w="2880"/>
          </w:tcPr>
          <w:p>
            <w:r>
              <w:t>Measures model hallucination rates, writes evaluation checks, and audits datasets.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Security &amp; Trust Auditor</w:t>
            </w:r>
          </w:p>
        </w:tc>
        <w:tc>
          <w:tcPr>
            <w:tcW w:type="dxa" w:w="2880"/>
          </w:tcPr>
          <w:p>
            <w:r>
              <w:t>Reviews sanitization gates, GDPR/PII scrubbers, and SOC2 access compliance.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</w:tbl>
    <w:p>
      <w:pPr>
        <w:pStyle w:val="Heading2"/>
      </w:pPr>
      <w:r>
        <w:t>Target Architecture Layers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Components &amp; Controls</w:t>
            </w:r>
          </w:p>
        </w:tc>
      </w:tr>
      <w:tr>
        <w:tc>
          <w:tcPr>
            <w:tcW w:type="dxa" w:w="4320"/>
          </w:tcPr>
          <w:p>
            <w:r>
              <w:t>Client Documents &amp; Systems</w:t>
            </w:r>
          </w:p>
        </w:tc>
        <w:tc>
          <w:tcPr>
            <w:tcW w:type="dxa" w:w="4320"/>
          </w:tcPr>
          <w:p>
            <w:r>
              <w:t>Establish data access over existing corporate files and business databases. (Proprietary playbooks, templates, ticket histories, and Salesforce, Microsoft Excel.)</w:t>
            </w:r>
          </w:p>
        </w:tc>
      </w:tr>
      <w:tr>
        <w:tc>
          <w:tcPr>
            <w:tcW w:type="dxa" w:w="4320"/>
          </w:tcPr>
          <w:p>
            <w:r>
              <w:t>Ingestion &amp; Parsing Layer</w:t>
            </w:r>
          </w:p>
        </w:tc>
        <w:tc>
          <w:tcPr>
            <w:tcW w:type="dxa" w:w="4320"/>
          </w:tcPr>
          <w:p>
            <w:r>
              <w:t>Clean, chunk, and extract structural metadata from unstructured files. (OCR document parsers, layout-aware splitters, semantic chunking.)</w:t>
            </w:r>
          </w:p>
        </w:tc>
      </w:tr>
      <w:tr>
        <w:tc>
          <w:tcPr>
            <w:tcW w:type="dxa" w:w="4320"/>
          </w:tcPr>
          <w:p>
            <w:r>
              <w:t>Knowledge Base / Vector Store</w:t>
            </w:r>
          </w:p>
        </w:tc>
        <w:tc>
          <w:tcPr>
            <w:tcW w:type="dxa" w:w="4320"/>
          </w:tcPr>
          <w:p>
            <w:r>
              <w:t>Index documents to support low-latency semantic keyword and context retrieval. (ChromaDB, Pinecone, or PostgreSQL pgvector store.)</w:t>
            </w:r>
          </w:p>
        </w:tc>
      </w:tr>
      <w:tr>
        <w:tc>
          <w:tcPr>
            <w:tcW w:type="dxa" w:w="4320"/>
          </w:tcPr>
          <w:p>
            <w:r>
              <w:t>LLM Orchestration Layer</w:t>
            </w:r>
          </w:p>
        </w:tc>
        <w:tc>
          <w:tcPr>
            <w:tcW w:type="dxa" w:w="4320"/>
          </w:tcPr>
          <w:p>
            <w:r>
              <w:t>Run stateful multi-agent pipelines to generate grounded solution plans and opportunity maps. (LangGraph workflows, state managers, system prompt routers.)</w:t>
            </w:r>
          </w:p>
        </w:tc>
      </w:tr>
      <w:tr>
        <w:tc>
          <w:tcPr>
            <w:tcW w:type="dxa" w:w="4320"/>
          </w:tcPr>
          <w:p>
            <w:r>
              <w:t>Guardrails &amp; Human Review</w:t>
            </w:r>
          </w:p>
        </w:tc>
        <w:tc>
          <w:tcPr>
            <w:tcW w:type="dxa" w:w="4320"/>
          </w:tcPr>
          <w:p>
            <w:r>
              <w:t>Protect organizational credibility by filtering hallucinations and enabling overrides. (Regex sanitizers, custom classifications, and approval validation review.)</w:t>
            </w:r>
          </w:p>
        </w:tc>
      </w:tr>
      <w:tr>
        <w:tc>
          <w:tcPr>
            <w:tcW w:type="dxa" w:w="4320"/>
          </w:tcPr>
          <w:p>
            <w:r>
              <w:t>Business Copilot Interface</w:t>
            </w:r>
          </w:p>
        </w:tc>
        <w:tc>
          <w:tcPr>
            <w:tcW w:type="dxa" w:w="4320"/>
          </w:tcPr>
          <w:p>
            <w:r>
              <w:t>Expose secure advisory dashboards, opportunity maps, and roadmap timeline controls. (Next.js 15 UI, strategy asset generator download modules.)</w:t>
            </w:r>
          </w:p>
        </w:tc>
      </w:tr>
      <w:tr>
        <w:tc>
          <w:tcPr>
            <w:tcW w:type="dxa" w:w="4320"/>
          </w:tcPr>
          <w:p>
            <w:r>
              <w:t>Monitoring &amp; Governance</w:t>
            </w:r>
          </w:p>
        </w:tc>
        <w:tc>
          <w:tcPr>
            <w:tcW w:type="dxa" w:w="4320"/>
          </w:tcPr>
          <w:p>
            <w:r>
              <w:t>Track model accuracy, performance delays, token expenditures, and user feedback. (Arize Phoenix, LangSmith dashboard integrations, or custom verification logs.)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B82F6"/>
        </w:rPr>
        <w:t>5. 90-Day Implementation Roadmap</w:t>
      </w:r>
    </w:p>
    <w:p>
      <w:r>
        <w:rPr>
          <w:b/>
        </w:rPr>
        <w:t xml:space="preserve">[30-Day] </w:t>
      </w:r>
      <w:r>
        <w:t>Finalize pilot scope, success metrics, required proposal assets, and MVP architecture for the Intelligent Pre-Sales Proposal Copilot.</w:t>
        <w:br/>
      </w:r>
      <w:r>
        <w:rPr>
          <w:i/>
        </w:rPr>
        <w:t xml:space="preserve">Expected Impact: </w:t>
      </w:r>
      <w:r>
        <w:t>Creates a validated pilot foundation with measurable success criteria and cleaner evidence inputs. (Confidence: 90.0%)</w:t>
      </w:r>
    </w:p>
    <w:p>
      <w:r>
        <w:rPr>
          <w:b/>
        </w:rPr>
        <w:t xml:space="preserve">[60-Day] </w:t>
      </w:r>
      <w:r>
        <w:t>Run a controlled MVP with human review enabled across Sales &amp; Pre-sales and Customer Support workflows.</w:t>
        <w:br/>
      </w:r>
      <w:r>
        <w:rPr>
          <w:i/>
        </w:rPr>
        <w:t xml:space="preserve">Expected Impact: </w:t>
      </w:r>
      <w:r>
        <w:t>Reduces repetitive turnaround time while preserving trust, review checkpoints, and source traceability. (Confidence: 85.0%)</w:t>
      </w:r>
    </w:p>
    <w:p>
      <w:r>
        <w:rPr>
          <w:b/>
        </w:rPr>
        <w:t xml:space="preserve">[90-Day] </w:t>
      </w:r>
      <w:r>
        <w:t>Expand governance, adoption training, and executive reporting so the pilot can become a repeatable consulting offer.</w:t>
        <w:br/>
      </w:r>
      <w:r>
        <w:rPr>
          <w:i/>
        </w:rPr>
        <w:t xml:space="preserve">Expected Impact: </w:t>
      </w:r>
      <w:r>
        <w:t>Turns the pilot into a reusable operating model with stronger controls and internal buy-in. (Confidence: 95.0%)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