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3864"/>
          <w:sz w:val="40"/>
          <w:szCs w:val="40"/>
        </w:rPr>
        <w:t xml:space="preserve">KanzPay Data Architecture Document</w:t>
      </w:r>
    </w:p>
    <w:p>
      <w:pPr>
        <w:spacing w:after="80" w:before="0"/>
        <w:jc w:val="center"/>
      </w:pPr>
      <w:r>
        <w:rPr>
          <w:rFonts w:ascii="Arial" w:cs="Arial" w:eastAsia="Arial" w:hAnsi="Arial"/>
          <w:b w:val="false"/>
          <w:bCs w:val="false"/>
          <w:color w:val="2E75B6"/>
          <w:sz w:val="32"/>
          <w:szCs w:val="32"/>
        </w:rPr>
        <w:t xml:space="preserve">Codebase Alignment Report</w:t>
      </w:r>
    </w:p>
    <w:p>
      <w:pPr>
        <w:pBdr>
          <w:bottom w:val="single" w:color="1F3864" w:sz="6" w:space="8"/>
        </w:pBdr>
        <w:spacing w:after="320" w:before="0"/>
        <w:jc w:val="center"/>
      </w:pPr>
      <w:r>
        <w:rPr>
          <w:rFonts w:ascii="Arial" w:cs="Arial" w:eastAsia="Arial" w:hAnsi="Arial"/>
          <w:color w:val="888888"/>
          <w:sz w:val="18"/>
          <w:szCs w:val="18"/>
        </w:rPr>
        <w:t xml:space="preserve">Reviewed: 30 June 2026  |  Scope: v2 document vs. feat/offer-validity-audit-remediation branch</w:t>
      </w:r>
    </w:p>
    <w:p>
      <w:pPr>
        <w:pStyle w:val="Heading2"/>
        <w:spacing w:after="120" w:before="300"/>
      </w:pPr>
      <w:r>
        <w:rPr>
          <w:rFonts w:ascii="Arial" w:cs="Arial" w:eastAsia="Arial" w:hAnsi="Arial"/>
          <w:b/>
          <w:bCs/>
          <w:color w:val="2E75B6"/>
          <w:sz w:val="24"/>
          <w:szCs w:val="24"/>
        </w:rPr>
        <w:t xml:space="preserve">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18"/>
                <w:szCs w:val="18"/>
              </w:rPr>
              <w:t xml:space="preserve">✅  ALIGNED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 claim confirmed in the codebase</w:t>
            </w:r>
          </w:p>
        </w:tc>
      </w:tr>
      <w:tr>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18"/>
                <w:szCs w:val="18"/>
              </w:rPr>
              <w:t xml:space="preserve">⚠️  PARTIALLY ALIGNED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 is roughly correct but contains differences or omissions</w:t>
            </w:r>
          </w:p>
        </w:tc>
      </w:tr>
      <w:tr>
        <w:tc>
          <w:tcPr>
            <w:tcW w:type="dxa" w:w="2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sz w:val="18"/>
                <w:szCs w:val="18"/>
              </w:rPr>
              <w:t xml:space="preserve">❌  NOT IN CODEBASE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 describes something that does not exist yet</w:t>
            </w:r>
          </w:p>
        </w:tc>
      </w:tr>
      <w:tr>
        <w:tc>
          <w:tcPr>
            <w:tcW w:type="dxa" w:w="28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sz w:val="18"/>
                <w:szCs w:val="18"/>
              </w:rPr>
              <w:t xml:space="preserve">🔵  IN CODE, NOT IN DOC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Significant code feature/table/service the document omits</w:t>
            </w:r>
          </w:p>
        </w:tc>
      </w:tr>
      <w:tr>
        <w:tc>
          <w:tcPr>
            <w:tcW w:type="dxa" w:w="280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bCs/>
                <w:sz w:val="18"/>
                <w:szCs w:val="18"/>
              </w:rPr>
              <w:t xml:space="preserve">🔴  FACTUAL 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 states something demonstrably incorrect based on the code</w:t>
            </w:r>
          </w:p>
        </w:tc>
      </w:tr>
    </w:tbl>
    <w:p>
      <w:pPr>
        <w:spacing w:after="120" w:before="120"/>
      </w:pPr>
      <w:r>
        <w:t xml:space="preserve"/>
      </w:r>
    </w:p>
    <w:p>
      <w:pPr>
        <w:pStyle w:val="Heading1"/>
        <w:spacing w:after="120" w:before="300"/>
      </w:pPr>
      <w:r>
        <w:rPr>
          <w:rFonts w:ascii="Arial" w:cs="Arial" w:eastAsia="Arial" w:hAnsi="Arial"/>
          <w:b/>
          <w:bCs/>
          <w:color w:val="1F3864"/>
          <w:sz w:val="28"/>
          <w:szCs w:val="28"/>
        </w:rPr>
        <w:t xml:space="preserve">1. Aligned — Document Claims Confirmed in Code</w:t>
      </w:r>
    </w:p>
    <w:p>
      <w:pPr>
        <w:spacing w:after="80" w:before="80"/>
      </w:pPr>
      <w:r>
        <w:rPr>
          <w:rFonts w:ascii="Arial" w:cs="Arial" w:eastAsia="Arial" w:hAnsi="Arial"/>
          <w:sz w:val="20"/>
          <w:szCs w:val="20"/>
        </w:rPr>
        <w:t xml:space="preserve">The following document claims were verified against actual migration files, service code, and route definitions.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Claim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Code Evidence</w:t>
            </w:r>
          </w:p>
        </w:tc>
      </w:tr>
      <w:tr>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18"/>
                <w:szCs w:val="18"/>
              </w:rPr>
              <w:t xml:space="preserve">Three-DB Architecture (§1,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Local KanzPay Backend DB (migrations 001–014), Supabase Users DB (production-pool.js / checkout.service.js), and KanzPay App/SafeGold DB (external). Accurately described.</w:t>
            </w:r>
          </w:p>
        </w:tc>
      </w:tr>
      <w:tr>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18"/>
                <w:szCs w:val="18"/>
              </w:rPr>
              <w:t xml:space="preserve">Migration files scope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Migrations 001 (offers/ingestion), 007 (card_products), 008 (users/wallet), 009 (merchants/checkout), 013 (session enhancements), 014 (offer validity enrichment) all exist and match the stated purposes.</w:t>
            </w:r>
          </w:p>
        </w:tc>
      </w:tr>
      <w:tr>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18"/>
                <w:szCs w:val="18"/>
              </w:rPr>
              <w:t xml:space="preserve">Ingestion &amp; offer tables (§4.2)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ingestion_runs, raw_crawl_events, offers, offer_snapshots defined in 001_initial.sql with correct columns: confidence, freshness_status, canonical_key, payment_methods, eligible_mcc_list, stackable.</w:t>
            </w:r>
          </w:p>
        </w:tc>
      </w:tr>
      <w:tr>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18"/>
                <w:szCs w:val="18"/>
              </w:rPr>
              <w:t xml:space="preserve">Source registry &amp; health (§4.3)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003_sources.sql defines sources, source_runs, source_observations, source_failures with health fields: avg_offer_confidence, avg_field_completeness, success_count, failure_count, quarantine_count.</w:t>
            </w:r>
          </w:p>
        </w:tc>
      </w:tr>
      <w:tr>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18"/>
                <w:szCs w:val="18"/>
              </w:rPr>
              <w:t xml:space="preserve">Card catalog (§4.4)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007_card_products.sql defines card_products with bank_name, card_network, product_name, reward_rate_per_aed, gold_mg_per_aed, reward_unit, seeded with 18 UAE bank products.</w:t>
            </w:r>
          </w:p>
        </w:tc>
      </w:tr>
      <w:tr>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18"/>
                <w:szCs w:val="18"/>
              </w:rPr>
              <w:t xml:space="preserve">Local users &amp; wallet tables (§4.5)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008_users_wallet.sql defines users, user_loyalty_accounts, user_coupons, user_memberships, user_cards, user_banks — all matching described wallet instruments.</w:t>
            </w:r>
          </w:p>
        </w:tc>
      </w:tr>
      <w:tr>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18"/>
                <w:szCs w:val="18"/>
              </w:rPr>
              <w:t xml:space="preserve">Merchants &amp; checkout (§4.6)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009_merchants.sql defines merchants, merchant_aliases, checkout_sessions. MCC-based matching via merchant_aliases is present.</w:t>
            </w:r>
          </w:p>
        </w:tc>
      </w:tr>
      <w:tr>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18"/>
                <w:szCs w:val="18"/>
              </w:rPr>
              <w:t xml:space="preserve">payment_requests planned fields (§5.2)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backend/docs/production-migration-for-backend-team.sql adds all 7 claimed fields: gross_amount_aed, net_amount_aed, loyalty_redeemed_aed, coupon_discount_aed, membership_discount_aed, discount_breakdown, checkout_session_id. checkout.service.js:confirmSession() inserts all seven.</w:t>
            </w:r>
          </w:p>
        </w:tc>
      </w:tr>
      <w:tr>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18"/>
                <w:szCs w:val="18"/>
              </w:rPr>
              <w:t xml:space="preserve">Two-layer recommendation engine (§7)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rules-engine.service.js = deterministic layer; ai-recommendation.service.js = AI overlay. AI falls back gracefully on failure and cannot override payable amounts.</w:t>
            </w:r>
          </w:p>
        </w:tc>
      </w:tr>
      <w:tr>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18"/>
                <w:szCs w:val="18"/>
              </w:rPr>
              <w:t xml:space="preserve">Rule evaluation checklist (§7.2)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rules-engine.service.js implements all 7 checks: payment method matching, merchant alias resolution, min_spend gating, date validity, freshness_status rejection, cap enforcement, stacking (loyalty→coupon→membership→card), discount_breakdown JSON.</w:t>
            </w:r>
          </w:p>
        </w:tc>
      </w:tr>
      <w:tr>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18"/>
                <w:szCs w:val="18"/>
              </w:rPr>
              <w:t xml:space="preserve">Checkout flow instruments (§8.1)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checkout.service.js:getSessionRecommendation() calls getInstrumentsForPayment() (reads all wallet instruments), then getPaymentRecommendation(). offer-fetch.service.js retrieves the offer catalog.</w:t>
            </w:r>
          </w:p>
        </w:tc>
      </w:tr>
      <w:tr>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18"/>
                <w:szCs w:val="18"/>
              </w:rPr>
              <w:t xml:space="preserve">API endpoints (§9.1)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routes.js defines: POST /payment/recommend, POST /checkout/sessions, GET /checkout/sessions/:id/recommend, PATCH /checkout/sessions/:id/instruments, POST /checkout/sessions/:id/confirm.</w:t>
            </w:r>
          </w:p>
        </w:tc>
      </w:tr>
      <w:tr>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18"/>
                <w:szCs w:val="18"/>
              </w:rPr>
              <w:t xml:space="preserve">Module 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described modules exist: auth, cards, checkout, payment, wallet, merchants, offers, sources, enrichment, ingestion, quarantine.</w:t>
            </w:r>
          </w:p>
        </w:tc>
      </w:tr>
    </w:tbl>
    <w:p>
      <w:pPr>
        <w:spacing w:after="120" w:before="120"/>
      </w:pPr>
      <w:r>
        <w:t xml:space="preserve"/>
      </w:r>
    </w:p>
    <w:p>
      <w:pPr>
        <w:pStyle w:val="Heading1"/>
        <w:spacing w:after="120" w:before="300"/>
      </w:pPr>
      <w:r>
        <w:rPr>
          <w:rFonts w:ascii="Arial" w:cs="Arial" w:eastAsia="Arial" w:hAnsi="Arial"/>
          <w:b/>
          <w:bCs/>
          <w:color w:val="1F3864"/>
          <w:sz w:val="28"/>
          <w:szCs w:val="28"/>
        </w:rPr>
        <w:t xml:space="preserve">2. Partially Aligned — Correct Direction, Notable Differences</w:t>
      </w:r>
    </w:p>
    <w:p>
      <w:pPr>
        <w:spacing w:after="80" w:before="80"/>
      </w:pPr>
      <w:r>
        <w:rPr>
          <w:rFonts w:ascii="Arial" w:cs="Arial" w:eastAsia="Arial" w:hAnsi="Arial"/>
          <w:sz w:val="20"/>
          <w:szCs w:val="20"/>
        </w:rPr>
        <w:t xml:space="preserve">These claims are directionally accurate but contain inaccuracies or material omissions that could mislead implementation decisions.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Claim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Differs in Code</w:t>
            </w:r>
          </w:p>
        </w:tc>
      </w:tr>
      <w:tr>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18"/>
                <w:szCs w:val="18"/>
              </w:rPr>
              <w:t xml:space="preserve">Score formula (§7.1)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document text ends at "Recommended score formula for initial rollout:" with no actual formula (likely in a table/object not captured). Code uses score = round2(totalDiscount) — pure AED saved. Reward points/gold do not affect the deterministic score; the AI layer breaks ties by reward type (gold &gt; points &gt; cashback), but this is not "formula" scoring.</w:t>
            </w:r>
          </w:p>
        </w:tc>
      </w:tr>
      <w:tr>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18"/>
                <w:szCs w:val="18"/>
              </w:rPr>
              <w:t xml:space="preserve">split_payment_groups shape (§5.2)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 says "planned shape differs from current production shape." The migration file uses CREATE TABLE IF NOT EXISTS (not ALTER), indicating the table was missing from production entirely — not that it exists with a conflicting schema. The concern is valid but the framing is imprecise.</w:t>
            </w:r>
          </w:p>
        </w:tc>
      </w:tr>
      <w:tr>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18"/>
                <w:szCs w:val="18"/>
              </w:rPr>
              <w:t xml:space="preserve">Production card source (§8.1)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 implies cards are read from the local DB. The actual path (when productionUserId is set) is production-methods.repository.js querying Supabase user_payment_methods (columns: id, user_id, type, provider, provider_data, is_default, status). Local user_cards is a dev/fallback only.</w:t>
            </w:r>
          </w:p>
        </w:tc>
      </w:tr>
      <w:tr>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18"/>
                <w:szCs w:val="18"/>
              </w:rPr>
              <w:t xml:space="preserve">Canonical offer fields (§6.1)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Doc's field list omits fields added in migration 014: validity_status, verify_required, llm_enriched_at, llm_confidence, llm_enrichment_json. The rules engine checks offer.validityStatus and offer.verifyRequired in eligibility decisions — these are not optional edge-case fields.</w:t>
            </w:r>
          </w:p>
        </w:tc>
      </w:tr>
    </w:tbl>
    <w:p>
      <w:pPr>
        <w:spacing w:after="120" w:before="120"/>
      </w:pPr>
      <w:r>
        <w:t xml:space="preserve"/>
      </w:r>
    </w:p>
    <w:p>
      <w:pPr>
        <w:pStyle w:val="Heading1"/>
        <w:spacing w:after="120" w:before="300"/>
      </w:pPr>
      <w:r>
        <w:rPr>
          <w:rFonts w:ascii="Arial" w:cs="Arial" w:eastAsia="Arial" w:hAnsi="Arial"/>
          <w:b/>
          <w:bCs/>
          <w:color w:val="1F3864"/>
          <w:sz w:val="28"/>
          <w:szCs w:val="28"/>
        </w:rPr>
        <w:t xml:space="preserve">3. Not in Codebase — Document Describes Unimplemented Features</w:t>
      </w:r>
    </w:p>
    <w:p>
      <w:pPr>
        <w:spacing w:after="80" w:before="80"/>
      </w:pPr>
      <w:r>
        <w:rPr>
          <w:rFonts w:ascii="Arial" w:cs="Arial" w:eastAsia="Arial" w:hAnsi="Arial"/>
          <w:sz w:val="20"/>
          <w:szCs w:val="20"/>
        </w:rPr>
        <w:t xml:space="preserve">The document describes these items as existing or designed, but they are absent from the codebase.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Claim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 in Code</w:t>
            </w:r>
          </w:p>
        </w:tc>
      </w:tr>
      <w:tr>
        <w:tc>
          <w:tcPr>
            <w:tcW w:type="dxa" w:w="2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sz w:val="18"/>
                <w:szCs w:val="18"/>
              </w:rPr>
              <w:t xml:space="preserve">Migration tracking table (§4.1)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dedicated migration-tracking table exists in any of the 14 migration files. This appears to be conceptual grouping in the doc, not an actual DB object.</w:t>
            </w:r>
          </w:p>
        </w:tc>
      </w:tr>
      <w:tr>
        <w:tc>
          <w:tcPr>
            <w:tcW w:type="dxa" w:w="2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sz w:val="18"/>
                <w:szCs w:val="18"/>
              </w:rPr>
              <w:t xml:space="preserve">SafeGold DB integration (§5.3)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SafeGold-specific service files, DB pool, or integration code found. The production Supabase pool connects to the Users DB only. SafeGold integration is unimplemented.</w:t>
            </w:r>
          </w:p>
        </w:tc>
      </w:tr>
      <w:tr>
        <w:tc>
          <w:tcPr>
            <w:tcW w:type="dxa" w:w="2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sz w:val="18"/>
                <w:szCs w:val="18"/>
              </w:rPr>
              <w:t xml:space="preserve">LLM enrichment write 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Migration 014 adds llm_enriched_at / llm_enrichment_json fields, and eligibility-reviewer.service.js reads them — but no service in the examined codebase writes these fields. The enrichment pipeline for validity fields is incomplete.</w:t>
            </w:r>
          </w:p>
        </w:tc>
      </w:tr>
    </w:tbl>
    <w:p>
      <w:pPr>
        <w:spacing w:after="120" w:before="120"/>
      </w:pPr>
      <w:r>
        <w:t xml:space="preserve"/>
      </w:r>
    </w:p>
    <w:p>
      <w:pPr>
        <w:pStyle w:val="Heading1"/>
        <w:spacing w:after="120" w:before="300"/>
      </w:pPr>
      <w:r>
        <w:rPr>
          <w:rFonts w:ascii="Arial" w:cs="Arial" w:eastAsia="Arial" w:hAnsi="Arial"/>
          <w:b/>
          <w:bCs/>
          <w:color w:val="1F3864"/>
          <w:sz w:val="28"/>
          <w:szCs w:val="28"/>
        </w:rPr>
        <w:t xml:space="preserve">4. In Code But Not In Document — Undocumented Behaviour</w:t>
      </w:r>
    </w:p>
    <w:p>
      <w:pPr>
        <w:spacing w:after="80" w:before="80"/>
      </w:pPr>
      <w:r>
        <w:rPr>
          <w:rFonts w:ascii="Arial" w:cs="Arial" w:eastAsia="Arial" w:hAnsi="Arial"/>
          <w:sz w:val="20"/>
          <w:szCs w:val="20"/>
        </w:rPr>
        <w:t xml:space="preserve">These are significant architectural elements in the codebase that the document does not describe. Some represent risks or design decisions the document should address.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Code Feature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r>
      <w:tr>
        <w:tc>
          <w:tcPr>
            <w:tcW w:type="dxa" w:w="28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sz w:val="18"/>
                <w:szCs w:val="18"/>
              </w:rPr>
              <w:t xml:space="preserve">eligibility-reviewer.service.js (3rd AI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 undocumented third AI service performs LLM-based risk assessment on borderline offers (gated by config.eligibilityLlmReviewEnabled). Returns risk: low|medium|high, caveats[], suggestedAction. This is a distinct OpenAI call from the AI recommendation layer.</w:t>
            </w:r>
          </w:p>
        </w:tc>
      </w:tr>
      <w:tr>
        <w:tc>
          <w:tcPr>
            <w:tcW w:type="dxa" w:w="28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sz w:val="18"/>
                <w:szCs w:val="18"/>
              </w:rPr>
              <w:t xml:space="preserve">normalization.service.js in payment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payment.service.js runs normalizePaymentRequest() as the first pipeline stage before offer fetch or rules evaluation. The doc mentions normalization conceptually but does not identify this as a discrete named service or pipeline step.</w:t>
            </w:r>
          </w:p>
        </w:tc>
      </w:tr>
      <w:tr>
        <w:tc>
          <w:tcPr>
            <w:tcW w:type="dxa" w:w="28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sz w:val="18"/>
                <w:szCs w:val="18"/>
              </w:rPr>
              <w:t xml:space="preserve">offer-fetch.service.js complexity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fetchApplicableOffersWithCoupons() (a) resolves merchant aliases from DB, (b) fans out parallel queries by merchant term and category, (c) splits into dbOffers vs. crawledCoupons, (d) merges crawled coupons with wallet coupons (wallet wins on duplicate codes), (e) assigns verifyRequired flags by confidence threshold. None of this is described.</w:t>
            </w:r>
          </w:p>
        </w:tc>
      </w:tr>
      <w:tr>
        <w:tc>
          <w:tcPr>
            <w:tcW w:type="dxa" w:w="28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sz w:val="18"/>
                <w:szCs w:val="18"/>
              </w:rPr>
              <w:t xml:space="preserve">Known bug in production-methods.repository.js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When processing a card-type payment method, the file pushes an empty object {} into the banks array before pushing to cards, then filters it out with cleanBanks = banks.filter(b =&gt; b.id). This code smell is silently present and not flagged in the doc.</w:t>
            </w:r>
          </w:p>
        </w:tc>
      </w:tr>
      <w:tr>
        <w:tc>
          <w:tcPr>
            <w:tcW w:type="dxa" w:w="28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sz w:val="18"/>
                <w:szCs w:val="18"/>
              </w:rPr>
              <w:t xml:space="preserve">instrumentSelection / groups[] contract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buildInstrumentSelection() produces two groups ("Pay by Bank", "Pay by Card") with per-instrument payAmount, discountBreakdown, rewardsEarned, recommended, selected flags. The doc mentions split_payment_groups but does not describe this UI contract.</w:t>
            </w:r>
          </w:p>
        </w:tc>
      </w:tr>
      <w:tr>
        <w:tc>
          <w:tcPr>
            <w:tcW w:type="dxa" w:w="28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sz w:val="18"/>
                <w:szCs w:val="18"/>
              </w:rPr>
              <w:t xml:space="preserve">MAX_DISCOUNT_RATIO = 0.90 safety cap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rules-engine.service.js enforces that total discount cannot exceed 90% of the requested amount, trimming the last discount layer if needed. Not mentioned anywhere in the doc.</w:t>
            </w:r>
          </w:p>
        </w:tc>
      </w:tr>
      <w:tr>
        <w:tc>
          <w:tcPr>
            <w:tcW w:type="dxa" w:w="28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sz w:val="18"/>
                <w:szCs w:val="18"/>
              </w:rPr>
              <w:t xml:space="preserve">points_redemption_pct slider (migration 013)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checkout_sessions gains a points_redemption_pct NUMERIC(5,2) DEFAULT 100 column. checkout.service.js scales balanceCoins by this percentage before running combinations, enabling partial loyalty redemption. Not described in the doc.</w:t>
            </w:r>
          </w:p>
        </w:tc>
      </w:tr>
      <w:tr>
        <w:tc>
          <w:tcPr>
            <w:tcW w:type="dxa" w:w="28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sz w:val="18"/>
                <w:szCs w:val="18"/>
              </w:rPr>
              <w:t xml:space="preserve">session_type and POS fields (migration 013)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checkout_sessions gains session_type, pos_id, store_id. No mention of in-store/POS session types or how they differ from online in the doc.</w:t>
            </w:r>
          </w:p>
        </w:tc>
      </w:tr>
      <w:tr>
        <w:tc>
          <w:tcPr>
            <w:tcW w:type="dxa" w:w="28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sz w:val="18"/>
                <w:szCs w:val="18"/>
              </w:rPr>
              <w:t xml:space="preserve">Webhooks module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webhooks module (apify-webhook.controller.js, POST /webhooks/apify) exists for Apify crawl integration. Not mentioned in the doc.</w:t>
            </w:r>
          </w:p>
        </w:tc>
      </w:tr>
      <w:tr>
        <w:tc>
          <w:tcPr>
            <w:tcW w:type="dxa" w:w="28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sz w:val="18"/>
                <w:szCs w:val="18"/>
              </w:rPr>
              <w:t xml:space="preserve">Discovery module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discovery module with GET /discovery/candidates endpoint is present. Not mentioned in the doc.</w:t>
            </w:r>
          </w:p>
        </w:tc>
      </w:tr>
      <w:tr>
        <w:tc>
          <w:tcPr>
            <w:tcW w:type="dxa" w:w="28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sz w:val="18"/>
                <w:szCs w:val="18"/>
              </w:rPr>
              <w:t xml:space="preserve">Quarantine promote/reject/replay 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quarantine system (002_quarantine_records.sql + controller with promote/reject/replay actions) is a significant data quality mechanism. The doc uses the word "quarantine" once but does not describe the schema, workflow, or role in source health governance.</w:t>
            </w:r>
          </w:p>
        </w:tc>
      </w:tr>
    </w:tbl>
    <w:p>
      <w:pPr>
        <w:spacing w:after="120" w:before="120"/>
      </w:pPr>
      <w:r>
        <w:t xml:space="preserve"/>
      </w:r>
    </w:p>
    <w:p>
      <w:pPr>
        <w:pStyle w:val="Heading1"/>
        <w:spacing w:after="120" w:before="300"/>
      </w:pPr>
      <w:r>
        <w:rPr>
          <w:rFonts w:ascii="Arial" w:cs="Arial" w:eastAsia="Arial" w:hAnsi="Arial"/>
          <w:b/>
          <w:bCs/>
          <w:color w:val="1F3864"/>
          <w:sz w:val="28"/>
          <w:szCs w:val="28"/>
        </w:rPr>
        <w:t xml:space="preserve">5. Factual Errors — Demonstrably Incorrect Statements</w:t>
      </w:r>
    </w:p>
    <w:p>
      <w:pPr>
        <w:spacing w:after="80" w:before="80"/>
      </w:pPr>
      <w:r>
        <w:rPr>
          <w:rFonts w:ascii="Arial" w:cs="Arial" w:eastAsia="Arial" w:hAnsi="Arial"/>
          <w:sz w:val="20"/>
          <w:szCs w:val="20"/>
        </w:rPr>
        <w:t xml:space="preserve">These statements in the document are contradicted by the actual code.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Statement</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the Code Shows</w:t>
            </w:r>
          </w:p>
        </w:tc>
      </w:tr>
      <w:tr>
        <w:tc>
          <w:tcPr>
            <w:tcW w:type="dxa" w:w="280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bCs/>
                <w:sz w:val="18"/>
                <w:szCs w:val="18"/>
              </w:rPr>
              <w:t xml:space="preserve">AI override constraint (§7)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layer must not override eligibility or final payable calculations" is stated as an architectural constraint but is only a convention. ai-recommendation.service.js can return a recommendedRank that differs from the deterministic top pick. payment.service.js uses that rank to set recommendedCombination. The AI reorders combinations; which one is "recommended" to the user is AI-influenced, not locked.</w:t>
            </w:r>
          </w:p>
        </w:tc>
      </w:tr>
      <w:tr>
        <w:tc>
          <w:tcPr>
            <w:tcW w:type="dxa" w:w="280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bCs/>
                <w:sz w:val="18"/>
                <w:szCs w:val="18"/>
              </w:rPr>
              <w:t xml:space="preserve">split_payment_groups "differs" framing (§5.2)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doc says the planned shape "differs from the current production shape." The migration comment reads "missing from production — confirmed in DB extract." Missing ≠ different shape. The doc inaccurately implies a conflicting pre-existing table.</w:t>
            </w:r>
          </w:p>
        </w:tc>
      </w:tr>
      <w:tr>
        <w:tc>
          <w:tcPr>
            <w:tcW w:type="dxa" w:w="280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bCs/>
                <w:sz w:val="18"/>
                <w:szCs w:val="18"/>
              </w:rPr>
              <w:t xml:space="preserve">Payment module description incomplete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doc characterizes the payment module as containing rules-engine.service.js and ai-recommendation.service.js. The actual module has 7 files: those two plus normalization.service.js, offer-fetch.service.js, eligibility-reviewer.service.js, payment.service.js, payment.controller.js. The module is substantially under-described.</w:t>
            </w:r>
          </w:p>
        </w:tc>
      </w:tr>
    </w:tbl>
    <w:p>
      <w:pPr>
        <w:spacing w:after="120" w:before="120"/>
      </w:pPr>
      <w:r>
        <w:t xml:space="preserve"/>
      </w:r>
    </w:p>
    <w:p>
      <w:pPr>
        <w:pStyle w:val="Heading1"/>
        <w:spacing w:after="120" w:before="300"/>
      </w:pPr>
      <w:r>
        <w:rPr>
          <w:rFonts w:ascii="Arial" w:cs="Arial" w:eastAsia="Arial" w:hAnsi="Arial"/>
          <w:b/>
          <w:bCs/>
          <w:color w:val="1F3864"/>
          <w:sz w:val="28"/>
          <w:szCs w:val="28"/>
        </w:rPr>
        <w:t xml:space="preserve">6. Summary and Recommended Actions</w:t>
      </w:r>
    </w:p>
    <w:p>
      <w:pPr>
        <w:spacing w:after="80" w:before="80"/>
      </w:pPr>
      <w:r>
        <w:rPr>
          <w:rFonts w:ascii="Arial" w:cs="Arial" w:eastAsia="Arial" w:hAnsi="Arial"/>
          <w:b/>
          <w:bCs/>
          <w:sz w:val="20"/>
          <w:szCs w:val="20"/>
        </w:rPr>
        <w:t xml:space="preserve">The document is a solid foundation. Its description of the three-DB architecture, migration scope, wallet instruments, rules engine design, and API endpoints is largely accurate. The following actions are recommended to close gaps:</w:t>
      </w:r>
    </w:p>
    <w:p>
      <w:pPr>
        <w:spacing w:after="120" w:before="120"/>
      </w:pPr>
      <w:r>
        <w:t xml:space="preserve"/>
      </w:r>
    </w:p>
    <w:p>
      <w:pPr>
        <w:pStyle w:val="ListParagraph"/>
        <w:numPr>
          <w:ilvl w:val="0"/>
          <w:numId w:val="2"/>
        </w:numPr>
        <w:spacing w:after="60" w:before="60"/>
      </w:pPr>
      <w:r>
        <w:rPr>
          <w:rFonts w:ascii="Arial" w:cs="Arial" w:eastAsia="Arial" w:hAnsi="Arial"/>
          <w:b/>
          <w:bCs/>
          <w:sz w:val="20"/>
          <w:szCs w:val="20"/>
        </w:rPr>
        <w:t xml:space="preserve">1. </w:t>
      </w:r>
      <w:r>
        <w:rPr>
          <w:rFonts w:ascii="Arial" w:cs="Arial" w:eastAsia="Arial" w:hAnsi="Arial"/>
          <w:sz w:val="20"/>
          <w:szCs w:val="20"/>
        </w:rPr>
        <w:t xml:space="preserve">Add validity_status, verify_required, llm_enriched_at, and llm_enrichment_json to the canonical offer field list in §6.1.</w:t>
      </w:r>
    </w:p>
    <w:p>
      <w:pPr>
        <w:pStyle w:val="ListParagraph"/>
        <w:numPr>
          <w:ilvl w:val="0"/>
          <w:numId w:val="2"/>
        </w:numPr>
        <w:spacing w:after="60" w:before="60"/>
      </w:pPr>
      <w:r>
        <w:rPr>
          <w:rFonts w:ascii="Arial" w:cs="Arial" w:eastAsia="Arial" w:hAnsi="Arial"/>
          <w:b/>
          <w:bCs/>
          <w:sz w:val="20"/>
          <w:szCs w:val="20"/>
        </w:rPr>
        <w:t xml:space="preserve">2. </w:t>
      </w:r>
      <w:r>
        <w:rPr>
          <w:rFonts w:ascii="Arial" w:cs="Arial" w:eastAsia="Arial" w:hAnsi="Arial"/>
          <w:sz w:val="20"/>
          <w:szCs w:val="20"/>
        </w:rPr>
        <w:t xml:space="preserve">Correct §5.2: split_payment_groups is absent from production (not differently shaped). Update the text from "differs" to "missing."</w:t>
      </w:r>
    </w:p>
    <w:p>
      <w:pPr>
        <w:pStyle w:val="ListParagraph"/>
        <w:numPr>
          <w:ilvl w:val="0"/>
          <w:numId w:val="2"/>
        </w:numPr>
        <w:spacing w:after="60" w:before="60"/>
      </w:pPr>
      <w:r>
        <w:rPr>
          <w:rFonts w:ascii="Arial" w:cs="Arial" w:eastAsia="Arial" w:hAnsi="Arial"/>
          <w:b/>
          <w:bCs/>
          <w:sz w:val="20"/>
          <w:szCs w:val="20"/>
        </w:rPr>
        <w:t xml:space="preserve">3. </w:t>
      </w:r>
      <w:r>
        <w:rPr>
          <w:rFonts w:ascii="Arial" w:cs="Arial" w:eastAsia="Arial" w:hAnsi="Arial"/>
          <w:sz w:val="20"/>
          <w:szCs w:val="20"/>
        </w:rPr>
        <w:t xml:space="preserve">Document the third AI service (eligibility-reviewer.service.js) in §7 as a distinct layer between the deterministic engine and the recommendation AI.</w:t>
      </w:r>
    </w:p>
    <w:p>
      <w:pPr>
        <w:pStyle w:val="ListParagraph"/>
        <w:numPr>
          <w:ilvl w:val="0"/>
          <w:numId w:val="2"/>
        </w:numPr>
        <w:spacing w:after="60" w:before="60"/>
      </w:pPr>
      <w:r>
        <w:rPr>
          <w:rFonts w:ascii="Arial" w:cs="Arial" w:eastAsia="Arial" w:hAnsi="Arial"/>
          <w:b/>
          <w:bCs/>
          <w:sz w:val="20"/>
          <w:szCs w:val="20"/>
        </w:rPr>
        <w:t xml:space="preserve">4. </w:t>
      </w:r>
      <w:r>
        <w:rPr>
          <w:rFonts w:ascii="Arial" w:cs="Arial" w:eastAsia="Arial" w:hAnsi="Arial"/>
          <w:sz w:val="20"/>
          <w:szCs w:val="20"/>
        </w:rPr>
        <w:t xml:space="preserve">Add the normalization pipeline stage (normalization.service.js) to the checkout flow description in §8.</w:t>
      </w:r>
    </w:p>
    <w:p>
      <w:pPr>
        <w:pStyle w:val="ListParagraph"/>
        <w:numPr>
          <w:ilvl w:val="0"/>
          <w:numId w:val="2"/>
        </w:numPr>
        <w:spacing w:after="60" w:before="60"/>
      </w:pPr>
      <w:r>
        <w:rPr>
          <w:rFonts w:ascii="Arial" w:cs="Arial" w:eastAsia="Arial" w:hAnsi="Arial"/>
          <w:b/>
          <w:bCs/>
          <w:sz w:val="20"/>
          <w:szCs w:val="20"/>
        </w:rPr>
        <w:t xml:space="preserve">5. </w:t>
      </w:r>
      <w:r>
        <w:rPr>
          <w:rFonts w:ascii="Arial" w:cs="Arial" w:eastAsia="Arial" w:hAnsi="Arial"/>
          <w:sz w:val="20"/>
          <w:szCs w:val="20"/>
        </w:rPr>
        <w:t xml:space="preserve">Document the offer-fetch fan-out/merge logic (fetchApplicableOffersWithCoupons) in §6 or §8.</w:t>
      </w:r>
    </w:p>
    <w:p>
      <w:pPr>
        <w:pStyle w:val="ListParagraph"/>
        <w:numPr>
          <w:ilvl w:val="0"/>
          <w:numId w:val="2"/>
        </w:numPr>
        <w:spacing w:after="60" w:before="60"/>
      </w:pPr>
      <w:r>
        <w:rPr>
          <w:rFonts w:ascii="Arial" w:cs="Arial" w:eastAsia="Arial" w:hAnsi="Arial"/>
          <w:b/>
          <w:bCs/>
          <w:sz w:val="20"/>
          <w:szCs w:val="20"/>
        </w:rPr>
        <w:t xml:space="preserve">6. </w:t>
      </w:r>
      <w:r>
        <w:rPr>
          <w:rFonts w:ascii="Arial" w:cs="Arial" w:eastAsia="Arial" w:hAnsi="Arial"/>
          <w:sz w:val="20"/>
          <w:szCs w:val="20"/>
        </w:rPr>
        <w:t xml:space="preserve">Add the MAX_DISCOUNT_RATIO = 0.90 safety cap and points_redemption_pct slider to §7 and §8 respectively — both affect financial outputs.</w:t>
      </w:r>
    </w:p>
    <w:p>
      <w:pPr>
        <w:pStyle w:val="ListParagraph"/>
        <w:numPr>
          <w:ilvl w:val="0"/>
          <w:numId w:val="2"/>
        </w:numPr>
        <w:spacing w:after="60" w:before="60"/>
      </w:pPr>
      <w:r>
        <w:rPr>
          <w:rFonts w:ascii="Arial" w:cs="Arial" w:eastAsia="Arial" w:hAnsi="Arial"/>
          <w:b/>
          <w:bCs/>
          <w:sz w:val="20"/>
          <w:szCs w:val="20"/>
        </w:rPr>
        <w:t xml:space="preserve">7. </w:t>
      </w:r>
      <w:r>
        <w:rPr>
          <w:rFonts w:ascii="Arial" w:cs="Arial" w:eastAsia="Arial" w:hAnsi="Arial"/>
          <w:sz w:val="20"/>
          <w:szCs w:val="20"/>
        </w:rPr>
        <w:t xml:space="preserve">Document session_type (online/in-store) and POS fields in §8 or a new §8.2.</w:t>
      </w:r>
    </w:p>
    <w:p>
      <w:pPr>
        <w:pStyle w:val="ListParagraph"/>
        <w:numPr>
          <w:ilvl w:val="0"/>
          <w:numId w:val="2"/>
        </w:numPr>
        <w:spacing w:after="60" w:before="60"/>
      </w:pPr>
      <w:r>
        <w:rPr>
          <w:rFonts w:ascii="Arial" w:cs="Arial" w:eastAsia="Arial" w:hAnsi="Arial"/>
          <w:b/>
          <w:bCs/>
          <w:sz w:val="20"/>
          <w:szCs w:val="20"/>
        </w:rPr>
        <w:t xml:space="preserve">8. </w:t>
      </w:r>
      <w:r>
        <w:rPr>
          <w:rFonts w:ascii="Arial" w:cs="Arial" w:eastAsia="Arial" w:hAnsi="Arial"/>
          <w:sz w:val="20"/>
          <w:szCs w:val="20"/>
        </w:rPr>
        <w:t xml:space="preserve">Flag the empty-object bug in production-methods.repository.js as a known issue in §10 (Risks and Gaps).</w:t>
      </w:r>
    </w:p>
    <w:p>
      <w:pPr>
        <w:pStyle w:val="ListParagraph"/>
        <w:numPr>
          <w:ilvl w:val="0"/>
          <w:numId w:val="2"/>
        </w:numPr>
        <w:spacing w:after="60" w:before="60"/>
      </w:pPr>
      <w:r>
        <w:rPr>
          <w:rFonts w:ascii="Arial" w:cs="Arial" w:eastAsia="Arial" w:hAnsi="Arial"/>
          <w:b/>
          <w:bCs/>
          <w:sz w:val="20"/>
          <w:szCs w:val="20"/>
        </w:rPr>
        <w:t xml:space="preserve">9. </w:t>
      </w:r>
      <w:r>
        <w:rPr>
          <w:rFonts w:ascii="Arial" w:cs="Arial" w:eastAsia="Arial" w:hAnsi="Arial"/>
          <w:sz w:val="20"/>
          <w:szCs w:val="20"/>
        </w:rPr>
        <w:t xml:space="preserve">Clarify §7: the AI recommendation layer can and does reorder combinations (changing which is "recommended"). This is a design choice, not an error, but it should be stated explicitly.</w:t>
      </w:r>
    </w:p>
    <w:p>
      <w:pPr>
        <w:pStyle w:val="ListParagraph"/>
        <w:numPr>
          <w:ilvl w:val="0"/>
          <w:numId w:val="2"/>
        </w:numPr>
        <w:spacing w:after="60" w:before="60"/>
      </w:pPr>
      <w:r>
        <w:rPr>
          <w:rFonts w:ascii="Arial" w:cs="Arial" w:eastAsia="Arial" w:hAnsi="Arial"/>
          <w:b/>
          <w:bCs/>
          <w:sz w:val="20"/>
          <w:szCs w:val="20"/>
        </w:rPr>
        <w:t xml:space="preserve">10. </w:t>
      </w:r>
      <w:r>
        <w:rPr>
          <w:rFonts w:ascii="Arial" w:cs="Arial" w:eastAsia="Arial" w:hAnsi="Arial"/>
          <w:sz w:val="20"/>
          <w:szCs w:val="20"/>
        </w:rPr>
        <w:t xml:space="preserve">Complete the LLM enrichment write path: identify which service is responsible for populating llm_enrichment_json and llm_enriched_at, and document it.</w:t>
      </w:r>
    </w:p>
    <w:p>
      <w:pPr>
        <w:spacing w:after="120" w:before="120"/>
      </w:pPr>
      <w:r>
        <w:t xml:space="preserve"/>
      </w:r>
    </w:p>
    <w:p>
      <w:pPr>
        <w:pBdr>
          <w:top w:val="single" w:color="CCCCCC" w:sz="4" w:space="4"/>
        </w:pBdr>
        <w:spacing w:after="80" w:before="240"/>
      </w:pPr>
      <w:r>
        <w:rPr>
          <w:rFonts w:ascii="Arial" w:cs="Arial" w:eastAsia="Arial" w:hAnsi="Arial"/>
          <w:i/>
          <w:iCs/>
          <w:color w:val="888888"/>
          <w:sz w:val="16"/>
          <w:szCs w:val="16"/>
        </w:rPr>
        <w:t xml:space="preserve">Report generated by alignment review against feat/offer-validity-audit-remediation branch.  Scope: backend/ and src/ directories; 14 migration files; all payment, checkout, wallet, and enrichment service files.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KanzPay Architecture Document — Codebase Alignment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0404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2026-06-30T05:35:46.953Z</dcterms:created>
  <dcterms:modified xsi:type="dcterms:W3CDTF">2026-06-30T05:35:46.953Z</dcterms:modified>
</cp:coreProperties>
</file>

<file path=docProps/custom.xml><?xml version="1.0" encoding="utf-8"?>
<Properties xmlns="http://schemas.openxmlformats.org/officeDocument/2006/custom-properties" xmlns:vt="http://schemas.openxmlformats.org/officeDocument/2006/docPropsVTypes"/>
</file>