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480"/>
              <w:left w:type="dxa" w:w="560"/>
              <w:bottom w:type="dxa" w:w="480"/>
              <w:right w:type="dxa" w:w="560"/>
            </w:tcMar>
          </w:tcPr>
          <w:p>
            <w:pPr>
              <w:spacing w:after="80" w:before="0"/>
            </w:pPr>
            <w:r>
              <w:rPr>
                <w:rFonts w:ascii="Arial" w:cs="Arial" w:eastAsia="Arial" w:hAnsi="Arial"/>
                <w:b/>
                <w:bCs/>
                <w:color w:val="93C5FD"/>
                <w:sz w:val="16"/>
                <w:szCs w:val="16"/>
              </w:rPr>
              <w:t xml:space="preserve">CTO BRIEF</w:t>
            </w:r>
          </w:p>
          <w:p>
            <w:pPr>
              <w:spacing w:after="120" w:before="0"/>
            </w:pPr>
            <w:r>
              <w:rPr>
                <w:rFonts w:ascii="Georgia" w:cs="Georgia" w:eastAsia="Georgia" w:hAnsi="Georgia"/>
                <w:b/>
                <w:bCs/>
                <w:color w:val="FFFFFF"/>
                <w:sz w:val="38"/>
                <w:szCs w:val="38"/>
              </w:rPr>
              <w:t xml:space="preserve">How to learn about visitors before they tell us anything</w:t>
            </w:r>
          </w:p>
          <w:p>
            <w:r>
              <w:rPr>
                <w:rFonts w:ascii="Arial" w:cs="Arial" w:eastAsia="Arial" w:hAnsi="Arial"/>
                <w:color w:val="BFDBFE"/>
                <w:sz w:val="20"/>
                <w:szCs w:val="20"/>
              </w:rPr>
              <w:t xml:space="preserve">A practical look at passive visitor intelligence for the Sales Agent</w:t>
            </w:r>
          </w:p>
        </w:tc>
      </w:tr>
    </w:tbl>
    <w:p>
      <w:pPr>
        <w:spacing w:after="0" w:before="160"/>
      </w:pPr>
      <w:r>
        <w:t xml:space="preserve"/>
      </w:r>
    </w:p>
    <w:p>
      <w:pPr>
        <w:spacing w:after="60" w:before="60"/>
      </w:pPr>
      <w:r>
        <w:rPr>
          <w:rFonts w:ascii="Arial" w:cs="Arial" w:eastAsia="Arial" w:hAnsi="Arial"/>
          <w:color w:val="6B7280"/>
          <w:sz w:val="20"/>
          <w:szCs w:val="20"/>
        </w:rPr>
        <w:t xml:space="preserve">Right now, the agent waits for the visitor to introduce themselves. But most visitors don't — they jump straight to a question. By the time we know who they are, the conversation is already halfway done.</w:t>
      </w:r>
    </w:p>
    <w:p>
      <w:pPr>
        <w:spacing w:after="0" w:before="80"/>
      </w:pPr>
      <w:r>
        <w:t xml:space="preserve"/>
      </w:r>
    </w:p>
    <w:p>
      <w:pPr>
        <w:spacing w:after="60" w:before="60"/>
      </w:pPr>
      <w:r>
        <w:rPr>
          <w:rFonts w:ascii="Arial" w:cs="Arial" w:eastAsia="Arial" w:hAnsi="Arial"/>
          <w:color w:val="6B7280"/>
          <w:sz w:val="20"/>
          <w:szCs w:val="20"/>
        </w:rPr>
        <w:t xml:space="preserve">There are four practical ways to fix this. None of them require asking the visitor anything upfront.</w:t>
      </w:r>
    </w:p>
    <w:p>
      <w:pPr>
        <w:spacing w:after="0" w:before="240"/>
      </w:pPr>
      <w:r>
        <w:t xml:space="preserve"/>
      </w:r>
    </w:p>
    <w:p>
      <w:pPr>
        <w:pStyle w:val="Heading1"/>
        <w:pBdr>
          <w:bottom w:val="single" w:color="1D4ED8" w:sz="4" w:space="3"/>
        </w:pBdr>
        <w:spacing w:after="100" w:before="360"/>
      </w:pPr>
      <w:r>
        <w:rPr>
          <w:rFonts w:ascii="Georgia" w:cs="Georgia" w:eastAsia="Georgia" w:hAnsi="Georgia"/>
          <w:b/>
          <w:bCs/>
          <w:color w:val="111827"/>
          <w:sz w:val="28"/>
          <w:szCs w:val="28"/>
        </w:rPr>
        <w:t xml:space="preserve">1. Listen to how they talk</w:t>
      </w:r>
    </w:p>
    <w:p>
      <w:pPr>
        <w:spacing w:after="60" w:before="60"/>
      </w:pPr>
      <w:r>
        <w:rPr>
          <w:rFonts w:ascii="Arial" w:cs="Arial" w:eastAsia="Arial" w:hAnsi="Arial"/>
          <w:color w:val="6B7280"/>
          <w:sz w:val="20"/>
          <w:szCs w:val="20"/>
        </w:rPr>
        <w:t xml:space="preserve">The simplest approach — and we're already halfway there. When someone types "we need this for our 200-person engineering team," the agent can quietly extract: team size, department, and buyer intent. No form, no interruption.</w:t>
      </w:r>
    </w:p>
    <w:p>
      <w:pPr>
        <w:spacing w:after="0" w:before="80"/>
      </w:pPr>
      <w:r>
        <w:t xml:space="preserve"/>
      </w:r>
    </w:p>
    <w:p>
      <w:pPr>
        <w:spacing w:after="60" w:before="60"/>
      </w:pPr>
      <w:r>
        <w:rPr>
          <w:rFonts w:ascii="Arial" w:cs="Arial" w:eastAsia="Arial" w:hAnsi="Arial"/>
          <w:i/>
          <w:iCs/>
          <w:color w:val="6B7280"/>
          <w:sz w:val="20"/>
          <w:szCs w:val="20"/>
        </w:rPr>
        <w:t xml:space="preserve">What we already have: lead_extractor.py does this at the end of a conversation.</w:t>
      </w:r>
    </w:p>
    <w:p>
      <w:pPr>
        <w:spacing w:after="60" w:before="60"/>
      </w:pPr>
      <w:r>
        <w:rPr>
          <w:rFonts w:ascii="Arial" w:cs="Arial" w:eastAsia="Arial" w:hAnsi="Arial"/>
          <w:i/>
          <w:iCs/>
          <w:color w:val="6B7280"/>
          <w:sz w:val="20"/>
          <w:szCs w:val="20"/>
        </w:rPr>
        <w:t xml:space="preserve">What we need: make it run on every message, not just at the end.</w:t>
      </w:r>
    </w:p>
    <w:p>
      <w:pPr>
        <w:spacing w:after="0" w:before="80"/>
      </w:pPr>
      <w:r>
        <w:t xml:space="preserve"/>
      </w:r>
    </w:p>
    <w:p>
      <w:pPr>
        <w:pStyle w:val="ListParagraph"/>
        <w:numPr>
          <w:ilvl w:val="0"/>
          <w:numId w:val="2"/>
        </w:numPr>
        <w:spacing w:after="40" w:before="40"/>
      </w:pPr>
      <w:r>
        <w:rPr>
          <w:rFonts w:ascii="Arial" w:cs="Arial" w:eastAsia="Arial" w:hAnsi="Arial"/>
          <w:color w:val="6B7280"/>
          <w:sz w:val="20"/>
          <w:szCs w:val="20"/>
        </w:rPr>
        <w:t xml:space="preserve">Each message adds a little more to the visitor's profile</w:t>
      </w:r>
    </w:p>
    <w:p>
      <w:pPr>
        <w:pStyle w:val="ListParagraph"/>
        <w:numPr>
          <w:ilvl w:val="0"/>
          <w:numId w:val="2"/>
        </w:numPr>
        <w:spacing w:after="40" w:before="40"/>
      </w:pPr>
      <w:r>
        <w:rPr>
          <w:rFonts w:ascii="Arial" w:cs="Arial" w:eastAsia="Arial" w:hAnsi="Arial"/>
          <w:color w:val="6B7280"/>
          <w:sz w:val="20"/>
          <w:szCs w:val="20"/>
        </w:rPr>
        <w:t xml:space="preserve">Stored silently in the session — visitor never notices</w:t>
      </w:r>
    </w:p>
    <w:p>
      <w:pPr>
        <w:pStyle w:val="ListParagraph"/>
        <w:numPr>
          <w:ilvl w:val="0"/>
          <w:numId w:val="2"/>
        </w:numPr>
        <w:spacing w:after="40" w:before="40"/>
      </w:pPr>
      <w:r>
        <w:rPr>
          <w:rFonts w:ascii="Arial" w:cs="Arial" w:eastAsia="Arial" w:hAnsi="Arial"/>
          <w:color w:val="6B7280"/>
          <w:sz w:val="20"/>
          <w:szCs w:val="20"/>
        </w:rPr>
        <w:t xml:space="preserve">Files to change: lead_extractor.py, state.py, sessions/store.py</w:t>
      </w:r>
    </w:p>
    <w:p>
      <w:pPr>
        <w:spacing w:after="0" w:before="80"/>
      </w:pPr>
      <w:r>
        <w:t xml:space="preserve"/>
      </w:r>
    </w:p>
    <w:p>
      <w:pPr>
        <w:spacing w:after="60" w:before="60"/>
      </w:pPr>
      <w:r>
        <w:rPr>
          <w:rFonts w:ascii="Arial" w:cs="Arial" w:eastAsia="Arial" w:hAnsi="Arial"/>
          <w:color w:val="6B7280"/>
          <w:sz w:val="20"/>
          <w:szCs w:val="20"/>
        </w:rPr>
        <w:t xml:space="preserve">Effort: about 1 day.  Low risk.</w:t>
      </w:r>
    </w:p>
    <w:p>
      <w:pPr>
        <w:spacing w:after="0" w:before="240"/>
      </w:pPr>
      <w:r>
        <w:t xml:space="preserve"/>
      </w:r>
    </w:p>
    <w:p>
      <w:pPr>
        <w:pStyle w:val="Heading1"/>
        <w:pBdr>
          <w:bottom w:val="single" w:color="1D4ED8" w:sz="4" w:space="3"/>
        </w:pBdr>
        <w:spacing w:after="100" w:before="360"/>
      </w:pPr>
      <w:r>
        <w:rPr>
          <w:rFonts w:ascii="Georgia" w:cs="Georgia" w:eastAsia="Georgia" w:hAnsi="Georgia"/>
          <w:b/>
          <w:bCs/>
          <w:color w:val="111827"/>
          <w:sz w:val="28"/>
          <w:szCs w:val="28"/>
        </w:rPr>
        <w:t xml:space="preserve">2. Read the browser before they type</w:t>
      </w:r>
    </w:p>
    <w:p>
      <w:pPr>
        <w:spacing w:after="60" w:before="60"/>
      </w:pPr>
      <w:r>
        <w:rPr>
          <w:rFonts w:ascii="Arial" w:cs="Arial" w:eastAsia="Arial" w:hAnsi="Arial"/>
          <w:color w:val="6B7280"/>
          <w:sz w:val="20"/>
          <w:szCs w:val="20"/>
        </w:rPr>
        <w:t xml:space="preserve">The moment someone lands on the page, the chat widget already has useful signals — before a single keystroke. We just need to collect them and pass them to the backend with the first message.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11827" w:sz="1"/>
              <w:left w:val="single" w:color="111827" w:sz="1"/>
              <w:bottom w:val="single" w:color="111827" w:sz="1"/>
              <w:right w:val="single" w:color="111827" w:sz="1"/>
            </w:tcBorders>
            <w:shd w:fill="111827" w:val="clear"/>
            <w:tcMar>
              <w:top w:type="dxa" w:w="100"/>
              <w:left w:type="dxa" w:w="160"/>
              <w:bottom w:type="dxa" w:w="100"/>
              <w:right w:type="dxa" w:w="120"/>
            </w:tcMar>
          </w:tcPr>
          <w:p>
            <w:pPr>
              <w:jc w:val="left"/>
            </w:pPr>
            <w:r>
              <w:rPr>
                <w:rFonts w:ascii="Arial" w:cs="Arial" w:eastAsia="Arial" w:hAnsi="Arial"/>
                <w:b/>
                <w:bCs/>
                <w:color w:val="FFFFFF"/>
                <w:sz w:val="19"/>
                <w:szCs w:val="19"/>
              </w:rPr>
              <w:t xml:space="preserve">Signal</w:t>
            </w:r>
          </w:p>
        </w:tc>
        <w:tc>
          <w:tcPr>
            <w:tcW w:type="dxa" w:w="5760"/>
            <w:tcBorders>
              <w:top w:val="single" w:color="111827" w:sz="1"/>
              <w:left w:val="single" w:color="111827" w:sz="1"/>
              <w:bottom w:val="single" w:color="111827" w:sz="1"/>
              <w:right w:val="single" w:color="111827" w:sz="1"/>
            </w:tcBorders>
            <w:shd w:fill="111827" w:val="clear"/>
            <w:tcMar>
              <w:top w:type="dxa" w:w="100"/>
              <w:left w:type="dxa" w:w="160"/>
              <w:bottom w:type="dxa" w:w="100"/>
              <w:right w:type="dxa" w:w="120"/>
            </w:tcMar>
          </w:tcPr>
          <w:p>
            <w:pPr>
              <w:jc w:val="left"/>
            </w:pPr>
            <w:r>
              <w:rPr>
                <w:rFonts w:ascii="Arial" w:cs="Arial" w:eastAsia="Arial" w:hAnsi="Arial"/>
                <w:b/>
                <w:bCs/>
                <w:color w:val="FFFFFF"/>
                <w:sz w:val="19"/>
                <w:szCs w:val="19"/>
              </w:rPr>
              <w:t xml:space="preserve">What it tells us</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Where they came from (referrer)</w:t>
            </w:r>
          </w:p>
        </w:tc>
        <w:tc>
          <w:tcPr>
            <w:tcW w:type="dxa" w:w="576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LinkedIn? Google? A specific campaign?</w:t>
            </w:r>
          </w:p>
        </w:tc>
      </w:tr>
      <w:tr>
        <w:tc>
          <w:tcPr>
            <w:tcW w:type="dxa" w:w="36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UTM parameters in the URL</w:t>
            </w:r>
          </w:p>
        </w:tc>
        <w:tc>
          <w:tcPr>
            <w:tcW w:type="dxa" w:w="576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Which ad, email, or outreach brought them here</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Which page they opened the chat on</w:t>
            </w:r>
          </w:p>
        </w:tc>
        <w:tc>
          <w:tcPr>
            <w:tcW w:type="dxa" w:w="576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Enterprise page vs. pricing vs. docs — signals intent</w:t>
            </w:r>
          </w:p>
        </w:tc>
      </w:tr>
      <w:tr>
        <w:tc>
          <w:tcPr>
            <w:tcW w:type="dxa" w:w="36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Timezone + language</w:t>
            </w:r>
          </w:p>
        </w:tc>
        <w:tc>
          <w:tcPr>
            <w:tcW w:type="dxa" w:w="576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Geography and likely market</w:t>
            </w:r>
          </w:p>
        </w:tc>
      </w:tr>
    </w:tbl>
    <w:p>
      <w:pPr>
        <w:spacing w:after="0" w:before="80"/>
      </w:pPr>
      <w:r>
        <w:t xml:space="preserve"/>
      </w:r>
    </w:p>
    <w:p>
      <w:pPr>
        <w:spacing w:after="60" w:before="60"/>
      </w:pPr>
      <w:r>
        <w:rPr>
          <w:rFonts w:ascii="Arial" w:cs="Arial" w:eastAsia="Arial" w:hAnsi="Arial"/>
          <w:color w:val="6B7280"/>
          <w:sz w:val="20"/>
          <w:szCs w:val="20"/>
        </w:rPr>
        <w:t xml:space="preserve">File to change: widget/mobcoder-chat.js — a few lines of JS to collect and send this on init.</w:t>
      </w:r>
    </w:p>
    <w:p>
      <w:pPr>
        <w:spacing w:after="60" w:before="60"/>
      </w:pPr>
      <w:r>
        <w:rPr>
          <w:rFonts w:ascii="Arial" w:cs="Arial" w:eastAsia="Arial" w:hAnsi="Arial"/>
          <w:color w:val="6B7280"/>
          <w:sz w:val="20"/>
          <w:szCs w:val="20"/>
        </w:rPr>
        <w:t xml:space="preserve">Effort: about 4 hours.  Basically no risk.</w:t>
      </w:r>
    </w:p>
    <w:p>
      <w:pPr>
        <w:spacing w:after="0" w:before="240"/>
      </w:pPr>
      <w:r>
        <w:t xml:space="preserve"/>
      </w:r>
    </w:p>
    <w:p>
      <w:pPr>
        <w:pStyle w:val="Heading1"/>
        <w:pBdr>
          <w:bottom w:val="single" w:color="1D4ED8" w:sz="4" w:space="3"/>
        </w:pBdr>
        <w:spacing w:after="100" w:before="360"/>
      </w:pPr>
      <w:r>
        <w:rPr>
          <w:rFonts w:ascii="Georgia" w:cs="Georgia" w:eastAsia="Georgia" w:hAnsi="Georgia"/>
          <w:b/>
          <w:bCs/>
          <w:color w:val="111827"/>
          <w:sz w:val="28"/>
          <w:szCs w:val="28"/>
        </w:rPr>
        <w:t xml:space="preserve">3. Identify the company from their IP address</w:t>
      </w:r>
    </w:p>
    <w:p>
      <w:pPr>
        <w:spacing w:after="60" w:before="60"/>
      </w:pPr>
      <w:r>
        <w:rPr>
          <w:rFonts w:ascii="Arial" w:cs="Arial" w:eastAsia="Arial" w:hAnsi="Arial"/>
          <w:color w:val="6B7280"/>
          <w:sz w:val="20"/>
          <w:szCs w:val="20"/>
        </w:rPr>
        <w:t xml:space="preserve">When an enterprise visitor opens the chat, they're usually on their company's network. We can hit Apollo's enrichment API with their IP and get back the company name, industry, size, and more — silently, in under 200ms.</w:t>
      </w:r>
    </w:p>
    <w:p>
      <w:pPr>
        <w:spacing w:after="0" w:before="80"/>
      </w:pPr>
      <w:r>
        <w:t xml:space="preserve"/>
      </w:r>
    </w:p>
    <w:p>
      <w:pPr>
        <w:pStyle w:val="ListParagraph"/>
        <w:numPr>
          <w:ilvl w:val="0"/>
          <w:numId w:val="2"/>
        </w:numPr>
        <w:spacing w:after="40" w:before="40"/>
      </w:pPr>
      <w:r>
        <w:rPr>
          <w:rFonts w:ascii="Arial" w:cs="Arial" w:eastAsia="Arial" w:hAnsi="Arial"/>
          <w:color w:val="6B7280"/>
          <w:sz w:val="20"/>
          <w:szCs w:val="20"/>
        </w:rPr>
        <w:t xml:space="preserve">Company name and website</w:t>
      </w:r>
    </w:p>
    <w:p>
      <w:pPr>
        <w:pStyle w:val="ListParagraph"/>
        <w:numPr>
          <w:ilvl w:val="0"/>
          <w:numId w:val="2"/>
        </w:numPr>
        <w:spacing w:after="40" w:before="40"/>
      </w:pPr>
      <w:r>
        <w:rPr>
          <w:rFonts w:ascii="Arial" w:cs="Arial" w:eastAsia="Arial" w:hAnsi="Arial"/>
          <w:color w:val="6B7280"/>
          <w:sz w:val="20"/>
          <w:szCs w:val="20"/>
        </w:rPr>
        <w:t xml:space="preserve">Industry and employee count range</w:t>
      </w:r>
    </w:p>
    <w:p>
      <w:pPr>
        <w:pStyle w:val="ListParagraph"/>
        <w:numPr>
          <w:ilvl w:val="0"/>
          <w:numId w:val="2"/>
        </w:numPr>
        <w:spacing w:after="40" w:before="40"/>
      </w:pPr>
      <w:r>
        <w:rPr>
          <w:rFonts w:ascii="Arial" w:cs="Arial" w:eastAsia="Arial" w:hAnsi="Arial"/>
          <w:color w:val="6B7280"/>
          <w:sz w:val="20"/>
          <w:szCs w:val="20"/>
        </w:rPr>
        <w:t xml:space="preserve">HQ location</w:t>
      </w:r>
    </w:p>
    <w:p>
      <w:pPr>
        <w:spacing w:after="0" w:before="80"/>
      </w:pPr>
      <w:r>
        <w:t xml:space="preserve"/>
      </w:r>
    </w:p>
    <w:p>
      <w:pPr>
        <w:spacing w:after="60" w:before="60"/>
      </w:pPr>
      <w:r>
        <w:rPr>
          <w:rFonts w:ascii="Arial" w:cs="Arial" w:eastAsia="Arial" w:hAnsi="Arial"/>
          <w:color w:val="6B7280"/>
          <w:sz w:val="20"/>
          <w:szCs w:val="20"/>
        </w:rPr>
        <w:t xml:space="preserve">We already have the Apollo integration (app/integrations/apollo.py). We just need to add one method that does an IP lookup and call it when a session starts.</w:t>
      </w:r>
    </w:p>
    <w:p>
      <w:pPr>
        <w:spacing w:after="0" w:before="80"/>
      </w:pPr>
      <w:r>
        <w:t xml:space="preserve"/>
      </w:r>
    </w:p>
    <w:p>
      <w:pPr>
        <w:spacing w:after="60" w:before="60"/>
      </w:pPr>
      <w:r>
        <w:rPr>
          <w:rFonts w:ascii="Arial" w:cs="Arial" w:eastAsia="Arial" w:hAnsi="Arial"/>
          <w:color w:val="6B7280"/>
          <w:sz w:val="20"/>
          <w:szCs w:val="20"/>
        </w:rPr>
        <w:t xml:space="preserve">The result gets cached in Redis (1 hour TTL) so we don't hit the API on every message.</w:t>
      </w:r>
    </w:p>
    <w:p>
      <w:pPr>
        <w:spacing w:after="0" w:before="80"/>
      </w:pPr>
      <w:r>
        <w:t xml:space="preserve"/>
      </w:r>
    </w:p>
    <w:p>
      <w:pPr>
        <w:spacing w:after="60" w:before="60"/>
      </w:pPr>
      <w:r>
        <w:rPr>
          <w:rFonts w:ascii="Arial" w:cs="Arial" w:eastAsia="Arial" w:hAnsi="Arial"/>
          <w:color w:val="6B7280"/>
          <w:sz w:val="20"/>
          <w:szCs w:val="20"/>
        </w:rPr>
        <w:t xml:space="preserve">Effort: about 1.5 days.  Low risk.  Works silently for ~60–70% of enterprise visitors.</w:t>
      </w:r>
    </w:p>
    <w:p>
      <w:pPr>
        <w:spacing w:after="0" w:before="240"/>
      </w:pPr>
      <w:r>
        <w:t xml:space="preserve"/>
      </w:r>
    </w:p>
    <w:p>
      <w:pPr>
        <w:pStyle w:val="Heading1"/>
        <w:pBdr>
          <w:bottom w:val="single" w:color="1D4ED8" w:sz="4" w:space="3"/>
        </w:pBdr>
        <w:spacing w:after="100" w:before="360"/>
      </w:pPr>
      <w:r>
        <w:rPr>
          <w:rFonts w:ascii="Georgia" w:cs="Georgia" w:eastAsia="Georgia" w:hAnsi="Georgia"/>
          <w:b/>
          <w:bCs/>
          <w:color w:val="111827"/>
          <w:sz w:val="28"/>
          <w:szCs w:val="28"/>
        </w:rPr>
        <w:t xml:space="preserve">4. Ask naturally, not like a form</w:t>
      </w:r>
    </w:p>
    <w:p>
      <w:pPr>
        <w:spacing w:after="60" w:before="60"/>
      </w:pPr>
      <w:r>
        <w:rPr>
          <w:rFonts w:ascii="Arial" w:cs="Arial" w:eastAsia="Arial" w:hAnsi="Arial"/>
          <w:color w:val="6B7280"/>
          <w:sz w:val="20"/>
          <w:szCs w:val="20"/>
        </w:rPr>
        <w:t xml:space="preserve">When we do need to ask something, the agent shouldn't sound like a lead form. Instead of "What is your company size?" it can ask "What scale are you building for?" — the answer is the same, but it feels like a conversation.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111827" w:sz="1"/>
              <w:left w:val="single" w:color="111827" w:sz="1"/>
              <w:bottom w:val="single" w:color="111827" w:sz="1"/>
              <w:right w:val="single" w:color="111827" w:sz="1"/>
            </w:tcBorders>
            <w:shd w:fill="111827" w:val="clear"/>
            <w:tcMar>
              <w:top w:type="dxa" w:w="100"/>
              <w:left w:type="dxa" w:w="160"/>
              <w:bottom w:type="dxa" w:w="100"/>
              <w:right w:type="dxa" w:w="120"/>
            </w:tcMar>
          </w:tcPr>
          <w:p>
            <w:pPr>
              <w:jc w:val="left"/>
            </w:pPr>
            <w:r>
              <w:rPr>
                <w:rFonts w:ascii="Arial" w:cs="Arial" w:eastAsia="Arial" w:hAnsi="Arial"/>
                <w:b/>
                <w:bCs/>
                <w:color w:val="FFFFFF"/>
                <w:sz w:val="19"/>
                <w:szCs w:val="19"/>
              </w:rPr>
              <w:t xml:space="preserve">Instead of asking...</w:t>
            </w:r>
          </w:p>
        </w:tc>
        <w:tc>
          <w:tcPr>
            <w:tcW w:type="dxa" w:w="4560"/>
            <w:tcBorders>
              <w:top w:val="single" w:color="111827" w:sz="1"/>
              <w:left w:val="single" w:color="111827" w:sz="1"/>
              <w:bottom w:val="single" w:color="111827" w:sz="1"/>
              <w:right w:val="single" w:color="111827" w:sz="1"/>
            </w:tcBorders>
            <w:shd w:fill="111827" w:val="clear"/>
            <w:tcMar>
              <w:top w:type="dxa" w:w="100"/>
              <w:left w:type="dxa" w:w="160"/>
              <w:bottom w:type="dxa" w:w="100"/>
              <w:right w:type="dxa" w:w="120"/>
            </w:tcMar>
          </w:tcPr>
          <w:p>
            <w:pPr>
              <w:jc w:val="left"/>
            </w:pPr>
            <w:r>
              <w:rPr>
                <w:rFonts w:ascii="Arial" w:cs="Arial" w:eastAsia="Arial" w:hAnsi="Arial"/>
                <w:b/>
                <w:bCs/>
                <w:color w:val="FFFFFF"/>
                <w:sz w:val="19"/>
                <w:szCs w:val="19"/>
              </w:rPr>
              <w:t xml:space="preserve">The agent can ask...</w:t>
            </w:r>
          </w:p>
        </w:tc>
      </w:tr>
      <w:tr>
        <w:tc>
          <w:tcPr>
            <w:tcW w:type="dxa" w:w="48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"What is your company size?"</w:t>
            </w:r>
          </w:p>
        </w:tc>
        <w:tc>
          <w:tcPr>
            <w:tcW w:type="dxa" w:w="456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"What scale are you building for?"</w:t>
            </w:r>
          </w:p>
        </w:tc>
      </w:tr>
      <w:tr>
        <w:tc>
          <w:tcPr>
            <w:tcW w:type="dxa" w:w="48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"What is your role?"</w:t>
            </w:r>
          </w:p>
        </w:tc>
        <w:tc>
          <w:tcPr>
            <w:tcW w:type="dxa" w:w="456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"Who else is involved in evaluating this?"</w:t>
            </w:r>
          </w:p>
        </w:tc>
      </w:tr>
      <w:tr>
        <w:tc>
          <w:tcPr>
            <w:tcW w:type="dxa" w:w="48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"What industry are you in?"</w:t>
            </w:r>
          </w:p>
        </w:tc>
        <w:tc>
          <w:tcPr>
            <w:tcW w:type="dxa" w:w="456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"What's the product you're building on top of this?"</w:t>
            </w:r>
          </w:p>
        </w:tc>
      </w:tr>
    </w:tbl>
    <w:p>
      <w:pPr>
        <w:spacing w:after="0" w:before="80"/>
      </w:pPr>
      <w:r>
        <w:t xml:space="preserve"/>
      </w:r>
    </w:p>
    <w:p>
      <w:pPr>
        <w:spacing w:after="60" w:before="60"/>
      </w:pPr>
      <w:r>
        <w:rPr>
          <w:rFonts w:ascii="Arial" w:cs="Arial" w:eastAsia="Arial" w:hAnsi="Arial"/>
          <w:color w:val="6B7280"/>
          <w:sz w:val="20"/>
          <w:szCs w:val="20"/>
        </w:rPr>
        <w:t xml:space="preserve">conversation_stage.py and intent_classifier.py already track conversation flow. We just need to add profiling logic that picks the right natural question at the right moment.</w:t>
      </w:r>
    </w:p>
    <w:p>
      <w:pPr>
        <w:spacing w:after="0" w:before="80"/>
      </w:pPr>
      <w:r>
        <w:t xml:space="preserve"/>
      </w:r>
    </w:p>
    <w:p>
      <w:pPr>
        <w:spacing w:after="60" w:before="60"/>
      </w:pPr>
      <w:r>
        <w:rPr>
          <w:rFonts w:ascii="Arial" w:cs="Arial" w:eastAsia="Arial" w:hAnsi="Arial"/>
          <w:color w:val="6B7280"/>
          <w:sz w:val="20"/>
          <w:szCs w:val="20"/>
        </w:rPr>
        <w:t xml:space="preserve">Effort: about 2 days.  Low risk.  Highest data quality of all four approaches.</w:t>
      </w:r>
    </w:p>
    <w:p>
      <w:pPr>
        <w:spacing w:after="0" w:before="240"/>
      </w:pPr>
      <w:r>
        <w:t xml:space="preserve"/>
      </w:r>
    </w:p>
    <w:p>
      <w:pPr>
        <w:pStyle w:val="Heading1"/>
        <w:pBdr>
          <w:bottom w:val="single" w:color="1D4ED8" w:sz="4" w:space="3"/>
        </w:pBdr>
        <w:spacing w:after="100" w:before="360"/>
      </w:pPr>
      <w:r>
        <w:rPr>
          <w:rFonts w:ascii="Georgia" w:cs="Georgia" w:eastAsia="Georgia" w:hAnsi="Georgia"/>
          <w:b/>
          <w:bCs/>
          <w:color w:val="111827"/>
          <w:sz w:val="28"/>
          <w:szCs w:val="28"/>
        </w:rPr>
        <w:t xml:space="preserve">What to build first</w:t>
      </w:r>
    </w:p>
    <w:p>
      <w:pPr>
        <w:spacing w:after="60" w:before="60"/>
      </w:pPr>
      <w:r>
        <w:rPr>
          <w:rFonts w:ascii="Arial" w:cs="Arial" w:eastAsia="Arial" w:hAnsi="Arial"/>
          <w:color w:val="6B7280"/>
          <w:sz w:val="20"/>
          <w:szCs w:val="20"/>
        </w:rPr>
        <w:t xml:space="preserve">These four approaches stack on top of each other. Here's the order that makes sense: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600"/>
        <w:gridCol w:w="2800"/>
      </w:tblGrid>
      <w:tr>
        <w:tc>
          <w:tcPr>
            <w:tcW w:type="dxa" w:w="800"/>
            <w:tcBorders>
              <w:top w:val="single" w:color="1D4ED8" w:sz="1"/>
              <w:left w:val="single" w:color="1D4ED8" w:sz="1"/>
              <w:bottom w:val="single" w:color="1D4ED8" w:sz="1"/>
              <w:right w:val="single" w:color="1D4ED8" w:sz="1"/>
            </w:tcBorders>
            <w:shd w:fill="1D4ED8" w:val="clear"/>
            <w:tcMar>
              <w:top w:type="dxa" w:w="100"/>
              <w:left w:type="dxa" w:w="160"/>
              <w:bottom w:type="dxa" w:w="100"/>
              <w:right w:type="dxa" w:w="120"/>
            </w:tcMar>
          </w:tcPr>
          <w:p>
            <w:pPr>
              <w:jc w:val="center"/>
            </w:pPr>
            <w:r>
              <w:rPr>
                <w:rFonts w:ascii="Arial" w:cs="Arial" w:eastAsia="Arial" w:hAnsi="Arial"/>
                <w:b/>
                <w:bCs/>
                <w:color w:val="FFFFFF"/>
                <w:sz w:val="19"/>
                <w:szCs w:val="19"/>
              </w:rPr>
              <w:t xml:space="preserve">#</w:t>
            </w:r>
          </w:p>
        </w:tc>
        <w:tc>
          <w:tcPr>
            <w:tcW w:type="dxa" w:w="4160"/>
            <w:tcBorders>
              <w:top w:val="single" w:color="1D4ED8" w:sz="1"/>
              <w:left w:val="single" w:color="1D4ED8" w:sz="1"/>
              <w:bottom w:val="single" w:color="1D4ED8" w:sz="1"/>
              <w:right w:val="single" w:color="1D4ED8" w:sz="1"/>
            </w:tcBorders>
            <w:shd w:fill="1D4ED8" w:val="clear"/>
            <w:tcMar>
              <w:top w:type="dxa" w:w="100"/>
              <w:left w:type="dxa" w:w="160"/>
              <w:bottom w:type="dxa" w:w="100"/>
              <w:right w:type="dxa" w:w="120"/>
            </w:tcMar>
          </w:tcPr>
          <w:p>
            <w:pPr>
              <w:jc w:val="left"/>
            </w:pPr>
            <w:r>
              <w:rPr>
                <w:rFonts w:ascii="Arial" w:cs="Arial" w:eastAsia="Arial" w:hAnsi="Arial"/>
                <w:b/>
                <w:bCs/>
                <w:color w:val="FFFFFF"/>
                <w:sz w:val="19"/>
                <w:szCs w:val="19"/>
              </w:rPr>
              <w:t xml:space="preserve">Approach</w:t>
            </w:r>
          </w:p>
        </w:tc>
        <w:tc>
          <w:tcPr>
            <w:tcW w:type="dxa" w:w="1600"/>
            <w:tcBorders>
              <w:top w:val="single" w:color="1D4ED8" w:sz="1"/>
              <w:left w:val="single" w:color="1D4ED8" w:sz="1"/>
              <w:bottom w:val="single" w:color="1D4ED8" w:sz="1"/>
              <w:right w:val="single" w:color="1D4ED8" w:sz="1"/>
            </w:tcBorders>
            <w:shd w:fill="1D4ED8" w:val="clear"/>
            <w:tcMar>
              <w:top w:type="dxa" w:w="100"/>
              <w:left w:type="dxa" w:w="160"/>
              <w:bottom w:type="dxa" w:w="100"/>
              <w:right w:type="dxa" w:w="120"/>
            </w:tcMar>
          </w:tcPr>
          <w:p>
            <w:pPr>
              <w:jc w:val="left"/>
            </w:pPr>
            <w:r>
              <w:rPr>
                <w:rFonts w:ascii="Arial" w:cs="Arial" w:eastAsia="Arial" w:hAnsi="Arial"/>
                <w:b/>
                <w:bCs/>
                <w:color w:val="FFFFFF"/>
                <w:sz w:val="19"/>
                <w:szCs w:val="19"/>
              </w:rPr>
              <w:t xml:space="preserve">Effort</w:t>
            </w:r>
          </w:p>
        </w:tc>
        <w:tc>
          <w:tcPr>
            <w:tcW w:type="dxa" w:w="2800"/>
            <w:tcBorders>
              <w:top w:val="single" w:color="1D4ED8" w:sz="1"/>
              <w:left w:val="single" w:color="1D4ED8" w:sz="1"/>
              <w:bottom w:val="single" w:color="1D4ED8" w:sz="1"/>
              <w:right w:val="single" w:color="1D4ED8" w:sz="1"/>
            </w:tcBorders>
            <w:shd w:fill="1D4ED8" w:val="clear"/>
            <w:tcMar>
              <w:top w:type="dxa" w:w="100"/>
              <w:left w:type="dxa" w:w="160"/>
              <w:bottom w:type="dxa" w:w="100"/>
              <w:right w:type="dxa" w:w="120"/>
            </w:tcMar>
          </w:tcPr>
          <w:p>
            <w:pPr>
              <w:jc w:val="left"/>
            </w:pPr>
            <w:r>
              <w:rPr>
                <w:rFonts w:ascii="Arial" w:cs="Arial" w:eastAsia="Arial" w:hAnsi="Arial"/>
                <w:b/>
                <w:bCs/>
                <w:color w:val="FFFFFF"/>
                <w:sz w:val="19"/>
                <w:szCs w:val="19"/>
              </w:rPr>
              <w:t xml:space="preserve">Why first</w:t>
            </w:r>
          </w:p>
        </w:tc>
      </w:tr>
      <w:tr>
        <w:tc>
          <w:tcPr>
            <w:tcW w:type="dxa" w:w="8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center"/>
            </w:pPr>
            <w:r>
              <w:rPr>
                <w:rFonts w:ascii="Arial" w:cs="Arial" w:eastAsia="Arial" w:hAnsi="Arial"/>
                <w:b/>
                <w:bCs/>
                <w:color w:val="1D4ED8"/>
                <w:sz w:val="19"/>
                <w:szCs w:val="19"/>
              </w:rPr>
              <w:t xml:space="preserve">1</w:t>
            </w:r>
          </w:p>
        </w:tc>
        <w:tc>
          <w:tcPr>
            <w:tcW w:type="dxa" w:w="416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Widget metadata capture</w:t>
            </w:r>
          </w:p>
        </w:tc>
        <w:tc>
          <w:tcPr>
            <w:tcW w:type="dxa" w:w="16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4 hours</w:t>
            </w:r>
          </w:p>
        </w:tc>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Zero risk, immediate value</w:t>
            </w:r>
          </w:p>
        </w:tc>
      </w:tr>
      <w:tr>
        <w:tc>
          <w:tcPr>
            <w:tcW w:type="dxa" w:w="8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center"/>
            </w:pPr>
            <w:r>
              <w:rPr>
                <w:rFonts w:ascii="Arial" w:cs="Arial" w:eastAsia="Arial" w:hAnsi="Arial"/>
                <w:b/>
                <w:bCs/>
                <w:color w:val="1D4ED8"/>
                <w:sz w:val="19"/>
                <w:szCs w:val="19"/>
              </w:rPr>
              <w:t xml:space="preserve">2</w:t>
            </w:r>
          </w:p>
        </w:tc>
        <w:tc>
          <w:tcPr>
            <w:tcW w:type="dxa" w:w="416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Conversational NLP extraction</w:t>
            </w:r>
          </w:p>
        </w:tc>
        <w:tc>
          <w:tcPr>
            <w:tcW w:type="dxa" w:w="16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1 day</w:t>
            </w:r>
          </w:p>
        </w:tc>
        <w:tc>
          <w:tcPr>
            <w:tcW w:type="dxa" w:w="28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Enriches every single conversation</w:t>
            </w:r>
          </w:p>
        </w:tc>
      </w:tr>
      <w:tr>
        <w:tc>
          <w:tcPr>
            <w:tcW w:type="dxa" w:w="8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center"/>
            </w:pPr>
            <w:r>
              <w:rPr>
                <w:rFonts w:ascii="Arial" w:cs="Arial" w:eastAsia="Arial" w:hAnsi="Arial"/>
                <w:b/>
                <w:bCs/>
                <w:color w:val="1D4ED8"/>
                <w:sz w:val="19"/>
                <w:szCs w:val="19"/>
              </w:rPr>
              <w:t xml:space="preserve">3</w:t>
            </w:r>
          </w:p>
        </w:tc>
        <w:tc>
          <w:tcPr>
            <w:tcW w:type="dxa" w:w="416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IP company identification</w:t>
            </w:r>
          </w:p>
        </w:tc>
        <w:tc>
          <w:tcPr>
            <w:tcW w:type="dxa" w:w="16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1.5 days</w:t>
            </w:r>
          </w:p>
        </w:tc>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Biggest wow factor — agent knows company before hello</w:t>
            </w:r>
          </w:p>
        </w:tc>
      </w:tr>
      <w:tr>
        <w:tc>
          <w:tcPr>
            <w:tcW w:type="dxa" w:w="8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center"/>
            </w:pPr>
            <w:r>
              <w:rPr>
                <w:rFonts w:ascii="Arial" w:cs="Arial" w:eastAsia="Arial" w:hAnsi="Arial"/>
                <w:b/>
                <w:bCs/>
                <w:color w:val="1D4ED8"/>
                <w:sz w:val="19"/>
                <w:szCs w:val="19"/>
              </w:rPr>
              <w:t xml:space="preserve">4</w:t>
            </w:r>
          </w:p>
        </w:tc>
        <w:tc>
          <w:tcPr>
            <w:tcW w:type="dxa" w:w="416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Progressive profiling questions</w:t>
            </w:r>
          </w:p>
        </w:tc>
        <w:tc>
          <w:tcPr>
            <w:tcW w:type="dxa" w:w="16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2 days</w:t>
            </w:r>
          </w:p>
        </w:tc>
        <w:tc>
          <w:tcPr>
            <w:tcW w:type="dxa" w:w="28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pPr>
              <w:jc w:val="left"/>
            </w:pPr>
            <w:r>
              <w:rPr>
                <w:rFonts w:ascii="Arial" w:cs="Arial" w:eastAsia="Arial" w:hAnsi="Arial"/>
                <w:b w:val="false"/>
                <w:bCs w:val="false"/>
                <w:color w:val="6B7280"/>
                <w:sz w:val="19"/>
                <w:szCs w:val="19"/>
              </w:rPr>
              <w:t xml:space="preserve">Best long-term CRM data quality</w:t>
            </w:r>
          </w:p>
        </w:tc>
      </w:tr>
    </w:tbl>
    <w:p>
      <w:pPr>
        <w:spacing w:after="0" w:before="160"/>
      </w:pPr>
      <w:r>
        <w:t xml:space="preserve"/>
      </w:r>
    </w:p>
    <w:p>
      <w:pPr>
        <w:spacing w:after="60" w:before="60"/>
      </w:pPr>
      <w:r>
        <w:rPr>
          <w:rFonts w:ascii="Arial" w:cs="Arial" w:eastAsia="Arial" w:hAnsi="Arial"/>
          <w:b w:val="false"/>
          <w:bCs w:val="false"/>
          <w:color w:val="6B7280"/>
          <w:sz w:val="20"/>
          <w:szCs w:val="20"/>
        </w:rPr>
        <w:t xml:space="preserve">Total estimated effort: ~5 days across two sprints. No new infrastructure needed — all of this builds on what's already there.</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June 2026  ·  For CTO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3" w:space="2"/>
      </w:pBdr>
      <w:spacing w:after="100"/>
      <w:jc w:val="right"/>
    </w:pPr>
    <w:r>
      <w:rPr>
        <w:rFonts w:ascii="Arial" w:cs="Arial" w:eastAsia="Arial" w:hAnsi="Arial"/>
        <w:color w:val="9CA3AF"/>
        <w:sz w:val="16"/>
        <w:szCs w:val="16"/>
      </w:rPr>
      <w:t xml:space="preserve">Mobcoder Sales Agent  ·  Internal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1D4ED8"/>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Georgia" w:cs="Georgia" w:eastAsia="Georgia" w:hAnsi="Georgia"/>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2026-06-12T11:46:02.434Z</dcterms:created>
  <dcterms:modified xsi:type="dcterms:W3CDTF">2026-06-12T11:46:02.434Z</dcterms:modified>
</cp:coreProperties>
</file>

<file path=docProps/custom.xml><?xml version="1.0" encoding="utf-8"?>
<Properties xmlns="http://schemas.openxmlformats.org/officeDocument/2006/custom-properties" xmlns:vt="http://schemas.openxmlformats.org/officeDocument/2006/docPropsVTypes"/>
</file>