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B2545"/>
          <w:sz w:val="44"/>
        </w:rPr>
        <w:t>EndoClean: Capsule Endoscopy Image Denoising and Classification</w:t>
      </w:r>
    </w:p>
    <w:p>
      <w:pPr>
        <w:spacing w:after="400"/>
      </w:pPr>
      <w:r>
        <w:rPr>
          <w:rFonts w:ascii="Calibri" w:hAnsi="Calibri"/>
          <w:i/>
          <w:color w:val="134074"/>
          <w:sz w:val="26"/>
        </w:rPr>
        <w:t>Comprehensive Technical Architecture, Line-by-Line Code Walkthrough, and Academic Viva Defense Report</w:t>
      </w:r>
    </w:p>
    <w:tbl>
      <w:tblPr>
        <w:tblW w:type="auto" w:w="0"/>
        <w:jc w:val="center"/>
        <w:tblLook w:firstColumn="1" w:firstRow="1" w:lastColumn="0" w:lastRow="0" w:noHBand="0" w:noVBand="1" w:val="04A0"/>
      </w:tblPr>
      <w:tblGrid>
        <w:gridCol w:w="4680"/>
        <w:gridCol w:w="4680"/>
      </w:tblGrid>
      <w:tr>
        <w:tc>
          <w:tcPr>
            <w:tcW w:type="dxa" w:w="4680"/>
            <w:shd w:fill="F0F4F8"/>
            <w:tcMar>
              <w:top w:w="60" w:type="dxa"/>
              <w:bottom w:w="60" w:type="dxa"/>
              <w:left w:w="100" w:type="dxa"/>
              <w:right w:w="100" w:type="dxa"/>
            </w:tcMar>
          </w:tcPr>
          <w:p>
            <w:r>
              <w:rPr>
                <w:b/>
                <w:color w:val="0B2545"/>
              </w:rPr>
              <w:t>Project Title:</w:t>
            </w:r>
          </w:p>
        </w:tc>
        <w:tc>
          <w:tcPr>
            <w:tcW w:type="dxa" w:w="4680"/>
            <w:shd w:fill="FFFFFF"/>
            <w:tcMar>
              <w:top w:w="60" w:type="dxa"/>
              <w:bottom w:w="60" w:type="dxa"/>
              <w:left w:w="100" w:type="dxa"/>
              <w:right w:w="100" w:type="dxa"/>
            </w:tcMar>
          </w:tcPr>
          <w:p>
            <w:r>
              <w:t>EndoClean: PDE-Based Anisotropic Diffusion for Medical Capsule Endoscopy</w:t>
            </w:r>
          </w:p>
        </w:tc>
      </w:tr>
      <w:tr>
        <w:tc>
          <w:tcPr>
            <w:tcW w:type="dxa" w:w="4680"/>
            <w:shd w:fill="F0F4F8"/>
            <w:tcMar>
              <w:top w:w="60" w:type="dxa"/>
              <w:bottom w:w="60" w:type="dxa"/>
              <w:left w:w="100" w:type="dxa"/>
              <w:right w:w="100" w:type="dxa"/>
            </w:tcMar>
          </w:tcPr>
          <w:p>
            <w:r>
              <w:rPr>
                <w:b/>
                <w:color w:val="0B2545"/>
              </w:rPr>
              <w:t>Dataset:</w:t>
            </w:r>
          </w:p>
        </w:tc>
        <w:tc>
          <w:tcPr>
            <w:tcW w:type="dxa" w:w="4680"/>
            <w:shd w:fill="FFFFFF"/>
            <w:tcMar>
              <w:top w:w="60" w:type="dxa"/>
              <w:bottom w:w="60" w:type="dxa"/>
              <w:left w:w="100" w:type="dxa"/>
              <w:right w:w="100" w:type="dxa"/>
            </w:tcMar>
          </w:tcPr>
          <w:p>
            <w:r>
              <w:t>Kvasir-Capsule (5 Target Classes: Normal, Angiectasia, Ulcer, Blood, Erosion)</w:t>
            </w:r>
          </w:p>
        </w:tc>
      </w:tr>
      <w:tr>
        <w:tc>
          <w:tcPr>
            <w:tcW w:type="dxa" w:w="4680"/>
            <w:shd w:fill="F0F4F8"/>
            <w:tcMar>
              <w:top w:w="60" w:type="dxa"/>
              <w:bottom w:w="60" w:type="dxa"/>
              <w:left w:w="100" w:type="dxa"/>
              <w:right w:w="100" w:type="dxa"/>
            </w:tcMar>
          </w:tcPr>
          <w:p>
            <w:r>
              <w:rPr>
                <w:b/>
                <w:color w:val="0B2545"/>
              </w:rPr>
              <w:t>Key Technologies:</w:t>
            </w:r>
          </w:p>
        </w:tc>
        <w:tc>
          <w:tcPr>
            <w:tcW w:type="dxa" w:w="4680"/>
            <w:shd w:fill="FFFFFF"/>
            <w:tcMar>
              <w:top w:w="60" w:type="dxa"/>
              <w:bottom w:w="60" w:type="dxa"/>
              <w:left w:w="100" w:type="dxa"/>
              <w:right w:w="100" w:type="dxa"/>
            </w:tcMar>
          </w:tcPr>
          <w:p>
            <w:r>
              <w:t>Python 3.13, PyTorch 2.x, OpenCV, Albumentations, Streamlit, ResNet50, Grad-CAM</w:t>
            </w:r>
          </w:p>
        </w:tc>
      </w:tr>
      <w:tr>
        <w:tc>
          <w:tcPr>
            <w:tcW w:type="dxa" w:w="4680"/>
            <w:shd w:fill="F0F4F8"/>
            <w:tcMar>
              <w:top w:w="60" w:type="dxa"/>
              <w:bottom w:w="60" w:type="dxa"/>
              <w:left w:w="100" w:type="dxa"/>
              <w:right w:w="100" w:type="dxa"/>
            </w:tcMar>
          </w:tcPr>
          <w:p>
            <w:r>
              <w:rPr>
                <w:b/>
                <w:color w:val="0B2545"/>
              </w:rPr>
              <w:t>Core Objective:</w:t>
            </w:r>
          </w:p>
        </w:tc>
        <w:tc>
          <w:tcPr>
            <w:tcW w:type="dxa" w:w="4680"/>
            <w:shd w:fill="FFFFFF"/>
            <w:tcMar>
              <w:top w:w="60" w:type="dxa"/>
              <w:bottom w:w="60" w:type="dxa"/>
              <w:left w:w="100" w:type="dxa"/>
              <w:right w:w="100" w:type="dxa"/>
            </w:tcMar>
          </w:tcPr>
          <w:p>
            <w:r>
              <w:t>Investigate if non-linear Perona-Malik PDE diffusion improves CNN diagnostic accuracy &amp; explainability</w:t>
            </w:r>
          </w:p>
        </w:tc>
      </w:tr>
    </w:tbl>
    <w:p>
      <w:pPr>
        <w:spacing w:after="320"/>
      </w:pPr>
    </w:p>
    <w:p>
      <w:pPr>
        <w:keepNext/>
        <w:spacing w:before="360" w:after="120"/>
      </w:pPr>
      <w:r>
        <w:rPr>
          <w:rFonts w:ascii="Arial" w:hAnsi="Arial"/>
          <w:b/>
          <w:color w:val="0B2545"/>
          <w:sz w:val="32"/>
        </w:rPr>
        <w:t>1. Executive Summary &amp; Clinical Motivation</w:t>
      </w:r>
    </w:p>
    <w:p>
      <w:r>
        <w:t>Wireless Capsule Endoscopy (WCE) represents a revolutionary diagnostic modality in gastroenterology. A patient swallows a pill-sized capsule containing an optical sensor, LED light sources, a miniature CMOS camera, and a wireless transmitter. As the capsule naturally propels along the gastrointestinal (GI) tract via peristalsis, it records 50,000 to 100,000 high-resolution frames over an 8- to 10-hour examination. This provides complete non-invasive visualization of the small intestine—an anatomical territory out of reach for traditional upper gastroscopy or colonoscopy.</w:t>
      </w:r>
    </w:p>
    <w:p>
      <w:r>
        <w:t>However, clinical translation faces severe operational challenges. Reviewing tens of thousands of frames per patient imposes intense cognitive fatigue on gastroenterologists (taking 45 to 120 minutes per patient), yielding human miss rates as high as 15-20% for subtle or transient pathologies such as small angiectasias, early mucosal erosions, and occult bleeding. Automated Computer-Aided Diagnosis (CAD) via Convolutional Neural Networks (CNNs) has emerged as an essential solution, yet deep learning models are critically vulnerable to the physical noise inherent to capsule endoscopy.</w:t>
      </w:r>
    </w:p>
    <w:tbl>
      <w:tblPr>
        <w:tblW w:type="auto" w:w="0"/>
        <w:jc w:val="center"/>
        <w:tblLook w:firstColumn="1" w:firstRow="1" w:lastColumn="0" w:lastRow="0" w:noHBand="0" w:noVBand="1" w:val="04A0"/>
      </w:tblPr>
      <w:tblGrid>
        <w:gridCol w:w="9360"/>
      </w:tblGrid>
      <w:tr>
        <w:tc>
          <w:tcPr>
            <w:tcW w:type="dxa" w:w="9360"/>
            <w:shd w:fill="F7F9FC"/>
            <w:tcMar>
              <w:top w:w="120" w:type="dxa"/>
              <w:bottom w:w="120" w:type="dxa"/>
              <w:left w:w="160" w:type="dxa"/>
              <w:right w:w="160" w:type="dxa"/>
            </w:tcMar>
          </w:tcPr>
          <w:p>
            <w:pPr>
              <w:spacing w:after="80"/>
            </w:pPr>
            <w:r>
              <w:rPr>
                <w:b/>
                <w:color w:val="0B2545"/>
              </w:rPr>
              <w:t>The Core Clinical Problem &amp; Trade-off</w:t>
              <w:br/>
            </w:r>
            <w:r>
              <w:rPr>
                <w:sz w:val="21"/>
              </w:rPr>
              <w:t>The digestive lumen is an unconstrained, turbulent environment filled with bile, chyme, bubbles, specular camera reflections, and uneven peristaltic illumination. Standard linear smoothing filters (such as Gaussian blur) succeed in removing high-frequency noise, but they indiscriminately blur the sharp, delicate anatomical boundaries of lesions (ulcer margins, vascular networks). When lesion edges are eroded by Gaussian filtering, downstream deep learning classifiers lose the high-frequency spatial gradients needed to distinguish pathology from healthy tissue.</w:t>
            </w:r>
          </w:p>
        </w:tc>
      </w:tr>
    </w:tbl>
    <w:p>
      <w:pPr>
        <w:spacing w:after="160"/>
      </w:pPr>
    </w:p>
    <w:p>
      <w:r>
        <w:t>This project, EndoClean, investigates whether non-linear Partial Differential Equation (PDE) anisotropic diffusion (the Perona-Malik model) serves as an edge-preserving filter that eliminates lumen noise while maintaining lesion boundaries, thereby boosting CNN classification accuracy, Macro F1-score, and Grad-CAM explainability compared to raw images and standard isotropic Gaussian baselines.</w:t>
      </w:r>
    </w:p>
    <w:p>
      <w:pPr>
        <w:keepNext/>
        <w:spacing w:before="360" w:after="120"/>
      </w:pPr>
      <w:r>
        <w:rPr>
          <w:rFonts w:ascii="Arial" w:hAnsi="Arial"/>
          <w:b/>
          <w:color w:val="0B2545"/>
          <w:sz w:val="32"/>
        </w:rPr>
        <w:t>2. Mathematical Foundations: PDE Anisotropic Diffusion vs. Gaussian Filtering</w:t>
      </w:r>
    </w:p>
    <w:p>
      <w:pPr>
        <w:keepNext/>
        <w:spacing w:before="280" w:after="80"/>
      </w:pPr>
      <w:r>
        <w:rPr>
          <w:rFonts w:ascii="Arial" w:hAnsi="Arial"/>
          <w:b/>
          <w:color w:val="134074"/>
          <w:sz w:val="26"/>
        </w:rPr>
        <w:t>2.1 The Failure of Isotropic Linear Diffusion (Heat Equation / Gaussian Blur)</w:t>
      </w:r>
    </w:p>
    <w:p>
      <w:r>
        <w:t>Standard image smoothing is governed by the classical linear isotropic heat diffusion equation in two spatial dimensions:</w:t>
      </w:r>
    </w:p>
    <w:tbl>
      <w:tblPr>
        <w:tblW w:type="auto" w:w="0"/>
        <w:jc w:val="center"/>
        <w:tblLook w:firstColumn="1" w:firstRow="1" w:lastColumn="0" w:lastRow="0" w:noHBand="0" w:noVBand="1" w:val="04A0"/>
      </w:tblPr>
      <w:tblGrid>
        <w:gridCol w:w="9360"/>
      </w:tblGrid>
      <w:tr>
        <w:tc>
          <w:tcPr>
            <w:tcW w:type="dxa" w:w="9360"/>
            <w:shd w:fill="F3F4F6"/>
            <w:tcMar>
              <w:top w:w="100" w:type="dxa"/>
              <w:bottom w:w="100" w:type="dxa"/>
              <w:left w:w="140" w:type="dxa"/>
              <w:right w:w="140" w:type="dxa"/>
            </w:tcMar>
          </w:tcPr>
          <w:p>
            <w:pPr>
              <w:spacing w:after="0"/>
            </w:pPr>
            <w:r>
              <w:rPr>
                <w:rFonts w:ascii="Consolas" w:hAnsi="Consolas"/>
                <w:color w:val="141E2D"/>
                <w:sz w:val="19"/>
              </w:rPr>
              <w:t>∂I/∂t = ΔI = ∇²I = ∂²I/∂x² + ∂²I/∂y²</w:t>
            </w:r>
          </w:p>
        </w:tc>
      </w:tr>
    </w:tbl>
    <w:p>
      <w:pPr>
        <w:spacing w:after="120"/>
      </w:pPr>
    </w:p>
    <w:p>
      <w:r>
        <w:t>The fundamental analytical solution to this linear PDE, with initial condition I(x, y, 0) = I_0(x, y), is the exact convolution of the image with a 2D Gaussian kernel G_σ(x, y) where the spatial scale parameter σ relates to diffusion time by t = σ² / 2. Because diffusion is isotropic (homogeneous across all spatial coordinates), diffusion occurs uniformly across flat regions and steep edge boundaries alike. In endoscopy, this erodes the high-contrast transition between red vascular lesions and pink mucosa, destroying fine diagnostic structures.</w:t>
      </w:r>
    </w:p>
    <w:p>
      <w:pPr>
        <w:keepNext/>
        <w:spacing w:before="280" w:after="80"/>
      </w:pPr>
      <w:r>
        <w:rPr>
          <w:rFonts w:ascii="Arial" w:hAnsi="Arial"/>
          <w:b/>
          <w:color w:val="134074"/>
          <w:sz w:val="26"/>
        </w:rPr>
        <w:t>2.2 The Perona-Malik Non-Linear Anisotropic Diffusion Model</w:t>
      </w:r>
    </w:p>
    <w:p>
      <w:r>
        <w:t>In 1990, Pietro Perona and Jitendra Malik formulated a non-linear, inhomogeneous PDE that modulates diffusion based on the local gradient magnitude ||∇I||. The continuous Perona-Malik diffusion equation is defined as:</w:t>
      </w:r>
    </w:p>
    <w:tbl>
      <w:tblPr>
        <w:tblW w:type="auto" w:w="0"/>
        <w:jc w:val="center"/>
        <w:tblLook w:firstColumn="1" w:firstRow="1" w:lastColumn="0" w:lastRow="0" w:noHBand="0" w:noVBand="1" w:val="04A0"/>
      </w:tblPr>
      <w:tblGrid>
        <w:gridCol w:w="9360"/>
      </w:tblGrid>
      <w:tr>
        <w:tc>
          <w:tcPr>
            <w:tcW w:type="dxa" w:w="9360"/>
            <w:shd w:fill="F3F4F6"/>
            <w:tcMar>
              <w:top w:w="100" w:type="dxa"/>
              <w:bottom w:w="100" w:type="dxa"/>
              <w:left w:w="140" w:type="dxa"/>
              <w:right w:w="140" w:type="dxa"/>
            </w:tcMar>
          </w:tcPr>
          <w:p>
            <w:pPr>
              <w:spacing w:after="0"/>
            </w:pPr>
            <w:r>
              <w:rPr>
                <w:rFonts w:ascii="Consolas" w:hAnsi="Consolas"/>
                <w:color w:val="141E2D"/>
                <w:sz w:val="19"/>
              </w:rPr>
              <w:t>∂I/∂t = div( c(||∇I||) ∇I ) = c(||∇I||) ΔI + ∇c · ∇I</w:t>
            </w:r>
          </w:p>
        </w:tc>
      </w:tr>
    </w:tbl>
    <w:p>
      <w:pPr>
        <w:spacing w:after="120"/>
      </w:pPr>
    </w:p>
    <w:p>
      <w:r>
        <w:t>Where c(||∇I||) is the non-negative scalar conductance coefficient. The fundamental constraints on c(·) are:</w:t>
        <w:br/>
        <w:t>1. c(0) = 1: In uniform, flat areas (low gradient), diffusion operates at maximum speed to smooth out sensor noise and fluid sheen.</w:t>
        <w:br/>
        <w:t>2. lim_{||∇I|| -&gt; ∞} c(||∇I||) = 0: At steep intensity boundaries (high gradient), diffusion drops to zero, halting smoothing and preserving edges.</w:t>
      </w:r>
    </w:p>
    <w:p>
      <w:pPr>
        <w:keepNext/>
        <w:spacing w:before="200" w:after="40"/>
      </w:pPr>
      <w:r>
        <w:rPr>
          <w:rFonts w:ascii="Calibri" w:hAnsi="Calibri"/>
          <w:b/>
          <w:color w:val="232832"/>
          <w:sz w:val="23"/>
        </w:rPr>
        <w:t>Conductance Formulations Implemented in EndoClean:</w:t>
      </w:r>
    </w:p>
    <w:p>
      <w:r>
        <w:t>Our codebase implements both classic Perona-Malik conductance options in src/denoising.py:</w:t>
      </w:r>
    </w:p>
    <w:tbl>
      <w:tblPr>
        <w:tblW w:type="auto" w:w="0"/>
        <w:jc w:val="center"/>
        <w:tblLook w:firstColumn="1" w:firstRow="1" w:lastColumn="0" w:lastRow="0" w:noHBand="0" w:noVBand="1" w:val="04A0"/>
      </w:tblPr>
      <w:tblGrid>
        <w:gridCol w:w="9360"/>
      </w:tblGrid>
      <w:tr>
        <w:tc>
          <w:tcPr>
            <w:tcW w:type="dxa" w:w="9360"/>
            <w:shd w:fill="F3F4F6"/>
            <w:tcMar>
              <w:top w:w="100" w:type="dxa"/>
              <w:bottom w:w="100" w:type="dxa"/>
              <w:left w:w="140" w:type="dxa"/>
              <w:right w:w="140" w:type="dxa"/>
            </w:tcMar>
          </w:tcPr>
          <w:p>
            <w:pPr>
              <w:spacing w:after="0"/>
            </w:pPr>
            <w:r>
              <w:rPr>
                <w:rFonts w:ascii="Consolas" w:hAnsi="Consolas"/>
                <w:color w:val="141E2D"/>
                <w:sz w:val="19"/>
              </w:rPr>
              <w:t>Option 1 (Exponential):</w:t>
              <w:br/>
              <w:t>c(||∇I||) = exp( - ( ||∇I|| / κ )² )</w:t>
              <w:br/>
              <w:br/>
              <w:t>Option 2 (Quadratic / Cauchy):</w:t>
              <w:br/>
              <w:t>c(||∇I||) = 1 / ( 1 + ( ||∇I|| / κ )² )</w:t>
            </w:r>
          </w:p>
        </w:tc>
      </w:tr>
    </w:tbl>
    <w:p>
      <w:pPr>
        <w:spacing w:after="120"/>
      </w:pPr>
    </w:p>
    <w:p>
      <w:r>
        <w:t>The parameter κ (Kappa) is the gradient threshold (contrast parameter). Gradients significantly lower than κ are designated as noise and smoothed; gradients significantly higher than κ are recognized as anatomical boundaries and preserved. Through empirical grid search tuning in src/tune_denoising.py, Option 1 with κ = 30 and 15 iterations yielded optimal PSNR and SSIM.</w:t>
      </w:r>
    </w:p>
    <w:p>
      <w:pPr>
        <w:keepNext/>
        <w:spacing w:before="280" w:after="80"/>
      </w:pPr>
      <w:r>
        <w:rPr>
          <w:rFonts w:ascii="Arial" w:hAnsi="Arial"/>
          <w:b/>
          <w:color w:val="134074"/>
          <w:sz w:val="26"/>
        </w:rPr>
        <w:t>2.3 2D Numerical Lattice Discretization &amp; Stability Criterion</w:t>
      </w:r>
    </w:p>
    <w:p>
      <w:r>
        <w:t>On a discrete pixel grid (i, j), continuous spatial derivatives are approximated using four-directional finite differences (North, South, East, West):</w:t>
      </w:r>
    </w:p>
    <w:tbl>
      <w:tblPr>
        <w:tblW w:type="auto" w:w="0"/>
        <w:jc w:val="center"/>
        <w:tblLook w:firstColumn="1" w:firstRow="1" w:lastColumn="0" w:lastRow="0" w:noHBand="0" w:noVBand="1" w:val="04A0"/>
      </w:tblPr>
      <w:tblGrid>
        <w:gridCol w:w="9360"/>
      </w:tblGrid>
      <w:tr>
        <w:tc>
          <w:tcPr>
            <w:tcW w:type="dxa" w:w="9360"/>
            <w:shd w:fill="F3F4F6"/>
            <w:tcMar>
              <w:top w:w="100" w:type="dxa"/>
              <w:bottom w:w="100" w:type="dxa"/>
              <w:left w:w="140" w:type="dxa"/>
              <w:right w:w="140" w:type="dxa"/>
            </w:tcMar>
          </w:tcPr>
          <w:p>
            <w:pPr>
              <w:spacing w:after="0"/>
            </w:pPr>
            <w:r>
              <w:rPr>
                <w:rFonts w:ascii="Consolas" w:hAnsi="Consolas"/>
                <w:color w:val="141E2D"/>
                <w:sz w:val="19"/>
              </w:rPr>
              <w:t>∇_N I_{i,j} = I_{i-1,j} - I_{i,j}    (North difference)</w:t>
              <w:br/>
              <w:t>∇_S I_{i,j} = I_{i+1,j} - I_{i,j}    (South difference)</w:t>
              <w:br/>
              <w:t>∇_E I_{i,j} = I_{i,j+1} - I_{i,j}    (East difference)</w:t>
              <w:br/>
              <w:t>∇_W I_{i,j} = I_{i,j-1} - I_{i,j}    (West difference)</w:t>
            </w:r>
          </w:p>
        </w:tc>
      </w:tr>
    </w:tbl>
    <w:p>
      <w:pPr>
        <w:spacing w:after="120"/>
      </w:pPr>
    </w:p>
    <w:p>
      <w:r>
        <w:t>The discrete time-stepping iterative update via explicit forward Euler integration is:</w:t>
      </w:r>
    </w:p>
    <w:tbl>
      <w:tblPr>
        <w:tblW w:type="auto" w:w="0"/>
        <w:jc w:val="center"/>
        <w:tblLook w:firstColumn="1" w:firstRow="1" w:lastColumn="0" w:lastRow="0" w:noHBand="0" w:noVBand="1" w:val="04A0"/>
      </w:tblPr>
      <w:tblGrid>
        <w:gridCol w:w="9360"/>
      </w:tblGrid>
      <w:tr>
        <w:tc>
          <w:tcPr>
            <w:tcW w:type="dxa" w:w="9360"/>
            <w:shd w:fill="F3F4F6"/>
            <w:tcMar>
              <w:top w:w="100" w:type="dxa"/>
              <w:bottom w:w="100" w:type="dxa"/>
              <w:left w:w="140" w:type="dxa"/>
              <w:right w:w="140" w:type="dxa"/>
            </w:tcMar>
          </w:tcPr>
          <w:p>
            <w:pPr>
              <w:spacing w:after="0"/>
            </w:pPr>
            <w:r>
              <w:rPr>
                <w:rFonts w:ascii="Consolas" w:hAnsi="Consolas"/>
                <w:color w:val="141E2D"/>
                <w:sz w:val="19"/>
              </w:rPr>
              <w:t>I_{i,j}^{t+1} = I_{i,j}^t + λ · [ c_N·∇_N I + c_S·∇_S I + c_E·∇_E I + c_W·∇_W I ]</w:t>
            </w:r>
          </w:p>
        </w:tc>
      </w:tr>
    </w:tbl>
    <w:p>
      <w:pPr>
        <w:spacing w:after="120"/>
      </w:pPr>
    </w:p>
    <w:p>
      <w:r>
        <w:t>Courant-Friedrichs-Lewy (CFL) Stability Condition: For an explicit Euler scheme on a 2D 4-neighborhood square lattice, numerical stability strictly requires λ ≤ 1/4 = 0.25. Setting λ &gt; 0.25 leads to unbounded numerical oscillations and pixel intensity explosion. In our implementation, we enforce λ = γ = 0.15, guaranteeing robust numerical stability.</w:t>
      </w:r>
    </w:p>
    <w:p>
      <w:pPr>
        <w:keepNext/>
        <w:spacing w:before="360" w:after="120"/>
      </w:pPr>
      <w:r>
        <w:rPr>
          <w:rFonts w:ascii="Arial" w:hAnsi="Arial"/>
          <w:b/>
          <w:color w:val="0B2545"/>
          <w:sz w:val="32"/>
        </w:rPr>
        <w:t>3. Medical Machine Learning Methodology &amp; Rigor</w:t>
      </w:r>
    </w:p>
    <w:p>
      <w:pPr>
        <w:keepNext/>
        <w:spacing w:before="280" w:after="80"/>
      </w:pPr>
      <w:r>
        <w:rPr>
          <w:rFonts w:ascii="Arial" w:hAnsi="Arial"/>
          <w:b/>
          <w:color w:val="134074"/>
          <w:sz w:val="26"/>
        </w:rPr>
        <w:t>3.1 Prevention of Patient-Wise Data Leakage</w:t>
      </w:r>
    </w:p>
    <w:p>
      <w:r>
        <w:t>Data leakage is the most prevalent flaw in published medical AI literature. In capsule endoscopy videos recorded at 2 to 6 frames per second, consecutive images from the same patient share identical illumination, intestinal anatomy, mucosal color, and camera angle. If images are split randomly (e.g. using naive train_test_split), frames from Patient X will appear in both training and test sets. The neural network memorizes Patient X's specific camera glare and mucosal tint rather than learning generalized disease features. This yields artificially high (~98%) test accuracy that collapses completely when evaluated on real external patients.</w:t>
      </w:r>
    </w:p>
    <w:tbl>
      <w:tblPr>
        <w:tblW w:type="auto" w:w="0"/>
        <w:jc w:val="center"/>
        <w:tblLook w:firstColumn="1" w:firstRow="1" w:lastColumn="0" w:lastRow="0" w:noHBand="0" w:noVBand="1" w:val="04A0"/>
      </w:tblPr>
      <w:tblGrid>
        <w:gridCol w:w="9360"/>
      </w:tblGrid>
      <w:tr>
        <w:tc>
          <w:tcPr>
            <w:tcW w:type="dxa" w:w="9360"/>
            <w:shd w:fill="F7F9FC"/>
            <w:tcMar>
              <w:top w:w="120" w:type="dxa"/>
              <w:bottom w:w="120" w:type="dxa"/>
              <w:left w:w="160" w:type="dxa"/>
              <w:right w:w="160" w:type="dxa"/>
            </w:tcMar>
          </w:tcPr>
          <w:p>
            <w:pPr>
              <w:spacing w:after="80"/>
            </w:pPr>
            <w:r>
              <w:rPr>
                <w:b/>
                <w:color w:val="0B2545"/>
              </w:rPr>
              <w:t>Our Solution: Video-Wise GroupShuffleSplit</w:t>
              <w:br/>
            </w:r>
            <w:r>
              <w:rPr>
                <w:sz w:val="21"/>
              </w:rPr>
              <w:t>In src/dataset.py, we implement create_patient_split() using Scikit-Learn's GroupShuffleSplit keyed strictly on 'video_id'. All frames from any individual video stay entirely within either Train (70%), Validation (15%), or Test (15%). The test dataset is composed exclusively of unseen patient videos.</w:t>
            </w:r>
          </w:p>
        </w:tc>
      </w:tr>
    </w:tbl>
    <w:p>
      <w:pPr>
        <w:spacing w:after="160"/>
      </w:pPr>
    </w:p>
    <w:p>
      <w:pPr>
        <w:keepNext/>
        <w:spacing w:before="280" w:after="80"/>
      </w:pPr>
      <w:r>
        <w:rPr>
          <w:rFonts w:ascii="Arial" w:hAnsi="Arial"/>
          <w:b/>
          <w:color w:val="134074"/>
          <w:sz w:val="26"/>
        </w:rPr>
        <w:t>3.2 Resolving Class Imbalance via Inverse-Frequency Loss Weighting</w:t>
      </w:r>
    </w:p>
    <w:p>
      <w:r>
        <w:t>In the Kvasir-Capsule dataset, healthy frames (Normal) comprise over 85-90% of all images. Life-threatening pathologies like Blood, Ulcer, and Angiectasia represent less than 10%. A naive CNN optimizing unweighted Cross-Entropy loss will achieve &gt;90% accuracy by trivially predicting 'Normal' on every frame, yet having 0% sensitivity to hemorrhage.</w:t>
      </w:r>
    </w:p>
    <w:p>
      <w:r>
        <w:t>In src/dataset.py and src/train.py, we compute normalized inverse-frequency class weights:</w:t>
      </w:r>
    </w:p>
    <w:tbl>
      <w:tblPr>
        <w:tblW w:type="auto" w:w="0"/>
        <w:jc w:val="center"/>
        <w:tblLook w:firstColumn="1" w:firstRow="1" w:lastColumn="0" w:lastRow="0" w:noHBand="0" w:noVBand="1" w:val="04A0"/>
      </w:tblPr>
      <w:tblGrid>
        <w:gridCol w:w="9360"/>
      </w:tblGrid>
      <w:tr>
        <w:tc>
          <w:tcPr>
            <w:tcW w:type="dxa" w:w="9360"/>
            <w:shd w:fill="F3F4F6"/>
            <w:tcMar>
              <w:top w:w="100" w:type="dxa"/>
              <w:bottom w:w="100" w:type="dxa"/>
              <w:left w:w="140" w:type="dxa"/>
              <w:right w:w="140" w:type="dxa"/>
            </w:tcMar>
          </w:tcPr>
          <w:p>
            <w:pPr>
              <w:spacing w:after="0"/>
            </w:pPr>
            <w:r>
              <w:rPr>
                <w:rFonts w:ascii="Consolas" w:hAnsi="Consolas"/>
                <w:color w:val="141E2D"/>
                <w:sz w:val="19"/>
              </w:rPr>
              <w:t>w_c = 1.0 / N_c,    W_c = w_c / ∑_{k} w_k</w:t>
            </w:r>
          </w:p>
        </w:tc>
      </w:tr>
    </w:tbl>
    <w:p>
      <w:pPr>
        <w:spacing w:after="120"/>
      </w:pPr>
    </w:p>
    <w:p>
      <w:r>
        <w:t>The loss function heavily penalizes misclassification of rare disease classes, forcing the optimizer to learn discriminative features for all 5 pathology types.</w:t>
      </w:r>
    </w:p>
    <w:p>
      <w:pPr>
        <w:keepNext/>
        <w:spacing w:before="360" w:after="120"/>
      </w:pPr>
      <w:r>
        <w:rPr>
          <w:rFonts w:ascii="Arial" w:hAnsi="Arial"/>
          <w:b/>
          <w:color w:val="0B2545"/>
          <w:sz w:val="32"/>
        </w:rPr>
        <w:t>4. Complete File-by-File &amp; Line-by-Line Code Walkthrough</w:t>
      </w:r>
    </w:p>
    <w:p>
      <w:r>
        <w:t>This section provides an exhaustive technical analysis of every script in the EndoClean codebase. Every function, algorithm, parameter choice, and data structure is examined in sequential operational order.</w:t>
      </w:r>
    </w:p>
    <w:p>
      <w:pPr>
        <w:keepNext/>
        <w:spacing w:before="280" w:after="80"/>
      </w:pPr>
      <w:r>
        <w:rPr>
          <w:rFonts w:ascii="Arial" w:hAnsi="Arial"/>
          <w:b/>
          <w:color w:val="134074"/>
          <w:sz w:val="26"/>
        </w:rPr>
        <w:t>4.1 File Walkthrough: src/denoising.py (PDE &amp; Gaussian Filters)</w:t>
      </w:r>
    </w:p>
    <w:p>
      <w:r>
        <w:t>src/denoising.py is the foundational mathematical core of the preprocessing pipeline. It implements both the discrete Perona-Malik anisotropic diffusion solver and the baseline OpenCV Gaussian blur filter.</w:t>
      </w:r>
    </w:p>
    <w:p>
      <w:pPr>
        <w:keepNext/>
        <w:spacing w:before="200" w:after="40"/>
      </w:pPr>
      <w:r>
        <w:rPr>
          <w:rFonts w:ascii="Calibri" w:hAnsi="Calibri"/>
          <w:b/>
          <w:color w:val="232832"/>
          <w:sz w:val="23"/>
        </w:rPr>
        <w:t>Lines 1-7: Imports</w:t>
      </w:r>
    </w:p>
    <w:p>
      <w:r>
        <w:t>Imports cv2 (OpenCV), numpy for matrix array manipulations, tqdm for progress bars, and pathlib.Path for cross-platform filesystem paths.</w:t>
      </w:r>
    </w:p>
    <w:p>
      <w:pPr>
        <w:keepNext/>
        <w:spacing w:before="200" w:after="40"/>
      </w:pPr>
      <w:r>
        <w:rPr>
          <w:rFonts w:ascii="Calibri" w:hAnsi="Calibri"/>
          <w:b/>
          <w:color w:val="232832"/>
          <w:sz w:val="23"/>
        </w:rPr>
        <w:t>Lines 9-10: perona_malik_diffusion() signature</w:t>
      </w:r>
    </w:p>
    <w:p>
      <w:r>
        <w:t>Takes image (np.ndarray), num_iter=15 (number of diffusion iterations), kappa=30.0 (gradient threshold), gamma=0.15 (time-step λ ≤ 0.25), and option=1 (conductance equation type).</w:t>
      </w:r>
    </w:p>
    <w:p>
      <w:pPr>
        <w:keepNext/>
        <w:spacing w:before="200" w:after="40"/>
      </w:pPr>
      <w:r>
        <w:rPr>
          <w:rFonts w:ascii="Calibri" w:hAnsi="Calibri"/>
          <w:b/>
          <w:color w:val="232832"/>
          <w:sz w:val="23"/>
        </w:rPr>
        <w:t>Lines 24-34: Color Channel Handling</w:t>
      </w:r>
    </w:p>
    <w:p>
      <w:r>
        <w:t>Checks if the input image is color (len(image.shape) == 3). If color, it initializes an empty float32 array and runs _perona_malik_channel() on Red, Green, and Blue channels independently. Finally, it clips all pixel values to [0, 255] using np.clip and casts to uint8.</w:t>
      </w:r>
    </w:p>
    <w:p>
      <w:pPr>
        <w:keepNext/>
        <w:spacing w:before="200" w:after="40"/>
      </w:pPr>
      <w:r>
        <w:rPr>
          <w:rFonts w:ascii="Calibri" w:hAnsi="Calibri"/>
          <w:b/>
          <w:color w:val="232832"/>
          <w:sz w:val="23"/>
        </w:rPr>
        <w:t>Lines 35-40: _perona_malik_channel() entry</w:t>
      </w:r>
    </w:p>
    <w:p>
      <w:r>
        <w:t>Converts single-channel 2D image to float32 to prevent numeric underflow/overflow during differentiation.</w:t>
      </w:r>
    </w:p>
    <w:p>
      <w:pPr>
        <w:keepNext/>
        <w:spacing w:before="200" w:after="40"/>
      </w:pPr>
      <w:r>
        <w:rPr>
          <w:rFonts w:ascii="Calibri" w:hAnsi="Calibri"/>
          <w:b/>
          <w:color w:val="232832"/>
          <w:sz w:val="23"/>
        </w:rPr>
        <w:t>Lines 41-53: Finite Difference Gradients</w:t>
      </w:r>
    </w:p>
    <w:p>
      <w:r>
        <w:t>Calculates 4 spatial gradients using vectorized numpy slicing:</w:t>
        <w:br/>
        <w:t>• delta_N: Approximated via np.diff(img, axis=0) shifted along rows (North gradient).</w:t>
        <w:br/>
        <w:t>• delta_S: Negative row difference (South gradient).</w:t>
        <w:br/>
        <w:t>• delta_E: Approximated via np.diff(img, axis=1) along columns (East gradient).</w:t>
        <w:br/>
        <w:t>• delta_W: Negative column difference (West gradient). Vectorized numpy slicing avoids nested Python loops.</w:t>
      </w:r>
    </w:p>
    <w:p>
      <w:pPr>
        <w:keepNext/>
        <w:spacing w:before="200" w:after="40"/>
      </w:pPr>
      <w:r>
        <w:rPr>
          <w:rFonts w:ascii="Calibri" w:hAnsi="Calibri"/>
          <w:b/>
          <w:color w:val="232832"/>
          <w:sz w:val="23"/>
        </w:rPr>
        <w:t>Lines 54-66: Conductance Computation</w:t>
      </w:r>
    </w:p>
    <w:p>
      <w:r>
        <w:t>Applies the selected conductance function:</w:t>
        <w:br/>
        <w:t>• If option == 1: Computes cN = np.exp(-(delta_N / kappa)**2) for all directions. This is the exponential formulation.</w:t>
        <w:br/>
        <w:t>• If option == 2: Computes cN = 1.0 / (1.0 + (delta_N / kappa)**2) for all directions. This is the quadratic rational formulation.</w:t>
      </w:r>
    </w:p>
    <w:p>
      <w:pPr>
        <w:keepNext/>
        <w:spacing w:before="200" w:after="40"/>
      </w:pPr>
      <w:r>
        <w:rPr>
          <w:rFonts w:ascii="Calibri" w:hAnsi="Calibri"/>
          <w:b/>
          <w:color w:val="232832"/>
          <w:sz w:val="23"/>
        </w:rPr>
        <w:t>Lines 68-70: Iterative Euler Step</w:t>
      </w:r>
    </w:p>
    <w:p>
      <w:r>
        <w:t>Executes the discrete update: img += gamma * (cN*delta_N + cS*delta_S + cE*delta_E + cW*delta_W). Repeats for num_iter iterations and returns the smoothed float32 image.</w:t>
      </w:r>
    </w:p>
    <w:p>
      <w:pPr>
        <w:keepNext/>
        <w:spacing w:before="200" w:after="40"/>
      </w:pPr>
      <w:r>
        <w:rPr>
          <w:rFonts w:ascii="Calibri" w:hAnsi="Calibri"/>
          <w:b/>
          <w:color w:val="232832"/>
          <w:sz w:val="23"/>
        </w:rPr>
        <w:t>Lines 72-86: gaussian_denoise() Baseline</w:t>
      </w:r>
    </w:p>
    <w:p>
      <w:r>
        <w:t>Implements cv2.GaussianBlur(image, (ksize, ksize), sigma). Automatically ensures ksize is odd (e.g. 5x5) to maintain a symmetric center anchor.</w:t>
      </w:r>
    </w:p>
    <w:p>
      <w:pPr>
        <w:keepNext/>
        <w:spacing w:before="200" w:after="40"/>
      </w:pPr>
      <w:r>
        <w:rPr>
          <w:rFonts w:ascii="Calibri" w:hAnsi="Calibri"/>
          <w:b/>
          <w:color w:val="232832"/>
          <w:sz w:val="23"/>
        </w:rPr>
        <w:t>Lines 88-128: process_folder() Batch Engine</w:t>
      </w:r>
    </w:p>
    <w:p>
      <w:r>
        <w:t>Crawls through an entire input directory (e.g. data/raw/), preserves subfolder directory hierarchies (class folders), reads images with cv2.imread, executes the selected denoising method, and writes processed frames to data/pde_denoised/ or data/gaussian_denoised/.</w:t>
      </w:r>
    </w:p>
    <w:p>
      <w:pPr>
        <w:keepNext/>
        <w:spacing w:before="280" w:after="80"/>
      </w:pPr>
      <w:r>
        <w:rPr>
          <w:rFonts w:ascii="Arial" w:hAnsi="Arial"/>
          <w:b/>
          <w:color w:val="134074"/>
          <w:sz w:val="26"/>
        </w:rPr>
        <w:t>4.2 File Walkthrough: src/tune_denoising.py (Parameter Tuning)</w:t>
      </w:r>
    </w:p>
    <w:p>
      <w:r>
        <w:t>src/tune_denoising.py provides empirical optimization for denoising hyperparameters using synthetic noise injection, Peak Signal-to-Noise Ratio (PSNR), and Structural Similarity Index (SSIM).</w:t>
      </w:r>
    </w:p>
    <w:p>
      <w:pPr>
        <w:keepNext/>
        <w:spacing w:before="200" w:after="40"/>
      </w:pPr>
      <w:r>
        <w:rPr>
          <w:rFonts w:ascii="Calibri" w:hAnsi="Calibri"/>
          <w:b/>
          <w:color w:val="232832"/>
          <w:sz w:val="23"/>
        </w:rPr>
        <w:t>Lines 16-21: add_synthetic_noise()</w:t>
      </w:r>
    </w:p>
    <w:p>
      <w:r>
        <w:t>Takes a clean medical image and injects controlled Gaussian noise (var=0.01) followed by Salt-and-Pepper noise (amount=0.02) using skimage.util.random_noise, then scales back to uint8 [0, 255].</w:t>
      </w:r>
    </w:p>
    <w:p>
      <w:pPr>
        <w:keepNext/>
        <w:spacing w:before="200" w:after="40"/>
      </w:pPr>
      <w:r>
        <w:rPr>
          <w:rFonts w:ascii="Calibri" w:hAnsi="Calibri"/>
          <w:b/>
          <w:color w:val="232832"/>
          <w:sz w:val="23"/>
        </w:rPr>
        <w:t>Lines 23-45: evaluate_pde() Grid Search</w:t>
      </w:r>
    </w:p>
    <w:p>
      <w:r>
        <w:t>Performs a Cartesian product grid search across kappas = [10, 20, 30, 40, 50] and iterations = [5, 10, 15, 20, 30]. For each combination, it computes PSNR and SSIM against the clean ground truth. Tracks the optimal parameter configuration that maximizes PSNR.</w:t>
      </w:r>
    </w:p>
    <w:p>
      <w:pPr>
        <w:keepNext/>
        <w:spacing w:before="200" w:after="40"/>
      </w:pPr>
      <w:r>
        <w:rPr>
          <w:rFonts w:ascii="Calibri" w:hAnsi="Calibri"/>
          <w:b/>
          <w:color w:val="232832"/>
          <w:sz w:val="23"/>
        </w:rPr>
        <w:t>Lines 47-69: evaluate_gaussian() Grid Search</w:t>
      </w:r>
    </w:p>
    <w:p>
      <w:r>
        <w:t>Performs an equivalent grid search across Gaussian sigmas = [0.5, 1.0, 1.5, 2.0, 3.0] and kernel sizes = [3, 5, 7], recording PSNR and SSIM.</w:t>
      </w:r>
    </w:p>
    <w:p>
      <w:pPr>
        <w:keepNext/>
        <w:spacing w:before="200" w:after="40"/>
      </w:pPr>
      <w:r>
        <w:rPr>
          <w:rFonts w:ascii="Calibri" w:hAnsi="Calibri"/>
          <w:b/>
          <w:color w:val="232832"/>
          <w:sz w:val="23"/>
        </w:rPr>
        <w:t>Lines 71-130: main() Execution &amp; Plotting</w:t>
      </w:r>
    </w:p>
    <w:p>
      <w:r>
        <w:t>Loads a reference endoscopy image, executes both grid searches, concatenates metrics into tuning_results.csv, and generates a 4-panel comparison plot (Original, Noisy, Best PDE, Best Gaussian) saved to results/denoising_comparison.png.</w:t>
      </w:r>
    </w:p>
    <w:p>
      <w:pPr>
        <w:keepNext/>
        <w:spacing w:before="280" w:after="80"/>
      </w:pPr>
      <w:r>
        <w:rPr>
          <w:rFonts w:ascii="Arial" w:hAnsi="Arial"/>
          <w:b/>
          <w:color w:val="134074"/>
          <w:sz w:val="26"/>
        </w:rPr>
        <w:t>4.3 File Walkthrough: src/dataset.py (Data Loading &amp; Augmentation)</w:t>
      </w:r>
    </w:p>
    <w:p>
      <w:r>
        <w:t>src/dataset.py manages dataset splitting, data augmentation pipelines, PyTorch Dataset construction, and class weight calculation for loss re-balancing.</w:t>
      </w:r>
    </w:p>
    <w:p>
      <w:pPr>
        <w:keepNext/>
        <w:spacing w:before="200" w:after="40"/>
      </w:pPr>
      <w:r>
        <w:rPr>
          <w:rFonts w:ascii="Calibri" w:hAnsi="Calibri"/>
          <w:b/>
          <w:color w:val="232832"/>
          <w:sz w:val="23"/>
        </w:rPr>
        <w:t>Line 15: TARGET_CLASSES</w:t>
      </w:r>
    </w:p>
    <w:p>
      <w:r>
        <w:t>Defines the 5 diagnostic classes: ['Normal', 'Angiectasia', 'Ulcer', 'Blood', 'Erosion'].</w:t>
      </w:r>
    </w:p>
    <w:p>
      <w:pPr>
        <w:keepNext/>
        <w:spacing w:before="200" w:after="40"/>
      </w:pPr>
      <w:r>
        <w:rPr>
          <w:rFonts w:ascii="Calibri" w:hAnsi="Calibri"/>
          <w:b/>
          <w:color w:val="232832"/>
          <w:sz w:val="23"/>
        </w:rPr>
        <w:t>Lines 17-37: get_transforms(is_train)</w:t>
      </w:r>
    </w:p>
    <w:p>
      <w:r>
        <w:t>Constructs identical Albumentations pipelines across conditions:</w:t>
        <w:br/>
        <w:t>• Both Train and Eval: Resize to 224x224, normalize with ImageNet mean (0.485, 0.456, 0.406) and std (0.229, 0.224, 0.225), and convert to PyTorch tensors (ToTensorV2).</w:t>
        <w:br/>
        <w:t>• Train Only: Random HorizontalFlip (p=0.5), VerticalFlip (p=0.5), RandomRotate90 (p=0.5), and ColorJitter (p=0.5) to simulate tumbling capsule camera orientations.</w:t>
      </w:r>
    </w:p>
    <w:p>
      <w:pPr>
        <w:keepNext/>
        <w:spacing w:before="200" w:after="40"/>
      </w:pPr>
      <w:r>
        <w:rPr>
          <w:rFonts w:ascii="Calibri" w:hAnsi="Calibri"/>
          <w:b/>
          <w:color w:val="232832"/>
          <w:sz w:val="23"/>
        </w:rPr>
        <w:t>Lines 39-64: create_patient_split()</w:t>
      </w:r>
    </w:p>
    <w:p>
      <w:r>
        <w:t>Loads metadata CSV, filters for TARGET_CLASSES, and uses Scikit-Learn GroupShuffleSplit(groups=df['video_id']) in two stages to partition videos into Train (70%), Val (15%), and Test (15%). Completely prevents cross-patient leakage.</w:t>
      </w:r>
    </w:p>
    <w:p>
      <w:pPr>
        <w:keepNext/>
        <w:spacing w:before="200" w:after="40"/>
      </w:pPr>
      <w:r>
        <w:rPr>
          <w:rFonts w:ascii="Calibri" w:hAnsi="Calibri"/>
          <w:b/>
          <w:color w:val="232832"/>
          <w:sz w:val="23"/>
        </w:rPr>
        <w:t>Lines 66-103: EndoCleanDataset Class</w:t>
      </w:r>
    </w:p>
    <w:p>
      <w:r>
        <w:t>Subclasses torch.utils.data.Dataset:</w:t>
        <w:br/>
        <w:t>• __len__(): Returns total sample count.</w:t>
        <w:br/>
        <w:t>• __getitem__(idx): Retrieves metadata row, loads RGB image from data_dir/class_name/filename via cv2.imread and cv2.cvtColor, applies Albumentations transform, converts class label to integer index, and returns (image_tensor, label).</w:t>
      </w:r>
    </w:p>
    <w:p>
      <w:pPr>
        <w:keepNext/>
        <w:spacing w:before="200" w:after="40"/>
      </w:pPr>
      <w:r>
        <w:rPr>
          <w:rFonts w:ascii="Calibri" w:hAnsi="Calibri"/>
          <w:b/>
          <w:color w:val="232832"/>
          <w:sz w:val="23"/>
        </w:rPr>
        <w:t>Lines 105-125: get_dataloaders()</w:t>
      </w:r>
    </w:p>
    <w:p>
      <w:r>
        <w:t>Instantiates PyTorch DataLoaders with configurable batch_size and num_workers. Counts train class occurrences, calculates inverse-frequency weights w_c = 1 / N_c, normalizes weights to sum to 1, and returns (train_loader, val_loader, test_loader, weights).</w:t>
      </w:r>
    </w:p>
    <w:p>
      <w:pPr>
        <w:keepNext/>
        <w:spacing w:before="280" w:after="80"/>
      </w:pPr>
      <w:r>
        <w:rPr>
          <w:rFonts w:ascii="Arial" w:hAnsi="Arial"/>
          <w:b/>
          <w:color w:val="134074"/>
          <w:sz w:val="26"/>
        </w:rPr>
        <w:t>4.4 File Walkthrough: src/train.py (Model Architecture &amp; Training)</w:t>
      </w:r>
    </w:p>
    <w:p>
      <w:r>
        <w:t>src/train.py orchestrates model construction, transfer learning freezing, optimization, and training loops.</w:t>
      </w:r>
    </w:p>
    <w:p>
      <w:pPr>
        <w:keepNext/>
        <w:spacing w:before="200" w:after="40"/>
      </w:pPr>
      <w:r>
        <w:rPr>
          <w:rFonts w:ascii="Calibri" w:hAnsi="Calibri"/>
          <w:b/>
          <w:color w:val="232832"/>
          <w:sz w:val="23"/>
        </w:rPr>
        <w:t>Lines 17-24: set_seed()</w:t>
      </w:r>
    </w:p>
    <w:p>
      <w:r>
        <w:t>Sets deterministic random seeds for Python random, numpy, and PyTorch (CPU and CUDA) for strict reproducibility.</w:t>
      </w:r>
    </w:p>
    <w:p>
      <w:pPr>
        <w:keepNext/>
        <w:spacing w:before="200" w:after="40"/>
      </w:pPr>
      <w:r>
        <w:rPr>
          <w:rFonts w:ascii="Calibri" w:hAnsi="Calibri"/>
          <w:b/>
          <w:color w:val="232832"/>
          <w:sz w:val="23"/>
        </w:rPr>
        <w:t>Lines 25-41: build_model(num_classes)</w:t>
      </w:r>
    </w:p>
    <w:p>
      <w:r>
        <w:t>Constructs the deep learning architecture:</w:t>
        <w:br/>
        <w:t>• Loads ResNet50 pre-trained on ImageNet-1K.</w:t>
        <w:br/>
        <w:t>• Freezes foundational layers: Iterates through model.named_parameters() and sets requires_grad = False for all layers except 'layer3', 'layer4', and 'fc'.</w:t>
        <w:br/>
        <w:t>• Replaces classification head: model.fc = nn.Sequential(nn.Dropout(0.5), nn.Linear(2048, num_classes)).</w:t>
      </w:r>
    </w:p>
    <w:p>
      <w:pPr>
        <w:keepNext/>
        <w:spacing w:before="200" w:after="40"/>
      </w:pPr>
      <w:r>
        <w:rPr>
          <w:rFonts w:ascii="Calibri" w:hAnsi="Calibri"/>
          <w:b/>
          <w:color w:val="232832"/>
          <w:sz w:val="23"/>
        </w:rPr>
        <w:t>Lines 43-66: train_epoch()</w:t>
      </w:r>
    </w:p>
    <w:p>
      <w:r>
        <w:t>Sets model.train(), iterates through train_loader batches, zeroes gradients with optimizer.zero_grad(), performs forward pass, computes criterion(outputs, labels), executes backpropagation with loss.backward(), updates weights with optimizer.step(), and tracks running loss and accuracy.</w:t>
      </w:r>
    </w:p>
    <w:p>
      <w:pPr>
        <w:keepNext/>
        <w:spacing w:before="200" w:after="40"/>
      </w:pPr>
      <w:r>
        <w:rPr>
          <w:rFonts w:ascii="Calibri" w:hAnsi="Calibri"/>
          <w:b/>
          <w:color w:val="232832"/>
          <w:sz w:val="23"/>
        </w:rPr>
        <w:t>Lines 68-92: evaluate()</w:t>
      </w:r>
    </w:p>
    <w:p>
      <w:r>
        <w:t>Sets model.eval(), runs with torch.no_grad() over validation loader, computes loss, accuracy, and Scikit-Learn macro f1_score(average='macro').</w:t>
      </w:r>
    </w:p>
    <w:p>
      <w:pPr>
        <w:keepNext/>
        <w:spacing w:before="200" w:after="40"/>
      </w:pPr>
      <w:r>
        <w:rPr>
          <w:rFonts w:ascii="Calibri" w:hAnsi="Calibri"/>
          <w:b/>
          <w:color w:val="232832"/>
          <w:sz w:val="23"/>
        </w:rPr>
        <w:t>Lines 93-160: main() Training Loop</w:t>
      </w:r>
    </w:p>
    <w:p>
      <w:r>
        <w:t>Detects hardware acceleration (CUDA -&gt; MPS -&gt; CPU). Sets class-weighted Cross-Entropy loss: nn.CrossEntropyLoss(weight=weights.to(device)). Initializes Adam optimizer (lr=1e-4). Iterates through epochs, saving best_model.pth whenever validation Macro F1 improves.</w:t>
      </w:r>
    </w:p>
    <w:p>
      <w:pPr>
        <w:keepNext/>
        <w:spacing w:before="280" w:after="80"/>
      </w:pPr>
      <w:r>
        <w:rPr>
          <w:rFonts w:ascii="Arial" w:hAnsi="Arial"/>
          <w:b/>
          <w:color w:val="134074"/>
          <w:sz w:val="26"/>
        </w:rPr>
        <w:t>4.5 File Walkthrough: src/evaluate.py (Model Testing &amp; Aggregation)</w:t>
      </w:r>
    </w:p>
    <w:p>
      <w:r>
        <w:t>src/evaluate.py tests all trained model checkpoints across all seeds (42, 43, 44) and data conditions (Raw, PDE, Gaussian).</w:t>
      </w:r>
    </w:p>
    <w:p>
      <w:pPr>
        <w:keepNext/>
        <w:spacing w:before="200" w:after="40"/>
      </w:pPr>
      <w:r>
        <w:rPr>
          <w:rFonts w:ascii="Calibri" w:hAnsi="Calibri"/>
          <w:b/>
          <w:color w:val="232832"/>
          <w:sz w:val="23"/>
        </w:rPr>
        <w:t>Lines 16-56: evaluate_model()</w:t>
      </w:r>
    </w:p>
    <w:p>
      <w:r>
        <w:t>Loads checkpoint best_model.pth on device, runs inference on unseen test DataLoader, collects all predictions, and computes accuracy_score, precision_score, recall_score, macro f1_score, and a 5x5 confusion matrix.</w:t>
      </w:r>
    </w:p>
    <w:p>
      <w:pPr>
        <w:keepNext/>
        <w:spacing w:before="200" w:after="40"/>
      </w:pPr>
      <w:r>
        <w:rPr>
          <w:rFonts w:ascii="Calibri" w:hAnsi="Calibri"/>
          <w:b/>
          <w:color w:val="232832"/>
          <w:sz w:val="23"/>
        </w:rPr>
        <w:t>Lines 57-96: main() Multi-Condition Iteration</w:t>
      </w:r>
    </w:p>
    <w:p>
      <w:r>
        <w:t>Loops through conditions = ['raw', 'pde_denoised', 'gaussian_denoised'] and seeds = [42, 43, 44]. Accumulates metrics into a list and aggregates confusion matrices.</w:t>
      </w:r>
    </w:p>
    <w:p>
      <w:pPr>
        <w:keepNext/>
        <w:spacing w:before="200" w:after="40"/>
      </w:pPr>
      <w:r>
        <w:rPr>
          <w:rFonts w:ascii="Calibri" w:hAnsi="Calibri"/>
          <w:b/>
          <w:color w:val="232832"/>
          <w:sz w:val="23"/>
        </w:rPr>
        <w:t>Lines 97-106: Results Aggregation</w:t>
      </w:r>
    </w:p>
    <w:p>
      <w:r>
        <w:t>Saves individual runs to test_metrics_all_runs.csv and computes mean ± std across seeds to produce results/test_metrics_aggregated.csv.</w:t>
      </w:r>
    </w:p>
    <w:p>
      <w:pPr>
        <w:keepNext/>
        <w:spacing w:before="200" w:after="40"/>
      </w:pPr>
      <w:r>
        <w:rPr>
          <w:rFonts w:ascii="Calibri" w:hAnsi="Calibri"/>
          <w:b/>
          <w:color w:val="232832"/>
          <w:sz w:val="23"/>
        </w:rPr>
        <w:t>Lines 108-144: Statistical Visualization</w:t>
      </w:r>
    </w:p>
    <w:p>
      <w:r>
        <w:t>Generates performance_comparison.png bar charts with standard deviation error bars and outputs normalized confusion matrix heatmaps (Seaborn/Matplotlib) for each condition.</w:t>
      </w:r>
    </w:p>
    <w:p>
      <w:pPr>
        <w:keepNext/>
        <w:spacing w:before="280" w:after="80"/>
      </w:pPr>
      <w:r>
        <w:rPr>
          <w:rFonts w:ascii="Arial" w:hAnsi="Arial"/>
          <w:b/>
          <w:color w:val="134074"/>
          <w:sz w:val="26"/>
        </w:rPr>
        <w:t>4.6 File Walkthrough: src/gradcam.py (Explainability Engine)</w:t>
      </w:r>
    </w:p>
    <w:p>
      <w:r>
        <w:t>src/gradcam.py generates visual explanations of CNN decisions using Gradient-weighted Class Activation Mapping.</w:t>
      </w:r>
    </w:p>
    <w:p>
      <w:pPr>
        <w:keepNext/>
        <w:spacing w:before="200" w:after="40"/>
      </w:pPr>
      <w:r>
        <w:rPr>
          <w:rFonts w:ascii="Calibri" w:hAnsi="Calibri"/>
          <w:b/>
          <w:color w:val="232832"/>
          <w:sz w:val="23"/>
        </w:rPr>
        <w:t>Lines 16-29: get_gradcam()</w:t>
      </w:r>
    </w:p>
    <w:p>
      <w:r>
        <w:t>Attaches to target_layers = [model.layer4[-1]] (the final 2048-channel convolutional layer). Initializes GradCAM(model, target_layers) and computes grayscale CAM mask for target_class_idx via ClassifierOutputTarget.</w:t>
      </w:r>
    </w:p>
    <w:p>
      <w:pPr>
        <w:keepNext/>
        <w:spacing w:before="200" w:after="40"/>
      </w:pPr>
      <w:r>
        <w:rPr>
          <w:rFonts w:ascii="Calibri" w:hAnsi="Calibri"/>
          <w:b/>
          <w:color w:val="232832"/>
          <w:sz w:val="23"/>
        </w:rPr>
        <w:t>Lines 31-140: main() Side-by-Side Generation</w:t>
      </w:r>
    </w:p>
    <w:p>
      <w:r>
        <w:t>Loads raw test images. For each diagnostic class:</w:t>
        <w:br/>
        <w:t>1. Unnormalizes tensor back to RGB [0, 1].</w:t>
        <w:br/>
        <w:t>2. Computes Raw Model Grad-CAM overlay.</w:t>
        <w:br/>
        <w:t>3. Applies inline perona_malik_diffusion() to create PDE version.</w:t>
        <w:br/>
        <w:t>4. Computes PDE Model Grad-CAM overlay.</w:t>
        <w:br/>
        <w:t>5. Plots a 4-panel comparison: [Raw Image, Raw Grad-CAM, PDE Image, PDE Grad-CAM] saved to results/gradcam/{class}_gradcam.png.</w:t>
      </w:r>
    </w:p>
    <w:p>
      <w:pPr>
        <w:keepNext/>
        <w:spacing w:before="280" w:after="80"/>
      </w:pPr>
      <w:r>
        <w:rPr>
          <w:rFonts w:ascii="Arial" w:hAnsi="Arial"/>
          <w:b/>
          <w:color w:val="134074"/>
          <w:sz w:val="26"/>
        </w:rPr>
        <w:t>4.7 File Walkthrough: demo/app.py (Streamlit Interactive Console)</w:t>
      </w:r>
    </w:p>
    <w:p>
      <w:r>
        <w:t>demo/app.py provides an interactive, dark-mode web application for clinical inference, real-time PDE processing, and side-by-side explainability analysis.</w:t>
      </w:r>
    </w:p>
    <w:p>
      <w:pPr>
        <w:keepNext/>
        <w:spacing w:before="200" w:after="40"/>
      </w:pPr>
      <w:r>
        <w:rPr>
          <w:rFonts w:ascii="Calibri" w:hAnsi="Calibri"/>
          <w:b/>
          <w:color w:val="232832"/>
          <w:sz w:val="23"/>
        </w:rPr>
        <w:t>Lines 20-125: CSS Injection &amp; Page Config</w:t>
      </w:r>
    </w:p>
    <w:p>
      <w:r>
        <w:t>Sets wide layout. Injects custom CSS styling using Google Fonts (Sora for headers, IBM Plex Mono for metrics, Source Sans 3 for body) with dark console styling matching professional medical monitoring instruments.</w:t>
      </w:r>
    </w:p>
    <w:p>
      <w:pPr>
        <w:keepNext/>
        <w:spacing w:before="200" w:after="40"/>
      </w:pPr>
      <w:r>
        <w:rPr>
          <w:rFonts w:ascii="Calibri" w:hAnsi="Calibri"/>
          <w:b/>
          <w:color w:val="232832"/>
          <w:sz w:val="23"/>
        </w:rPr>
        <w:t>Lines 133-170: Background Training Monitor &amp; Log Expander</w:t>
      </w:r>
    </w:p>
    <w:p>
      <w:r>
        <w:t>Checks for results/training.pid. If active, displays a live warning badge with the running process ID. Embeds an expandable 'View Background Training Logs' viewer with live log streaming and a 'Reload Model Weights' cache invalidation button.</w:t>
      </w:r>
    </w:p>
    <w:p>
      <w:pPr>
        <w:keepNext/>
        <w:spacing w:before="200" w:after="40"/>
      </w:pPr>
      <w:r>
        <w:rPr>
          <w:rFonts w:ascii="Calibri" w:hAnsi="Calibri"/>
          <w:b/>
          <w:color w:val="232832"/>
          <w:sz w:val="23"/>
        </w:rPr>
        <w:t>Lines 172-198: load_models() with @st.cache_resource</w:t>
      </w:r>
    </w:p>
    <w:p>
      <w:r>
        <w:t>Loads raw and PDE ResNet50 checkpoints once and caches them in memory. Supports CUDA, Apple MPS, and CPU fallback.</w:t>
      </w:r>
    </w:p>
    <w:p>
      <w:pPr>
        <w:keepNext/>
        <w:spacing w:before="200" w:after="40"/>
      </w:pPr>
      <w:r>
        <w:rPr>
          <w:rFonts w:ascii="Calibri" w:hAnsi="Calibri"/>
          <w:b/>
          <w:color w:val="232832"/>
          <w:sz w:val="23"/>
        </w:rPr>
        <w:t>Lines 203-245: Live Image Upload &amp; Dual Inference</w:t>
      </w:r>
    </w:p>
    <w:p>
      <w:r>
        <w:t>Accepts uploaded endoscopy images (JPG/PNG). Executes live perona_malik_diffusion(image_np, num_iter=15, kappa=30). Computes softmax probabilities and runs Grad-CAM on both raw and PDE inputs simultaneously.</w:t>
      </w:r>
    </w:p>
    <w:p>
      <w:pPr>
        <w:keepNext/>
        <w:spacing w:before="200" w:after="40"/>
      </w:pPr>
      <w:r>
        <w:rPr>
          <w:rFonts w:ascii="Calibri" w:hAnsi="Calibri"/>
          <w:b/>
          <w:color w:val="232832"/>
          <w:sz w:val="23"/>
        </w:rPr>
        <w:t>Lines 246-290: Side-by-Side Metric Readouts</w:t>
      </w:r>
    </w:p>
    <w:p>
      <w:r>
        <w:t>Displays high-contrast console metrics (predicted class, confidence %) alongside color-mapped Grad-CAM heatmaps for both models.</w:t>
      </w:r>
    </w:p>
    <w:p>
      <w:pPr>
        <w:keepNext/>
        <w:spacing w:before="200" w:after="40"/>
      </w:pPr>
      <w:r>
        <w:rPr>
          <w:rFonts w:ascii="Calibri" w:hAnsi="Calibri"/>
          <w:b/>
          <w:color w:val="232832"/>
          <w:sz w:val="23"/>
        </w:rPr>
        <w:t>Lines 293-380: Comparative Diagnostic Analysis Cards</w:t>
      </w:r>
    </w:p>
    <w:p>
      <w:r>
        <w:t>Renders an automated clinical analysis panel explaining whether models agreed or diverged, detailing the physical cause of raw model attention leakage (bubbles, glare) versus PDE model edge-bounded focal attention.</w:t>
      </w:r>
    </w:p>
    <w:p>
      <w:pPr>
        <w:keepNext/>
        <w:spacing w:before="280" w:after="80"/>
      </w:pPr>
      <w:r>
        <w:rPr>
          <w:rFonts w:ascii="Arial" w:hAnsi="Arial"/>
          <w:b/>
          <w:color w:val="134074"/>
          <w:sz w:val="26"/>
        </w:rPr>
        <w:t>4.8 File Walkthrough: run.sh &amp; run_experiments.sh (Automation)</w:t>
      </w:r>
    </w:p>
    <w:p>
      <w:r>
        <w:t>run.sh is the top-level unified orchestrator allowing single-command execution of the entire pipeline.</w:t>
      </w:r>
    </w:p>
    <w:p>
      <w:pPr>
        <w:keepNext/>
        <w:spacing w:before="200" w:after="40"/>
      </w:pPr>
      <w:r>
        <w:rPr>
          <w:rFonts w:ascii="Calibri" w:hAnsi="Calibri"/>
          <w:b/>
          <w:color w:val="232832"/>
          <w:sz w:val="23"/>
        </w:rPr>
        <w:t>Lines 1-18: Path Resolution &amp; Directory Checks</w:t>
      </w:r>
    </w:p>
    <w:p>
      <w:r>
        <w:t>Navigates to script directory (cd $(dirname $0)), ensures results/ exists, and checks command-line arguments ($1).</w:t>
      </w:r>
    </w:p>
    <w:p>
      <w:pPr>
        <w:keepNext/>
        <w:spacing w:before="200" w:after="40"/>
      </w:pPr>
      <w:r>
        <w:rPr>
          <w:rFonts w:ascii="Calibri" w:hAnsi="Calibri"/>
          <w:b/>
          <w:color w:val="232832"/>
          <w:sz w:val="23"/>
        </w:rPr>
        <w:t>Lines 19-50: start_background_training() Subshell</w:t>
      </w:r>
    </w:p>
    <w:p>
      <w:r>
        <w:t>Checks if a prior training process is already running via results/training.pid. If not, spawns nohup bash -c './run_experiments.sh &gt;&gt; results/training.log 2&gt;&amp;1; rm -f results/training.pid' in the background and saves PID.</w:t>
      </w:r>
    </w:p>
    <w:p>
      <w:pPr>
        <w:keepNext/>
        <w:spacing w:before="200" w:after="40"/>
      </w:pPr>
      <w:r>
        <w:rPr>
          <w:rFonts w:ascii="Calibri" w:hAnsi="Calibri"/>
          <w:b/>
          <w:color w:val="232832"/>
          <w:sz w:val="23"/>
        </w:rPr>
        <w:t>Lines 52-78: Mode Execution &amp; Streamlit Launch</w:t>
      </w:r>
    </w:p>
    <w:p>
      <w:r>
        <w:t>If --all is passed, starts background training and immediately launches the Streamlit app. If run without flags, checks if checkpoints exist (auto-starts training if missing) and launches streamlit run demo/app.py in the foreground.</w:t>
      </w:r>
    </w:p>
    <w:p>
      <w:pPr>
        <w:keepNext/>
        <w:spacing w:before="360" w:after="120"/>
      </w:pPr>
      <w:r>
        <w:rPr>
          <w:rFonts w:ascii="Arial" w:hAnsi="Arial"/>
          <w:b/>
          <w:color w:val="0B2545"/>
          <w:sz w:val="32"/>
        </w:rPr>
        <w:t>5. Master Viva Defense Guide: 15 Rigorous Questions &amp; Answers</w:t>
      </w:r>
    </w:p>
    <w:p>
      <w:r>
        <w:t>This section prepares you for oral examinations, project defenses, and faculty reviews. Each question covers an essential theoretical, architectural, or clinical aspect of the project.</w:t>
      </w:r>
    </w:p>
    <w:p>
      <w:pPr>
        <w:keepNext/>
        <w:spacing w:before="280" w:after="80"/>
      </w:pPr>
      <w:r>
        <w:rPr>
          <w:rFonts w:ascii="Arial" w:hAnsi="Arial"/>
          <w:b/>
          <w:color w:val="134074"/>
          <w:sz w:val="26"/>
        </w:rPr>
        <w:t>Q1: What is the core hypothesis of your project?</w:t>
      </w:r>
    </w:p>
    <w:p>
      <w:r>
        <w:t>Our hypothesis is that non-linear Partial Differential Equation (PDE) anisotropic diffusion (the Perona-Malik model) removes sensor noise, fluid bubbles, and specular reflections from capsule endoscopy images while strictly preserving lesion boundaries. This improves downstream CNN classification performance (Macro F1) and sharpens Grad-CAM diagnostic localization compared to unprocessed raw images and isotropic Gaussian filtering.</w:t>
      </w:r>
    </w:p>
    <w:p>
      <w:pPr>
        <w:keepNext/>
        <w:spacing w:before="280" w:after="80"/>
      </w:pPr>
      <w:r>
        <w:rPr>
          <w:rFonts w:ascii="Arial" w:hAnsi="Arial"/>
          <w:b/>
          <w:color w:val="134074"/>
          <w:sz w:val="26"/>
        </w:rPr>
        <w:t>Q2: Why is Gaussian blur inadequate for medical image preprocessing?</w:t>
      </w:r>
    </w:p>
    <w:p>
      <w:r>
        <w:t>Gaussian blur is mathematically equivalent to the linear isotropic heat diffusion equation (∂I/∂t = ΔI). It diffuses pixel intensities uniformly in all directions. In endoscopy, high-contrast boundaries between red lesions (angiectasias, ulcers) and pink mucosa are diffused away just like noise. Gaussian filtering therefore destroys the high-frequency edge gradients that CNN feature detectors require.</w:t>
      </w:r>
    </w:p>
    <w:p>
      <w:pPr>
        <w:keepNext/>
        <w:spacing w:before="280" w:after="80"/>
      </w:pPr>
      <w:r>
        <w:rPr>
          <w:rFonts w:ascii="Arial" w:hAnsi="Arial"/>
          <w:b/>
          <w:color w:val="134074"/>
          <w:sz w:val="26"/>
        </w:rPr>
        <w:t>Q3: Explain the role of the conductance coefficient c(||∇I||) in Perona-Malik diffusion.</w:t>
      </w:r>
    </w:p>
    <w:p>
      <w:r>
        <w:t>The conductance coefficient c(·) acts as a dynamic spatial regulator of diffusion speed based on the local gradient magnitude ||∇I||. When ||∇I|| is small (flat, uniform mucosa), c(||∇I||) ≈ 1, enabling maximum smoothing of noise. When ||∇I|| is large (steep lesion edges), c(||∇I||) -&gt; 0, halting diffusion across the boundary and preserving anatomical contours.</w:t>
      </w:r>
    </w:p>
    <w:p>
      <w:pPr>
        <w:keepNext/>
        <w:spacing w:before="280" w:after="80"/>
      </w:pPr>
      <w:r>
        <w:rPr>
          <w:rFonts w:ascii="Arial" w:hAnsi="Arial"/>
          <w:b/>
          <w:color w:val="134074"/>
          <w:sz w:val="26"/>
        </w:rPr>
        <w:t>Q4: How did you select the threshold parameter κ (Kappa)?</w:t>
      </w:r>
    </w:p>
    <w:p>
      <w:r>
        <w:t>κ defines the gradient threshold distinguishing noise from structural edges. In src/tune_denoising.py, we conducted a grid search over κ ∈ [10, 20, 30, 40, 50] and iterations ∈ [5, 10, 15, 20, 30] using synthetic Gaussian and salt-and-pepper noise, measuring Peak Signal-to-Noise Ratio (PSNR) and Structural Similarity Index (SSIM). κ = 30.0 with 15 iterations produced the optimal balance.</w:t>
      </w:r>
    </w:p>
    <w:p>
      <w:pPr>
        <w:keepNext/>
        <w:spacing w:before="280" w:after="80"/>
      </w:pPr>
      <w:r>
        <w:rPr>
          <w:rFonts w:ascii="Arial" w:hAnsi="Arial"/>
          <w:b/>
          <w:color w:val="134074"/>
          <w:sz w:val="26"/>
        </w:rPr>
        <w:t>Q5: What is the Courant-Friedrichs-Lewy (CFL) numerical stability condition for your 2D PDE solver?</w:t>
      </w:r>
    </w:p>
    <w:p>
      <w:r>
        <w:t>In a discrete 2D 4-neighborhood forward Euler scheme, numerical stability requires the time step λ ≤ 0.25. If λ &gt; 0.25, the numerical solver exhibits unbounded numerical instability, resulting in pixel intensity overflow and checkerboard artifacts. In src/denoising.py, we safely set λ = γ = 0.15.</w:t>
      </w:r>
    </w:p>
    <w:p>
      <w:pPr>
        <w:keepNext/>
        <w:spacing w:before="280" w:after="80"/>
      </w:pPr>
      <w:r>
        <w:rPr>
          <w:rFonts w:ascii="Arial" w:hAnsi="Arial"/>
          <w:b/>
          <w:color w:val="134074"/>
          <w:sz w:val="26"/>
        </w:rPr>
        <w:t>Q6: Why is patient-wise splitting mandatory in video endoscopy?</w:t>
      </w:r>
    </w:p>
    <w:p>
      <w:r>
        <w:t>Capsule endoscopy records 50,000+ frames per video. Sequential frames share identical patient lighting, mucosal color, and camera angles. A naive random split distributes frames from the same patient across both training and test sets. The model simply memorizes patient-specific lighting rather than general disease pathology, creating severe data leakage. We use GroupShuffleSplit on 'video_id' to guarantee that the test set contains only completely unseen patient videos.</w:t>
      </w:r>
    </w:p>
    <w:p>
      <w:pPr>
        <w:keepNext/>
        <w:spacing w:before="280" w:after="80"/>
      </w:pPr>
      <w:r>
        <w:rPr>
          <w:rFonts w:ascii="Arial" w:hAnsi="Arial"/>
          <w:b/>
          <w:color w:val="134074"/>
          <w:sz w:val="26"/>
        </w:rPr>
        <w:t>Q7: Why is Accuracy a misleading metric in medical AI?</w:t>
      </w:r>
    </w:p>
    <w:p>
      <w:r>
        <w:t>This is the 'Accuracy Paradox'. In Kvasir-Capsule, over 90% of frames are 'Normal'. A naive model predicting 'Normal' on every image achieves &gt;90% accuracy but has 0% recall on life-threatening hemorrhages. We evaluate Macro F1-Score, which computes the harmonic mean of precision and recall across all classes equally, treating rare pathologies with the same diagnostic importance as normal frames.</w:t>
      </w:r>
    </w:p>
    <w:p>
      <w:pPr>
        <w:keepNext/>
        <w:spacing w:before="280" w:after="80"/>
      </w:pPr>
      <w:r>
        <w:rPr>
          <w:rFonts w:ascii="Arial" w:hAnsi="Arial"/>
          <w:b/>
          <w:color w:val="134074"/>
          <w:sz w:val="26"/>
        </w:rPr>
        <w:t>Q8: How did you mitigate class imbalance during neural network training?</w:t>
      </w:r>
    </w:p>
    <w:p>
      <w:r>
        <w:t>We used class-weighted Cross-Entropy loss in src/train.py. We computed inverse-frequency weights w_c = 1 / N_c for each class from the training split and normalized them. When calculating cross-entropy loss, errors on rare pathologies (Blood, Angiectasia) are heavily penalized relative to errors on common Normal frames.</w:t>
      </w:r>
    </w:p>
    <w:p>
      <w:pPr>
        <w:keepNext/>
        <w:spacing w:before="280" w:after="80"/>
      </w:pPr>
      <w:r>
        <w:rPr>
          <w:rFonts w:ascii="Arial" w:hAnsi="Arial"/>
          <w:b/>
          <w:color w:val="134074"/>
          <w:sz w:val="26"/>
        </w:rPr>
        <w:t>Q9: Why transfer learning with ResNet50 rather than training from scratch?</w:t>
      </w:r>
    </w:p>
    <w:p>
      <w:r>
        <w:t>Endoscopy datasets have limited labeled pathology frames. Training a deep network from scratch would lead to severe overfitting. ResNet50 pre-trained on ImageNet-1K provides rich foundational feature detectors (Gabor filters, edge detectors, color primitives). By freezing early layers and fine-tuning layer3, layer4, and the classification head, we achieve high generalization and rapid convergence.</w:t>
      </w:r>
    </w:p>
    <w:p>
      <w:pPr>
        <w:keepNext/>
        <w:spacing w:before="280" w:after="80"/>
      </w:pPr>
      <w:r>
        <w:rPr>
          <w:rFonts w:ascii="Arial" w:hAnsi="Arial"/>
          <w:b/>
          <w:color w:val="134074"/>
          <w:sz w:val="26"/>
        </w:rPr>
        <w:t>Q10: Explain the mathematical mechanism of Grad-CAM.</w:t>
      </w:r>
    </w:p>
    <w:p>
      <w:r>
        <w:t>Grad-CAM calculates the gradient of the class score Y^c with respect to feature activation maps A^k of the final convolutional layer (layer4[-1]). These gradients are globally average pooled to compute neuron importance weights α_k^c. The feature maps are combined via a weighted sum and passed through a ReLU activation to filter out features with a negative correlation to the target class.</w:t>
      </w:r>
    </w:p>
    <w:p>
      <w:pPr>
        <w:keepNext/>
        <w:spacing w:before="280" w:after="80"/>
      </w:pPr>
      <w:r>
        <w:rPr>
          <w:rFonts w:ascii="Arial" w:hAnsi="Arial"/>
          <w:b/>
          <w:color w:val="134074"/>
          <w:sz w:val="26"/>
        </w:rPr>
        <w:t>Q11: What difference did you observe in Grad-CAM heatmaps between Raw and PDE inputs?</w:t>
      </w:r>
    </w:p>
    <w:p>
      <w:r>
        <w:t>On raw images, Grad-CAM heatmaps are scattered and fragmented, frequently activating on specular lens glare, bubbles, and dark peripheral corners. On PDE-denoised images, the heatmaps form tight, contiguous focal hotspots centered squarely over the lesion core and its mucosal border, confirming that the CNN is responding to genuine pathology rather than camera artifacts.</w:t>
      </w:r>
    </w:p>
    <w:p>
      <w:pPr>
        <w:keepNext/>
        <w:spacing w:before="280" w:after="80"/>
      </w:pPr>
      <w:r>
        <w:rPr>
          <w:rFonts w:ascii="Arial" w:hAnsi="Arial"/>
          <w:b/>
          <w:color w:val="134074"/>
          <w:sz w:val="26"/>
        </w:rPr>
        <w:t>Q12: How does your system support asynchronous background training?</w:t>
      </w:r>
    </w:p>
    <w:p>
      <w:r>
        <w:t>In run.sh, running with --all launches ./run_experiments.sh inside a detached subshell via nohup, redirecting output to results/training.log and recording the Process ID in results/training.pid. The Streamlit web dashboard launches immediately in the foreground. The dashboard monitors the PID, displays a training badge, allows real-time log inspection, and provides a 'Reload Model Weights' button.</w:t>
      </w:r>
    </w:p>
    <w:p>
      <w:pPr>
        <w:keepNext/>
        <w:spacing w:before="280" w:after="80"/>
      </w:pPr>
      <w:r>
        <w:rPr>
          <w:rFonts w:ascii="Arial" w:hAnsi="Arial"/>
          <w:b/>
          <w:color w:val="134074"/>
          <w:sz w:val="26"/>
        </w:rPr>
        <w:t>Q13: Why did you implement 4-neighborhood gradient approximations instead of 8-neighborhood?</w:t>
      </w:r>
    </w:p>
    <w:p>
      <w:r>
        <w:t>The standard Perona-Malik formulation on a Cartesian 2D grid uses the 4 cardinal directions (North, South, East, West). While an 8-neighborhood scheme includes diagonals, it requires scaling distance terms by √2, increases computation time by 2x per iteration, and offers negligible practical gain for natural endoscopy textures where primary edge orientations are captured effectively by the 4-axis formulation.</w:t>
      </w:r>
    </w:p>
    <w:p>
      <w:pPr>
        <w:keepNext/>
        <w:spacing w:before="280" w:after="80"/>
      </w:pPr>
      <w:r>
        <w:rPr>
          <w:rFonts w:ascii="Arial" w:hAnsi="Arial"/>
          <w:b/>
          <w:color w:val="134074"/>
          <w:sz w:val="26"/>
        </w:rPr>
        <w:t>Q14: What is the main computational limitation of Perona-Malik diffusion in clinical settings?</w:t>
      </w:r>
    </w:p>
    <w:p>
      <w:r>
        <w:t>Iterative numerical PDEs require multiple passes over the entire image grid (e.g. 15 iterations across 3 color channels), which is computationally slower than single-pass linear filters or neural network forward passes. For real-time capsule streaming (2-6 fps), the PDE solver would need GPU acceleration (CUDA or PyTorch tensor operations) or implementation as a learned Neural PDE.</w:t>
      </w:r>
    </w:p>
    <w:p>
      <w:pPr>
        <w:keepNext/>
        <w:spacing w:before="280" w:after="80"/>
      </w:pPr>
      <w:r>
        <w:rPr>
          <w:rFonts w:ascii="Arial" w:hAnsi="Arial"/>
          <w:b/>
          <w:color w:val="134074"/>
          <w:sz w:val="26"/>
        </w:rPr>
        <w:t>Q15: How would you extend this project in future work?</w:t>
      </w:r>
    </w:p>
    <w:p>
      <w:r>
        <w:t>Future research directions include: (1) Implementing GPU-accelerated PyTorch PDE diffusion layers directly inside the neural network pipeline; (2) Evaluating Vision Transformers (ViT) and Swin Transformers to study how self-attention mechanisms interact with anisotropic filtering; and (3) Developing adaptive κ estimation based on local noise variance estimation across diverse capsule camera hardware.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328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