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28"/>
        </w:rPr>
        <w:t>LAB 3 – COMPONENT MODELLING &amp; ARCHITECTURAL PATTERN SELECTION</w:t>
      </w:r>
    </w:p>
    <w:p>
      <w:pPr>
        <w:jc w:val="center"/>
      </w:pPr>
      <w:r>
        <w:rPr>
          <w:b/>
          <w:sz w:val="22"/>
        </w:rPr>
        <w:t>Local Sports Tournament &amp; Bracket Manager</w:t>
      </w:r>
    </w:p>
    <w:p>
      <w:pPr>
        <w:jc w:val="center"/>
      </w:pPr>
      <w:r>
        <w:rPr>
          <w:sz w:val="18"/>
        </w:rPr>
        <w:t>Name: KUNCHA PRANAY KRISHNA    |    SRN: PES1UG24CS242    |    Section: D</w:t>
      </w:r>
    </w:p>
    <w:p>
      <w:pPr>
        <w:spacing w:before="80" w:after="40"/>
      </w:pPr>
      <w:r>
        <w:rPr>
          <w:b/>
          <w:sz w:val="21"/>
        </w:rPr>
        <w:t>1. Architectural Style Analysis</w:t>
      </w:r>
    </w:p>
    <w:tbl>
      <w:tblPr>
        <w:tblStyle w:val="TableGrid"/>
        <w:tblW w:type="auto" w:w="0"/>
        <w:jc w:val="center"/>
        <w:tblLook w:firstColumn="1" w:firstRow="1" w:lastColumn="0" w:lastRow="0" w:noHBand="0" w:noVBand="1" w:val="04A0"/>
      </w:tblPr>
      <w:tblGrid>
        <w:gridCol w:w="3456"/>
        <w:gridCol w:w="3456"/>
        <w:gridCol w:w="3456"/>
      </w:tblGrid>
      <w:tr>
        <w:tc>
          <w:tcPr>
            <w:tcW w:type="dxa" w:w="3456"/>
          </w:tcPr>
          <w:p>
            <w:r>
              <w:rPr>
                <w:b/>
                <w:sz w:val="17"/>
              </w:rPr>
              <w:t>Architecture</w:t>
            </w:r>
          </w:p>
        </w:tc>
        <w:tc>
          <w:tcPr>
            <w:tcW w:type="dxa" w:w="3456"/>
          </w:tcPr>
          <w:p>
            <w:r>
              <w:rPr>
                <w:b/>
                <w:sz w:val="17"/>
              </w:rPr>
              <w:t>Advantages</w:t>
            </w:r>
          </w:p>
        </w:tc>
        <w:tc>
          <w:tcPr>
            <w:tcW w:type="dxa" w:w="3456"/>
          </w:tcPr>
          <w:p>
            <w:r>
              <w:rPr>
                <w:b/>
                <w:sz w:val="17"/>
              </w:rPr>
              <w:t>Disadvantages</w:t>
            </w:r>
          </w:p>
        </w:tc>
      </w:tr>
      <w:tr>
        <w:tc>
          <w:tcPr>
            <w:tcW w:type="dxa" w:w="3456"/>
            <w:vAlign w:val="center"/>
          </w:tcPr>
          <w:p>
            <w:r>
              <w:rPr>
                <w:rFonts w:ascii="Arial" w:hAnsi="Arial"/>
                <w:sz w:val="16"/>
              </w:rPr>
              <w:t>Layered</w:t>
            </w:r>
          </w:p>
        </w:tc>
        <w:tc>
          <w:tcPr>
            <w:tcW w:type="dxa" w:w="3456"/>
            <w:vAlign w:val="center"/>
          </w:tcPr>
          <w:p>
            <w:r>
              <w:rPr>
                <w:rFonts w:ascii="Arial" w:hAnsi="Arial"/>
                <w:sz w:val="16"/>
              </w:rPr>
              <w:t>Clear separation of concerns; easy to understand and maintain; suitable for traditional applications.</w:t>
            </w:r>
          </w:p>
        </w:tc>
        <w:tc>
          <w:tcPr>
            <w:tcW w:type="dxa" w:w="3456"/>
            <w:vAlign w:val="center"/>
          </w:tcPr>
          <w:p>
            <w:r>
              <w:rPr>
                <w:rFonts w:ascii="Arial" w:hAnsi="Arial"/>
                <w:sz w:val="16"/>
              </w:rPr>
              <w:t>Performance overhead between layers; possible tight coupling; individual components are harder to scale.</w:t>
            </w:r>
          </w:p>
        </w:tc>
      </w:tr>
      <w:tr>
        <w:tc>
          <w:tcPr>
            <w:tcW w:type="dxa" w:w="3456"/>
            <w:vAlign w:val="center"/>
          </w:tcPr>
          <w:p>
            <w:r>
              <w:rPr>
                <w:rFonts w:ascii="Arial" w:hAnsi="Arial"/>
                <w:sz w:val="16"/>
              </w:rPr>
              <w:t>Microservices</w:t>
            </w:r>
          </w:p>
        </w:tc>
        <w:tc>
          <w:tcPr>
            <w:tcW w:type="dxa" w:w="3456"/>
            <w:vAlign w:val="center"/>
          </w:tcPr>
          <w:p>
            <w:r>
              <w:rPr>
                <w:rFonts w:ascii="Arial" w:hAnsi="Arial"/>
                <w:sz w:val="16"/>
              </w:rPr>
              <w:t>Independent scaling; fault isolation; independent deployment; technology diversity.</w:t>
            </w:r>
          </w:p>
        </w:tc>
        <w:tc>
          <w:tcPr>
            <w:tcW w:type="dxa" w:w="3456"/>
            <w:vAlign w:val="center"/>
          </w:tcPr>
          <w:p>
            <w:r>
              <w:rPr>
                <w:rFonts w:ascii="Arial" w:hAnsi="Arial"/>
                <w:sz w:val="16"/>
              </w:rPr>
              <w:t>Higher operational complexity; network latency; data consistency challenges.</w:t>
            </w:r>
          </w:p>
        </w:tc>
      </w:tr>
      <w:tr>
        <w:tc>
          <w:tcPr>
            <w:tcW w:type="dxa" w:w="3456"/>
            <w:vAlign w:val="center"/>
          </w:tcPr>
          <w:p>
            <w:r>
              <w:rPr>
                <w:rFonts w:ascii="Arial" w:hAnsi="Arial"/>
                <w:sz w:val="16"/>
              </w:rPr>
              <w:t>Client-Server</w:t>
            </w:r>
          </w:p>
        </w:tc>
        <w:tc>
          <w:tcPr>
            <w:tcW w:type="dxa" w:w="3456"/>
            <w:vAlign w:val="center"/>
          </w:tcPr>
          <w:p>
            <w:r>
              <w:rPr>
                <w:rFonts w:ascii="Arial" w:hAnsi="Arial"/>
                <w:sz w:val="16"/>
              </w:rPr>
              <w:t>Centralized control; simple deployment; easier data consistency.</w:t>
            </w:r>
          </w:p>
        </w:tc>
        <w:tc>
          <w:tcPr>
            <w:tcW w:type="dxa" w:w="3456"/>
            <w:vAlign w:val="center"/>
          </w:tcPr>
          <w:p>
            <w:r>
              <w:rPr>
                <w:rFonts w:ascii="Arial" w:hAnsi="Arial"/>
                <w:sz w:val="16"/>
              </w:rPr>
              <w:t>Single point of failure; possible scalability bottleneck; limited fault tolerance.</w:t>
            </w:r>
          </w:p>
        </w:tc>
      </w:tr>
    </w:tbl>
    <w:p>
      <w:pPr>
        <w:spacing w:before="80" w:after="40"/>
      </w:pPr>
      <w:r>
        <w:rPr>
          <w:b/>
          <w:sz w:val="21"/>
        </w:rPr>
        <w:t>2. Architecture Selection</w:t>
      </w:r>
    </w:p>
    <w:p>
      <w:pPr>
        <w:spacing w:after="40"/>
      </w:pPr>
      <w:r>
        <w:rPr>
          <w:b/>
        </w:rPr>
        <w:t>We chose Layered Architecture for the Local Sports Tournament &amp; Bracket Manager.</w:t>
      </w:r>
    </w:p>
    <w:p>
      <w:pPr>
        <w:spacing w:before="80" w:after="40"/>
      </w:pPr>
      <w:r>
        <w:rPr>
          <w:b/>
          <w:sz w:val="21"/>
        </w:rPr>
        <w:t>3. Architectural Choice and Reasons</w:t>
      </w:r>
    </w:p>
    <w:p>
      <w:pPr>
        <w:spacing w:after="40"/>
        <w:ind w:left="173"/>
      </w:pPr>
      <w:r>
        <w:rPr>
          <w:b/>
        </w:rPr>
        <w:t xml:space="preserve">Reason 1 – Separation of responsibilities: </w:t>
      </w:r>
      <w:r>
        <w:t>The system can separate the presentation, tournament business logic, and data management. This keeps user interaction, tournament processing, and persistent data operations organized into distinct layers.</w:t>
      </w:r>
    </w:p>
    <w:p>
      <w:pPr>
        <w:spacing w:after="40"/>
        <w:ind w:left="173"/>
      </w:pPr>
      <w:r>
        <w:rPr>
          <w:b/>
        </w:rPr>
        <w:t xml:space="preserve">Reason 2 – Suitable for tournament operations: </w:t>
      </w:r>
      <w:r>
        <w:t>Tournament functions such as creating tournaments, managing teams, selecting the format, generating brackets, recording match scores, advancing winners, and calculating standings can be handled by dedicated business components.</w:t>
      </w:r>
    </w:p>
    <w:p>
      <w:pPr>
        <w:spacing w:before="80" w:after="40"/>
      </w:pPr>
      <w:r>
        <w:rPr>
          <w:b/>
          <w:sz w:val="21"/>
        </w:rPr>
        <w:t>4. Security Advantage</w:t>
      </w:r>
    </w:p>
    <w:p>
      <w:pPr>
        <w:spacing w:after="40"/>
      </w:pPr>
      <w:r>
        <w:t>Database access can be controlled through the application layers instead of allowing users to directly access tournament data. This helps protect submitted scores, team information, and tournament records from unauthorized direct access.</w:t>
      </w:r>
    </w:p>
    <w:p>
      <w:pPr>
        <w:spacing w:before="80" w:after="40"/>
      </w:pPr>
      <w:r>
        <w:rPr>
          <w:b/>
          <w:sz w:val="21"/>
        </w:rPr>
        <w:t>5. Performance Benefit</w:t>
      </w:r>
    </w:p>
    <w:p>
      <w:pPr>
        <w:spacing w:after="40"/>
      </w:pPr>
      <w:r>
        <w:t>The layered design allows score processing and standings calculations to be handled by dedicated business components and optimized data operations. This supports the Lab 1 requirement that standings, goal differentials, tiebreakers, and leaderboard updates should be completed within 200 ms of a valid score submission.</w:t>
      </w:r>
    </w:p>
    <w:p>
      <w:pPr>
        <w:spacing w:before="80" w:after="40"/>
      </w:pPr>
      <w:r>
        <w:rPr>
          <w:b/>
          <w:sz w:val="21"/>
        </w:rPr>
        <w:t>6. Component Summary</w:t>
      </w:r>
    </w:p>
    <w:tbl>
      <w:tblPr>
        <w:tblStyle w:val="TableGrid"/>
        <w:tblW w:type="auto" w:w="0"/>
        <w:jc w:val="center"/>
        <w:tblLook w:firstColumn="1" w:firstRow="1" w:lastColumn="0" w:lastRow="0" w:noHBand="0" w:noVBand="1" w:val="04A0"/>
      </w:tblPr>
      <w:tblGrid>
        <w:gridCol w:w="5184"/>
        <w:gridCol w:w="5184"/>
      </w:tblGrid>
      <w:tr>
        <w:tc>
          <w:tcPr>
            <w:tcW w:type="dxa" w:w="5184"/>
          </w:tcPr>
          <w:p>
            <w:r>
              <w:rPr>
                <w:rFonts w:ascii="Arial" w:hAnsi="Arial"/>
                <w:b/>
                <w:sz w:val="17"/>
              </w:rPr>
              <w:t>Layer</w:t>
            </w:r>
          </w:p>
        </w:tc>
        <w:tc>
          <w:tcPr>
            <w:tcW w:type="dxa" w:w="5184"/>
          </w:tcPr>
          <w:p>
            <w:r>
              <w:rPr>
                <w:rFonts w:ascii="Arial" w:hAnsi="Arial"/>
                <w:b/>
                <w:sz w:val="17"/>
              </w:rPr>
              <w:t>Components</w:t>
            </w:r>
          </w:p>
        </w:tc>
      </w:tr>
      <w:tr>
        <w:tc>
          <w:tcPr>
            <w:tcW w:type="dxa" w:w="5184"/>
          </w:tcPr>
          <w:p>
            <w:r>
              <w:rPr>
                <w:rFonts w:ascii="Arial" w:hAnsi="Arial"/>
                <w:sz w:val="17"/>
              </w:rPr>
              <w:t>Presentation Layer</w:t>
            </w:r>
          </w:p>
        </w:tc>
        <w:tc>
          <w:tcPr>
            <w:tcW w:type="dxa" w:w="5184"/>
          </w:tcPr>
          <w:p>
            <w:r>
              <w:rPr>
                <w:rFonts w:ascii="Arial" w:hAnsi="Arial"/>
                <w:sz w:val="17"/>
              </w:rPr>
              <w:t>Tournament User Interface</w:t>
            </w:r>
          </w:p>
        </w:tc>
      </w:tr>
      <w:tr>
        <w:tc>
          <w:tcPr>
            <w:tcW w:type="dxa" w:w="5184"/>
          </w:tcPr>
          <w:p>
            <w:r>
              <w:rPr>
                <w:rFonts w:ascii="Arial" w:hAnsi="Arial"/>
                <w:sz w:val="17"/>
              </w:rPr>
              <w:t>Business Layer</w:t>
            </w:r>
          </w:p>
        </w:tc>
        <w:tc>
          <w:tcPr>
            <w:tcW w:type="dxa" w:w="5184"/>
          </w:tcPr>
          <w:p>
            <w:r>
              <w:rPr>
                <w:rFonts w:ascii="Arial" w:hAnsi="Arial"/>
                <w:sz w:val="17"/>
              </w:rPr>
              <w:t>Tournament Management; Bracket Management; Match &amp; Score Management; Standings &amp; Tiebreaker</w:t>
            </w:r>
          </w:p>
        </w:tc>
      </w:tr>
      <w:tr>
        <w:tc>
          <w:tcPr>
            <w:tcW w:type="dxa" w:w="5184"/>
          </w:tcPr>
          <w:p>
            <w:r>
              <w:rPr>
                <w:rFonts w:ascii="Arial" w:hAnsi="Arial"/>
                <w:sz w:val="17"/>
              </w:rPr>
              <w:t>Data Layer</w:t>
            </w:r>
          </w:p>
        </w:tc>
        <w:tc>
          <w:tcPr>
            <w:tcW w:type="dxa" w:w="5184"/>
          </w:tcPr>
          <w:p>
            <w:r>
              <w:rPr>
                <w:rFonts w:ascii="Arial" w:hAnsi="Arial"/>
                <w:sz w:val="17"/>
              </w:rPr>
              <w:t>Tournament Database</w:t>
            </w:r>
          </w:p>
        </w:tc>
      </w:tr>
    </w:tbl>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