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34"/>
        </w:rPr>
        <w:t>CSET485 – AI and Society: Assignment #1 (10 Marks)</w:t>
      </w:r>
    </w:p>
    <w:p>
      <w:pPr>
        <w:spacing w:after="120"/>
      </w:pPr>
      <w:r>
        <w:rPr>
          <w:color w:val="475569"/>
          <w:sz w:val="23"/>
        </w:rPr>
        <w:t>Algorithmic Stress-Testing, Hidden Confounds &amp; Fairness Trade-Offs in Credit Underwriting</w:t>
      </w:r>
    </w:p>
    <w:tbl>
      <w:tblPr>
        <w:tblW w:type="auto" w:w="0"/>
        <w:jc w:val="center"/>
        <w:tblLook w:firstColumn="1" w:firstRow="1" w:lastColumn="0" w:lastRow="0" w:noHBand="0" w:noVBand="1" w:val="04A0"/>
      </w:tblPr>
      <w:tblGrid>
        <w:gridCol w:w="3360"/>
        <w:gridCol w:w="3360"/>
        <w:gridCol w:w="3360"/>
      </w:tblGrid>
      <w:tr>
        <w:tc>
          <w:tcPr>
            <w:tcW w:type="dxa" w:w="3312"/>
            <w:shd w:fill="F1F5F9"/>
            <w:tcMar>
              <w:top w:w="50" w:type="dxa"/>
              <w:bottom w:w="50" w:type="dxa"/>
              <w:left w:w="70" w:type="dxa"/>
              <w:right w:w="70" w:type="dxa"/>
            </w:tcMar>
          </w:tcPr>
          <w:p>
            <w:pPr>
              <w:spacing w:after="0"/>
            </w:pPr>
            <w:r>
              <w:rPr>
                <w:b/>
                <w:color w:val="1E40AF"/>
                <w:sz w:val="19"/>
              </w:rPr>
              <w:t>Enrollment ID:</w:t>
            </w:r>
            <w:r>
              <w:rPr>
                <w:sz w:val="19"/>
              </w:rPr>
              <w:t xml:space="preserve"> s24bcau0154</w:t>
            </w:r>
          </w:p>
        </w:tc>
        <w:tc>
          <w:tcPr>
            <w:tcW w:type="dxa" w:w="3312"/>
            <w:shd w:fill="F1F5F9"/>
            <w:tcMar>
              <w:top w:w="50" w:type="dxa"/>
              <w:bottom w:w="50" w:type="dxa"/>
              <w:left w:w="70" w:type="dxa"/>
              <w:right w:w="70" w:type="dxa"/>
            </w:tcMar>
          </w:tcPr>
          <w:p>
            <w:pPr>
              <w:spacing w:after="0"/>
            </w:pPr>
            <w:r>
              <w:rPr>
                <w:b/>
                <w:color w:val="1E40AF"/>
                <w:sz w:val="19"/>
              </w:rPr>
              <w:t>Assigned Dataset:</w:t>
            </w:r>
            <w:r>
              <w:rPr>
                <w:sz w:val="19"/>
              </w:rPr>
              <w:t xml:space="preserve"> German Credit Data (Statlog)</w:t>
            </w:r>
          </w:p>
        </w:tc>
        <w:tc>
          <w:tcPr>
            <w:tcW w:type="dxa" w:w="3312"/>
            <w:shd w:fill="F1F5F9"/>
            <w:tcMar>
              <w:top w:w="50" w:type="dxa"/>
              <w:bottom w:w="50" w:type="dxa"/>
              <w:left w:w="70" w:type="dxa"/>
              <w:right w:w="70" w:type="dxa"/>
            </w:tcMar>
          </w:tcPr>
          <w:p>
            <w:pPr>
              <w:spacing w:after="0"/>
            </w:pPr>
            <w:r>
              <w:rPr>
                <w:b/>
                <w:color w:val="1E40AF"/>
                <w:sz w:val="19"/>
              </w:rPr>
              <w:t>Seed:</w:t>
            </w:r>
            <w:r>
              <w:rPr>
                <w:sz w:val="19"/>
              </w:rPr>
              <w:t xml:space="preserve"> 154 (Last 3 digits)</w:t>
            </w:r>
          </w:p>
        </w:tc>
      </w:tr>
      <w:tr>
        <w:tc>
          <w:tcPr>
            <w:tcW w:type="dxa" w:w="3312"/>
            <w:shd w:fill="F1F5F9"/>
            <w:tcMar>
              <w:top w:w="50" w:type="dxa"/>
              <w:bottom w:w="50" w:type="dxa"/>
              <w:left w:w="70" w:type="dxa"/>
              <w:right w:w="70" w:type="dxa"/>
            </w:tcMar>
          </w:tcPr>
          <w:p>
            <w:pPr>
              <w:spacing w:after="0"/>
            </w:pPr>
            <w:r>
              <w:rPr>
                <w:b/>
                <w:color w:val="1E40AF"/>
                <w:sz w:val="19"/>
              </w:rPr>
              <w:t>Partition:</w:t>
            </w:r>
            <w:r>
              <w:rPr>
                <w:sz w:val="19"/>
              </w:rPr>
              <w:t xml:space="preserve"> 70% Train (700) / 30% Test (300)</w:t>
            </w:r>
          </w:p>
        </w:tc>
        <w:tc>
          <w:tcPr>
            <w:tcW w:type="dxa" w:w="3312"/>
            <w:shd w:fill="F1F5F9"/>
            <w:tcMar>
              <w:top w:w="50" w:type="dxa"/>
              <w:bottom w:w="50" w:type="dxa"/>
              <w:left w:w="70" w:type="dxa"/>
              <w:right w:w="70" w:type="dxa"/>
            </w:tcMar>
          </w:tcPr>
          <w:p>
            <w:pPr>
              <w:spacing w:after="0"/>
            </w:pPr>
            <w:r>
              <w:rPr>
                <w:b/>
                <w:color w:val="1E40AF"/>
                <w:sz w:val="19"/>
              </w:rPr>
              <w:t>Target:</w:t>
            </w:r>
            <w:r>
              <w:rPr>
                <w:sz w:val="19"/>
              </w:rPr>
              <w:t xml:space="preserve"> Approval (1=Approve, 0=Reject)</w:t>
            </w:r>
          </w:p>
        </w:tc>
        <w:tc>
          <w:tcPr>
            <w:tcW w:type="dxa" w:w="3312"/>
            <w:shd w:fill="F1F5F9"/>
            <w:tcMar>
              <w:top w:w="50" w:type="dxa"/>
              <w:bottom w:w="50" w:type="dxa"/>
              <w:left w:w="70" w:type="dxa"/>
              <w:right w:w="70" w:type="dxa"/>
            </w:tcMar>
          </w:tcPr>
          <w:p>
            <w:pPr>
              <w:spacing w:after="0"/>
            </w:pPr>
            <w:r>
              <w:rPr>
                <w:b/>
                <w:color w:val="1E40AF"/>
                <w:sz w:val="19"/>
              </w:rPr>
              <w:t>Reproducibility:</w:t>
            </w:r>
            <w:r>
              <w:rPr>
                <w:sz w:val="19"/>
              </w:rPr>
              <w:t xml:space="preserve"> Full Jupyter Notebook</w:t>
            </w:r>
          </w:p>
        </w:tc>
      </w:tr>
    </w:tbl>
    <w:p>
      <w:pPr>
        <w:spacing w:before="120" w:after="80"/>
      </w:pPr>
      <w:r>
        <w:rPr>
          <w:b/>
        </w:rPr>
        <w:t xml:space="preserve">Objective: </w:t>
      </w:r>
      <w:r>
        <w:t>High-stakes predictive algorithms in credit lending frequently appear statistically sound while concealing demographic disparities, severe omitted-variable bias, and irreconcilable fairness trade-offs. Using the German Credit dataset (N=1,000), this report stress-tests Linear OLS and Logistic Regression across threshold mismatches, Simpson's paradox, omitted-variable bias, adversarial failure clusters, and parametric fairness frontiers. All conclusions directly reference our computed numbers.</w:t>
      </w:r>
    </w:p>
    <w:p>
      <w:pPr>
        <w:keepNext/>
        <w:spacing w:before="200" w:after="60"/>
      </w:pPr>
      <w:r>
        <w:rPr>
          <w:b/>
          <w:color w:val="1E3A8A"/>
          <w:sz w:val="26"/>
        </w:rPr>
        <w:t>Data Preprocessing &amp; Exploratory Audit</w:t>
      </w:r>
    </w:p>
    <w:p>
      <w:r>
        <w:t>1. Missing Values: Verified exactly 0 missing values across all 1,000 instances and 20 features, conforming to documentation.</w:t>
        <w:br/>
        <w:t>2. Categorical Encoding: 13 qualitative features were encoded via One-Hot Encoding dropping the first category (drop_first=True) to avoid multicollinearity and dummy variable traps, yielding 41 indicator columns and 7 continuous regressors (48 total modeled predictors).</w:t>
        <w:br/>
        <w:t>3. Feature Scaling: Standardized all 7 continuous features (duration, credit_amount, installment_commitment, residence_since, age, existing_credits, num_dependents) using StandardScaler fit strictly on the 70% training split (N=700, seed=154) to eliminate data leakage.</w:t>
        <w:br/>
        <w:t>4. Outlier Rationale: Identified 70 outliers in duration (7.0%), 72 in credit_amount (7.2%), and 23 in age (2.3%) via the 1.5 x IQR rule. These were deliberately preserved without clipping; high balances and long maturities represent legitimate tail-risk default liabilities that underwriting models must learn.</w:t>
      </w:r>
    </w:p>
    <w:p>
      <w:pPr>
        <w:keepNext/>
        <w:spacing w:before="200" w:after="60"/>
      </w:pPr>
      <w:r>
        <w:rPr>
          <w:b/>
          <w:color w:val="1E3A8A"/>
          <w:sz w:val="26"/>
        </w:rPr>
        <w:t>Part 1 — Model Fitting &amp; Threshold Mismatch Analysis</w:t>
      </w:r>
    </w:p>
    <w:p>
      <w:r>
        <w:t>Both models were fitted on the identical 700-sample training matrix (train approval base rate: 69.71%, test base rate: 70.67%):</w:t>
        <w:br/>
        <w:t>• Model A (Linear OLS Regression): Continuous predictions Y_hat on the test set range from -0.0211 to 1.3459 with an empirical median of 0.7151. Mandating the threshold at the median (Y_hat &gt;= 0.7151) classifies exactly 150 instances (50.0%) as positive.</w:t>
        <w:br/>
        <w:t>• Model B (Logistic Regression): Sigmoidal probabilities P_hat range in [0.0628, 0.9946]. Thresholding at standard P_hat &gt;= 0.50 classifies 240 instances (80.0%) as positive. Test accuracy: Model B = 75.33% vs. Model A = 68.00%.</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50" w:type="dxa"/>
              <w:bottom w:w="50" w:type="dxa"/>
              <w:left w:w="70" w:type="dxa"/>
              <w:right w:w="70" w:type="dxa"/>
            </w:tcMar>
          </w:tcPr>
          <w:p>
            <w:pPr>
              <w:spacing w:after="0"/>
            </w:pPr>
            <w:r>
              <w:rPr>
                <w:b/>
                <w:color w:val="FFFFFF"/>
                <w:sz w:val="18"/>
              </w:rPr>
              <w:t>Classification Alignment</w:t>
            </w:r>
          </w:p>
        </w:tc>
        <w:tc>
          <w:tcPr>
            <w:tcW w:type="dxa" w:w="2520"/>
            <w:shd w:fill="1E3A8A"/>
            <w:tcMar>
              <w:top w:w="50" w:type="dxa"/>
              <w:bottom w:w="50" w:type="dxa"/>
              <w:left w:w="70" w:type="dxa"/>
              <w:right w:w="70" w:type="dxa"/>
            </w:tcMar>
          </w:tcPr>
          <w:p>
            <w:pPr>
              <w:spacing w:after="0"/>
            </w:pPr>
            <w:r>
              <w:rPr>
                <w:b/>
                <w:color w:val="FFFFFF"/>
                <w:sz w:val="18"/>
              </w:rPr>
              <w:t>Model A Negative (&lt; Median)</w:t>
            </w:r>
          </w:p>
        </w:tc>
        <w:tc>
          <w:tcPr>
            <w:tcW w:type="dxa" w:w="2520"/>
            <w:shd w:fill="1E3A8A"/>
            <w:tcMar>
              <w:top w:w="50" w:type="dxa"/>
              <w:bottom w:w="50" w:type="dxa"/>
              <w:left w:w="70" w:type="dxa"/>
              <w:right w:w="70" w:type="dxa"/>
            </w:tcMar>
          </w:tcPr>
          <w:p>
            <w:pPr>
              <w:spacing w:after="0"/>
            </w:pPr>
            <w:r>
              <w:rPr>
                <w:b/>
                <w:color w:val="FFFFFF"/>
                <w:sz w:val="18"/>
              </w:rPr>
              <w:t>Model A Positive (&gt;= Median 0.7151)</w:t>
            </w:r>
          </w:p>
        </w:tc>
        <w:tc>
          <w:tcPr>
            <w:tcW w:type="dxa" w:w="2520"/>
            <w:shd w:fill="1E3A8A"/>
            <w:tcMar>
              <w:top w:w="50" w:type="dxa"/>
              <w:bottom w:w="50" w:type="dxa"/>
              <w:left w:w="70" w:type="dxa"/>
              <w:right w:w="70" w:type="dxa"/>
            </w:tcMar>
          </w:tcPr>
          <w:p>
            <w:pPr>
              <w:spacing w:after="0"/>
            </w:pPr>
            <w:r>
              <w:rPr>
                <w:b/>
                <w:color w:val="FFFFFF"/>
                <w:sz w:val="18"/>
              </w:rPr>
              <w:t>Total Model B</w:t>
            </w:r>
          </w:p>
        </w:tc>
      </w:tr>
      <w:tr>
        <w:tc>
          <w:tcPr>
            <w:tcW w:type="dxa" w:w="2520"/>
            <w:tcMar>
              <w:top w:w="45" w:type="dxa"/>
              <w:bottom w:w="45" w:type="dxa"/>
              <w:left w:w="70" w:type="dxa"/>
              <w:right w:w="70" w:type="dxa"/>
            </w:tcMar>
          </w:tcPr>
          <w:p>
            <w:pPr>
              <w:spacing w:after="0"/>
            </w:pPr>
            <w:r>
              <w:rPr>
                <w:sz w:val="18"/>
              </w:rPr>
              <w:t>Model B Negative (&lt; 0.50)</w:t>
            </w:r>
          </w:p>
        </w:tc>
        <w:tc>
          <w:tcPr>
            <w:tcW w:type="dxa" w:w="2520"/>
            <w:tcMar>
              <w:top w:w="45" w:type="dxa"/>
              <w:bottom w:w="45" w:type="dxa"/>
              <w:left w:w="70" w:type="dxa"/>
              <w:right w:w="70" w:type="dxa"/>
            </w:tcMar>
          </w:tcPr>
          <w:p>
            <w:pPr>
              <w:spacing w:after="0"/>
            </w:pPr>
            <w:r>
              <w:rPr>
                <w:sz w:val="18"/>
              </w:rPr>
              <w:t>60 (True Agreement)</w:t>
            </w:r>
          </w:p>
        </w:tc>
        <w:tc>
          <w:tcPr>
            <w:tcW w:type="dxa" w:w="2520"/>
            <w:tcMar>
              <w:top w:w="45" w:type="dxa"/>
              <w:bottom w:w="45" w:type="dxa"/>
              <w:left w:w="70" w:type="dxa"/>
              <w:right w:w="70" w:type="dxa"/>
            </w:tcMar>
          </w:tcPr>
          <w:p>
            <w:pPr>
              <w:spacing w:after="0"/>
            </w:pPr>
            <w:r>
              <w:rPr>
                <w:sz w:val="18"/>
              </w:rPr>
              <w:t>0</w:t>
            </w:r>
          </w:p>
        </w:tc>
        <w:tc>
          <w:tcPr>
            <w:tcW w:type="dxa" w:w="2520"/>
            <w:tcMar>
              <w:top w:w="45" w:type="dxa"/>
              <w:bottom w:w="45" w:type="dxa"/>
              <w:left w:w="70" w:type="dxa"/>
              <w:right w:w="70" w:type="dxa"/>
            </w:tcMar>
          </w:tcPr>
          <w:p>
            <w:pPr>
              <w:spacing w:after="0"/>
            </w:pPr>
            <w:r>
              <w:rPr>
                <w:sz w:val="18"/>
              </w:rPr>
              <w:t>60 (20.0%)</w:t>
            </w:r>
          </w:p>
        </w:tc>
      </w:tr>
      <w:tr>
        <w:tc>
          <w:tcPr>
            <w:tcW w:type="dxa" w:w="2520"/>
            <w:shd w:fill="F8FAFC"/>
            <w:tcMar>
              <w:top w:w="45" w:type="dxa"/>
              <w:bottom w:w="45" w:type="dxa"/>
              <w:left w:w="70" w:type="dxa"/>
              <w:right w:w="70" w:type="dxa"/>
            </w:tcMar>
          </w:tcPr>
          <w:p>
            <w:pPr>
              <w:spacing w:after="0"/>
            </w:pPr>
            <w:r>
              <w:rPr>
                <w:sz w:val="18"/>
              </w:rPr>
              <w:t>Model B Positive (&gt;= 0.50)</w:t>
            </w:r>
          </w:p>
        </w:tc>
        <w:tc>
          <w:tcPr>
            <w:tcW w:type="dxa" w:w="2520"/>
            <w:shd w:fill="FEE2E2"/>
            <w:tcMar>
              <w:top w:w="45" w:type="dxa"/>
              <w:bottom w:w="45" w:type="dxa"/>
              <w:left w:w="70" w:type="dxa"/>
              <w:right w:w="70" w:type="dxa"/>
            </w:tcMar>
          </w:tcPr>
          <w:p>
            <w:pPr>
              <w:spacing w:after="0"/>
            </w:pPr>
            <w:r>
              <w:rPr>
                <w:b/>
                <w:sz w:val="18"/>
              </w:rPr>
              <w:t>90 (Mismatched: 30.0%)</w:t>
            </w:r>
          </w:p>
        </w:tc>
        <w:tc>
          <w:tcPr>
            <w:tcW w:type="dxa" w:w="2520"/>
            <w:shd w:fill="F8FAFC"/>
            <w:tcMar>
              <w:top w:w="45" w:type="dxa"/>
              <w:bottom w:w="45" w:type="dxa"/>
              <w:left w:w="70" w:type="dxa"/>
              <w:right w:w="70" w:type="dxa"/>
            </w:tcMar>
          </w:tcPr>
          <w:p>
            <w:pPr>
              <w:spacing w:after="0"/>
            </w:pPr>
            <w:r>
              <w:rPr>
                <w:sz w:val="18"/>
              </w:rPr>
              <w:t>150 (True Agreement)</w:t>
            </w:r>
          </w:p>
        </w:tc>
        <w:tc>
          <w:tcPr>
            <w:tcW w:type="dxa" w:w="2520"/>
            <w:shd w:fill="F8FAFC"/>
            <w:tcMar>
              <w:top w:w="45" w:type="dxa"/>
              <w:bottom w:w="45" w:type="dxa"/>
              <w:left w:w="70" w:type="dxa"/>
              <w:right w:w="70" w:type="dxa"/>
            </w:tcMar>
          </w:tcPr>
          <w:p>
            <w:pPr>
              <w:spacing w:after="0"/>
            </w:pPr>
            <w:r>
              <w:rPr>
                <w:sz w:val="18"/>
              </w:rPr>
              <w:t>240 (80.0%)</w:t>
            </w:r>
          </w:p>
        </w:tc>
      </w:tr>
    </w:tbl>
    <w:p>
      <w:r>
        <w:t>Mechanism: Exactly 90 out of 300 individuals (30.00%) are mismatched. Model A forces a relative rank median split (50/50), rejecting qualified borrowers in the corridor 0.5000 &lt;= P_hat_B &lt; 0.7151, while Model B reflects the true 70.67% base rate.</w:t>
      </w:r>
    </w:p>
    <w:p>
      <w:pPr>
        <w:spacing w:after="80"/>
        <w:jc w:val="center"/>
      </w:pPr>
      <w:r>
        <w:drawing>
          <wp:inline xmlns:a="http://schemas.openxmlformats.org/drawingml/2006/main" xmlns:pic="http://schemas.openxmlformats.org/drawingml/2006/picture">
            <wp:extent cx="4572000" cy="1632857"/>
            <wp:docPr id="1" name="Picture 1"/>
            <wp:cNvGraphicFramePr>
              <a:graphicFrameLocks noChangeAspect="1"/>
            </wp:cNvGraphicFramePr>
            <a:graphic>
              <a:graphicData uri="http://schemas.openxmlformats.org/drawingml/2006/picture">
                <pic:pic>
                  <pic:nvPicPr>
                    <pic:cNvPr id="0" name="part1_model_comparison.png"/>
                    <pic:cNvPicPr/>
                  </pic:nvPicPr>
                  <pic:blipFill>
                    <a:blip r:embed="rId11"/>
                    <a:stretch>
                      <a:fillRect/>
                    </a:stretch>
                  </pic:blipFill>
                  <pic:spPr>
                    <a:xfrm>
                      <a:off x="0" y="0"/>
                      <a:ext cx="4572000" cy="1632857"/>
                    </a:xfrm>
                    <a:prstGeom prst="rect"/>
                  </pic:spPr>
                </pic:pic>
              </a:graphicData>
            </a:graphic>
          </wp:inline>
        </w:drawing>
      </w:r>
    </w:p>
    <w:p>
      <w:pPr>
        <w:keepNext/>
        <w:spacing w:before="200" w:after="60"/>
      </w:pPr>
      <w:r>
        <w:rPr>
          <w:b/>
          <w:color w:val="1E3A8A"/>
          <w:sz w:val="26"/>
        </w:rPr>
        <w:t>Part 2.1 — Simpson's Paradox Hunt</w:t>
      </w:r>
    </w:p>
    <w:p>
      <w:r>
        <w:t>1. Sign Reversal on Existing Credits across Age: In the full population (N=1,000), bivariate logistic regression indicates that existing credits increase approval odds (beta = +0.1780). Disaggregating by age reveals an acute sign reversal: for Young Adults (&lt;30, N=371), the coefficient reverses to negative (beta = -0.2203), while for Mature Adults (&gt;=30, N=629), it is strongly positive (beta = +0.3083, p = 0.0519). For young borrowers, multiple loans signal emergency borrowing and liquidity distress; for mature adults, they reflect established credit history.</w:t>
        <w:br/>
        <w:t>2. Age Divergence across Gender: In standardized multivariable regression, applicant age has zero statistical impact on men (beta_Male = +0.0604, p = 0.5204), but acts as an enormous protective factor for women (beta_Female = +0.4741, p = 0.0013)—an effect size nearly eight times larger.</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E3A8A"/>
            <w:tcMar>
              <w:top w:w="50" w:type="dxa"/>
              <w:bottom w:w="50" w:type="dxa"/>
              <w:left w:w="70" w:type="dxa"/>
              <w:right w:w="70" w:type="dxa"/>
            </w:tcMar>
          </w:tcPr>
          <w:p>
            <w:pPr>
              <w:spacing w:after="0"/>
            </w:pPr>
            <w:r>
              <w:rPr>
                <w:b/>
                <w:color w:val="FFFFFF"/>
                <w:sz w:val="17"/>
              </w:rPr>
              <w:t>Cohort / Subgroup</w:t>
            </w:r>
          </w:p>
        </w:tc>
        <w:tc>
          <w:tcPr>
            <w:tcW w:type="dxa" w:w="1680"/>
            <w:shd w:fill="1E3A8A"/>
            <w:tcMar>
              <w:top w:w="50" w:type="dxa"/>
              <w:bottom w:w="50" w:type="dxa"/>
              <w:left w:w="70" w:type="dxa"/>
              <w:right w:w="70" w:type="dxa"/>
            </w:tcMar>
          </w:tcPr>
          <w:p>
            <w:pPr>
              <w:spacing w:after="0"/>
            </w:pPr>
            <w:r>
              <w:rPr>
                <w:b/>
                <w:color w:val="FFFFFF"/>
                <w:sz w:val="17"/>
              </w:rPr>
              <w:t>N</w:t>
            </w:r>
          </w:p>
        </w:tc>
        <w:tc>
          <w:tcPr>
            <w:tcW w:type="dxa" w:w="1680"/>
            <w:shd w:fill="1E3A8A"/>
            <w:tcMar>
              <w:top w:w="50" w:type="dxa"/>
              <w:bottom w:w="50" w:type="dxa"/>
              <w:left w:w="70" w:type="dxa"/>
              <w:right w:w="70" w:type="dxa"/>
            </w:tcMar>
          </w:tcPr>
          <w:p>
            <w:pPr>
              <w:spacing w:after="0"/>
            </w:pPr>
            <w:r>
              <w:rPr>
                <w:b/>
                <w:color w:val="FFFFFF"/>
                <w:sz w:val="17"/>
              </w:rPr>
              <w:t>Coef (beta)</w:t>
            </w:r>
          </w:p>
        </w:tc>
        <w:tc>
          <w:tcPr>
            <w:tcW w:type="dxa" w:w="1680"/>
            <w:shd w:fill="1E3A8A"/>
            <w:tcMar>
              <w:top w:w="50" w:type="dxa"/>
              <w:bottom w:w="50" w:type="dxa"/>
              <w:left w:w="70" w:type="dxa"/>
              <w:right w:w="70" w:type="dxa"/>
            </w:tcMar>
          </w:tcPr>
          <w:p>
            <w:pPr>
              <w:spacing w:after="0"/>
            </w:pPr>
            <w:r>
              <w:rPr>
                <w:b/>
                <w:color w:val="FFFFFF"/>
                <w:sz w:val="17"/>
              </w:rPr>
              <w:t>Std. Error</w:t>
            </w:r>
          </w:p>
        </w:tc>
        <w:tc>
          <w:tcPr>
            <w:tcW w:type="dxa" w:w="1680"/>
            <w:shd w:fill="1E3A8A"/>
            <w:tcMar>
              <w:top w:w="50" w:type="dxa"/>
              <w:bottom w:w="50" w:type="dxa"/>
              <w:left w:w="70" w:type="dxa"/>
              <w:right w:w="70" w:type="dxa"/>
            </w:tcMar>
          </w:tcPr>
          <w:p>
            <w:pPr>
              <w:spacing w:after="0"/>
            </w:pPr>
            <w:r>
              <w:rPr>
                <w:b/>
                <w:color w:val="FFFFFF"/>
                <w:sz w:val="17"/>
              </w:rPr>
              <w:t>p-value</w:t>
            </w:r>
          </w:p>
        </w:tc>
        <w:tc>
          <w:tcPr>
            <w:tcW w:type="dxa" w:w="1680"/>
            <w:shd w:fill="1E3A8A"/>
            <w:tcMar>
              <w:top w:w="50" w:type="dxa"/>
              <w:bottom w:w="50" w:type="dxa"/>
              <w:left w:w="70" w:type="dxa"/>
              <w:right w:w="70" w:type="dxa"/>
            </w:tcMar>
          </w:tcPr>
          <w:p>
            <w:pPr>
              <w:spacing w:after="0"/>
            </w:pPr>
            <w:r>
              <w:rPr>
                <w:b/>
                <w:color w:val="FFFFFF"/>
                <w:sz w:val="17"/>
              </w:rPr>
              <w:t>95% Confidence Interval</w:t>
            </w:r>
          </w:p>
        </w:tc>
      </w:tr>
      <w:tr>
        <w:tc>
          <w:tcPr>
            <w:tcW w:type="dxa" w:w="1680"/>
            <w:tcMar>
              <w:top w:w="40" w:type="dxa"/>
              <w:bottom w:w="40" w:type="dxa"/>
              <w:left w:w="70" w:type="dxa"/>
              <w:right w:w="70" w:type="dxa"/>
            </w:tcMar>
          </w:tcPr>
          <w:p>
            <w:pPr>
              <w:spacing w:after="0"/>
            </w:pPr>
            <w:r>
              <w:rPr>
                <w:sz w:val="17"/>
              </w:rPr>
              <w:t>Existing Credits: Full Dataset</w:t>
            </w:r>
          </w:p>
        </w:tc>
        <w:tc>
          <w:tcPr>
            <w:tcW w:type="dxa" w:w="1680"/>
            <w:tcMar>
              <w:top w:w="40" w:type="dxa"/>
              <w:bottom w:w="40" w:type="dxa"/>
              <w:left w:w="70" w:type="dxa"/>
              <w:right w:w="70" w:type="dxa"/>
            </w:tcMar>
          </w:tcPr>
          <w:p>
            <w:pPr>
              <w:spacing w:after="0"/>
            </w:pPr>
            <w:r>
              <w:rPr>
                <w:sz w:val="17"/>
              </w:rPr>
              <w:t>1,000</w:t>
            </w:r>
          </w:p>
        </w:tc>
        <w:tc>
          <w:tcPr>
            <w:tcW w:type="dxa" w:w="1680"/>
            <w:tcMar>
              <w:top w:w="40" w:type="dxa"/>
              <w:bottom w:w="40" w:type="dxa"/>
              <w:left w:w="70" w:type="dxa"/>
              <w:right w:w="70" w:type="dxa"/>
            </w:tcMar>
          </w:tcPr>
          <w:p>
            <w:pPr>
              <w:spacing w:after="0"/>
            </w:pPr>
            <w:r>
              <w:rPr>
                <w:sz w:val="17"/>
              </w:rPr>
              <w:t>+0.1780</w:t>
            </w:r>
          </w:p>
        </w:tc>
        <w:tc>
          <w:tcPr>
            <w:tcW w:type="dxa" w:w="1680"/>
            <w:tcMar>
              <w:top w:w="40" w:type="dxa"/>
              <w:bottom w:w="40" w:type="dxa"/>
              <w:left w:w="70" w:type="dxa"/>
              <w:right w:w="70" w:type="dxa"/>
            </w:tcMar>
          </w:tcPr>
          <w:p>
            <w:pPr>
              <w:spacing w:after="0"/>
            </w:pPr>
            <w:r>
              <w:rPr>
                <w:sz w:val="17"/>
              </w:rPr>
              <w:t>0.1232</w:t>
            </w:r>
          </w:p>
        </w:tc>
        <w:tc>
          <w:tcPr>
            <w:tcW w:type="dxa" w:w="1680"/>
            <w:tcMar>
              <w:top w:w="40" w:type="dxa"/>
              <w:bottom w:w="40" w:type="dxa"/>
              <w:left w:w="70" w:type="dxa"/>
              <w:right w:w="70" w:type="dxa"/>
            </w:tcMar>
          </w:tcPr>
          <w:p>
            <w:pPr>
              <w:spacing w:after="0"/>
            </w:pPr>
            <w:r>
              <w:rPr>
                <w:sz w:val="17"/>
              </w:rPr>
              <w:t>0.1488</w:t>
            </w:r>
          </w:p>
        </w:tc>
        <w:tc>
          <w:tcPr>
            <w:tcW w:type="dxa" w:w="1680"/>
            <w:tcMar>
              <w:top w:w="40" w:type="dxa"/>
              <w:bottom w:w="40" w:type="dxa"/>
              <w:left w:w="70" w:type="dxa"/>
              <w:right w:w="70" w:type="dxa"/>
            </w:tcMar>
          </w:tcPr>
          <w:p>
            <w:pPr>
              <w:spacing w:after="0"/>
            </w:pPr>
            <w:r>
              <w:rPr>
                <w:sz w:val="17"/>
              </w:rPr>
              <w:t>[-0.0636, +0.4195] (Weak Positive)</w:t>
            </w:r>
          </w:p>
        </w:tc>
      </w:tr>
      <w:tr>
        <w:tc>
          <w:tcPr>
            <w:tcW w:type="dxa" w:w="1680"/>
            <w:shd w:fill="F8FAFC"/>
            <w:tcMar>
              <w:top w:w="40" w:type="dxa"/>
              <w:bottom w:w="40" w:type="dxa"/>
              <w:left w:w="70" w:type="dxa"/>
              <w:right w:w="70" w:type="dxa"/>
            </w:tcMar>
          </w:tcPr>
          <w:p>
            <w:pPr>
              <w:spacing w:after="0"/>
            </w:pPr>
            <w:r>
              <w:rPr>
                <w:sz w:val="17"/>
              </w:rPr>
              <w:t>Existing Credits: Young (&lt;30)</w:t>
            </w:r>
          </w:p>
        </w:tc>
        <w:tc>
          <w:tcPr>
            <w:tcW w:type="dxa" w:w="1680"/>
            <w:shd w:fill="F8FAFC"/>
            <w:tcMar>
              <w:top w:w="40" w:type="dxa"/>
              <w:bottom w:w="40" w:type="dxa"/>
              <w:left w:w="70" w:type="dxa"/>
              <w:right w:w="70" w:type="dxa"/>
            </w:tcMar>
          </w:tcPr>
          <w:p>
            <w:pPr>
              <w:spacing w:after="0"/>
            </w:pPr>
            <w:r>
              <w:rPr>
                <w:sz w:val="17"/>
              </w:rPr>
              <w:t>371</w:t>
            </w:r>
          </w:p>
        </w:tc>
        <w:tc>
          <w:tcPr>
            <w:tcW w:type="dxa" w:w="1680"/>
            <w:shd w:fill="F8FAFC"/>
            <w:tcMar>
              <w:top w:w="40" w:type="dxa"/>
              <w:bottom w:w="40" w:type="dxa"/>
              <w:left w:w="70" w:type="dxa"/>
              <w:right w:w="70" w:type="dxa"/>
            </w:tcMar>
          </w:tcPr>
          <w:p>
            <w:pPr>
              <w:spacing w:after="0"/>
            </w:pPr>
            <w:r>
              <w:rPr>
                <w:sz w:val="17"/>
              </w:rPr>
              <w:t>-0.2203</w:t>
            </w:r>
          </w:p>
        </w:tc>
        <w:tc>
          <w:tcPr>
            <w:tcW w:type="dxa" w:w="1680"/>
            <w:shd w:fill="F8FAFC"/>
            <w:tcMar>
              <w:top w:w="40" w:type="dxa"/>
              <w:bottom w:w="40" w:type="dxa"/>
              <w:left w:w="70" w:type="dxa"/>
              <w:right w:w="70" w:type="dxa"/>
            </w:tcMar>
          </w:tcPr>
          <w:p>
            <w:pPr>
              <w:spacing w:after="0"/>
            </w:pPr>
            <w:r>
              <w:rPr>
                <w:sz w:val="17"/>
              </w:rPr>
              <w:t>0.2133</w:t>
            </w:r>
          </w:p>
        </w:tc>
        <w:tc>
          <w:tcPr>
            <w:tcW w:type="dxa" w:w="1680"/>
            <w:shd w:fill="F8FAFC"/>
            <w:tcMar>
              <w:top w:w="40" w:type="dxa"/>
              <w:bottom w:w="40" w:type="dxa"/>
              <w:left w:w="70" w:type="dxa"/>
              <w:right w:w="70" w:type="dxa"/>
            </w:tcMar>
          </w:tcPr>
          <w:p>
            <w:pPr>
              <w:spacing w:after="0"/>
            </w:pPr>
            <w:r>
              <w:rPr>
                <w:sz w:val="17"/>
              </w:rPr>
              <w:t>0.3016</w:t>
            </w:r>
          </w:p>
        </w:tc>
        <w:tc>
          <w:tcPr>
            <w:tcW w:type="dxa" w:w="1680"/>
            <w:shd w:fill="FEE2E2"/>
            <w:tcMar>
              <w:top w:w="40" w:type="dxa"/>
              <w:bottom w:w="40" w:type="dxa"/>
              <w:left w:w="70" w:type="dxa"/>
              <w:right w:w="70" w:type="dxa"/>
            </w:tcMar>
          </w:tcPr>
          <w:p>
            <w:pPr>
              <w:spacing w:after="0"/>
            </w:pPr>
            <w:r>
              <w:rPr>
                <w:b/>
                <w:sz w:val="17"/>
              </w:rPr>
              <w:t>[-0.6384, +0.1977] (Sign Reversal)</w:t>
            </w:r>
          </w:p>
        </w:tc>
      </w:tr>
      <w:tr>
        <w:tc>
          <w:tcPr>
            <w:tcW w:type="dxa" w:w="1680"/>
            <w:tcMar>
              <w:top w:w="40" w:type="dxa"/>
              <w:bottom w:w="40" w:type="dxa"/>
              <w:left w:w="70" w:type="dxa"/>
              <w:right w:w="70" w:type="dxa"/>
            </w:tcMar>
          </w:tcPr>
          <w:p>
            <w:pPr>
              <w:spacing w:after="0"/>
            </w:pPr>
            <w:r>
              <w:rPr>
                <w:sz w:val="17"/>
              </w:rPr>
              <w:t>Existing Credits: Mature (&gt;=30)</w:t>
            </w:r>
          </w:p>
        </w:tc>
        <w:tc>
          <w:tcPr>
            <w:tcW w:type="dxa" w:w="1680"/>
            <w:tcMar>
              <w:top w:w="40" w:type="dxa"/>
              <w:bottom w:w="40" w:type="dxa"/>
              <w:left w:w="70" w:type="dxa"/>
              <w:right w:w="70" w:type="dxa"/>
            </w:tcMar>
          </w:tcPr>
          <w:p>
            <w:pPr>
              <w:spacing w:after="0"/>
            </w:pPr>
            <w:r>
              <w:rPr>
                <w:sz w:val="17"/>
              </w:rPr>
              <w:t>629</w:t>
            </w:r>
          </w:p>
        </w:tc>
        <w:tc>
          <w:tcPr>
            <w:tcW w:type="dxa" w:w="1680"/>
            <w:tcMar>
              <w:top w:w="40" w:type="dxa"/>
              <w:bottom w:w="40" w:type="dxa"/>
              <w:left w:w="70" w:type="dxa"/>
              <w:right w:w="70" w:type="dxa"/>
            </w:tcMar>
          </w:tcPr>
          <w:p>
            <w:pPr>
              <w:spacing w:after="0"/>
            </w:pPr>
            <w:r>
              <w:rPr>
                <w:sz w:val="17"/>
              </w:rPr>
              <w:t>+0.3083</w:t>
            </w:r>
          </w:p>
        </w:tc>
        <w:tc>
          <w:tcPr>
            <w:tcW w:type="dxa" w:w="1680"/>
            <w:tcMar>
              <w:top w:w="40" w:type="dxa"/>
              <w:bottom w:w="40" w:type="dxa"/>
              <w:left w:w="70" w:type="dxa"/>
              <w:right w:w="70" w:type="dxa"/>
            </w:tcMar>
          </w:tcPr>
          <w:p>
            <w:pPr>
              <w:spacing w:after="0"/>
            </w:pPr>
            <w:r>
              <w:rPr>
                <w:sz w:val="17"/>
              </w:rPr>
              <w:t>0.1586</w:t>
            </w:r>
          </w:p>
        </w:tc>
        <w:tc>
          <w:tcPr>
            <w:tcW w:type="dxa" w:w="1680"/>
            <w:tcMar>
              <w:top w:w="40" w:type="dxa"/>
              <w:bottom w:w="40" w:type="dxa"/>
              <w:left w:w="70" w:type="dxa"/>
              <w:right w:w="70" w:type="dxa"/>
            </w:tcMar>
          </w:tcPr>
          <w:p>
            <w:pPr>
              <w:spacing w:after="0"/>
            </w:pPr>
            <w:r>
              <w:rPr>
                <w:sz w:val="17"/>
              </w:rPr>
              <w:t>0.0519</w:t>
            </w:r>
          </w:p>
        </w:tc>
        <w:tc>
          <w:tcPr>
            <w:tcW w:type="dxa" w:w="1680"/>
            <w:tcMar>
              <w:top w:w="40" w:type="dxa"/>
              <w:bottom w:w="40" w:type="dxa"/>
              <w:left w:w="70" w:type="dxa"/>
              <w:right w:w="70" w:type="dxa"/>
            </w:tcMar>
          </w:tcPr>
          <w:p>
            <w:pPr>
              <w:spacing w:after="0"/>
            </w:pPr>
            <w:r>
              <w:rPr>
                <w:sz w:val="17"/>
              </w:rPr>
              <w:t>[-0.0025, +0.6192] (Positive Asset)</w:t>
            </w:r>
          </w:p>
        </w:tc>
      </w:tr>
      <w:tr>
        <w:tc>
          <w:tcPr>
            <w:tcW w:type="dxa" w:w="1680"/>
            <w:shd w:fill="F8FAFC"/>
            <w:tcMar>
              <w:top w:w="40" w:type="dxa"/>
              <w:bottom w:w="40" w:type="dxa"/>
              <w:left w:w="70" w:type="dxa"/>
              <w:right w:w="70" w:type="dxa"/>
            </w:tcMar>
          </w:tcPr>
          <w:p>
            <w:pPr>
              <w:spacing w:after="0"/>
            </w:pPr>
            <w:r>
              <w:rPr>
                <w:sz w:val="17"/>
              </w:rPr>
              <w:t>Multivariable Age: Male Subgroup</w:t>
            </w:r>
          </w:p>
        </w:tc>
        <w:tc>
          <w:tcPr>
            <w:tcW w:type="dxa" w:w="1680"/>
            <w:shd w:fill="F8FAFC"/>
            <w:tcMar>
              <w:top w:w="40" w:type="dxa"/>
              <w:bottom w:w="40" w:type="dxa"/>
              <w:left w:w="70" w:type="dxa"/>
              <w:right w:w="70" w:type="dxa"/>
            </w:tcMar>
          </w:tcPr>
          <w:p>
            <w:pPr>
              <w:spacing w:after="0"/>
            </w:pPr>
            <w:r>
              <w:rPr>
                <w:sz w:val="17"/>
              </w:rPr>
              <w:t>690</w:t>
            </w:r>
          </w:p>
        </w:tc>
        <w:tc>
          <w:tcPr>
            <w:tcW w:type="dxa" w:w="1680"/>
            <w:shd w:fill="F8FAFC"/>
            <w:tcMar>
              <w:top w:w="40" w:type="dxa"/>
              <w:bottom w:w="40" w:type="dxa"/>
              <w:left w:w="70" w:type="dxa"/>
              <w:right w:w="70" w:type="dxa"/>
            </w:tcMar>
          </w:tcPr>
          <w:p>
            <w:pPr>
              <w:spacing w:after="0"/>
            </w:pPr>
            <w:r>
              <w:rPr>
                <w:sz w:val="17"/>
              </w:rPr>
              <w:t>+0.0604</w:t>
            </w:r>
          </w:p>
        </w:tc>
        <w:tc>
          <w:tcPr>
            <w:tcW w:type="dxa" w:w="1680"/>
            <w:shd w:fill="F8FAFC"/>
            <w:tcMar>
              <w:top w:w="40" w:type="dxa"/>
              <w:bottom w:w="40" w:type="dxa"/>
              <w:left w:w="70" w:type="dxa"/>
              <w:right w:w="70" w:type="dxa"/>
            </w:tcMar>
          </w:tcPr>
          <w:p>
            <w:pPr>
              <w:spacing w:after="0"/>
            </w:pPr>
            <w:r>
              <w:rPr>
                <w:sz w:val="17"/>
              </w:rPr>
              <w:t>0.0940</w:t>
            </w:r>
          </w:p>
        </w:tc>
        <w:tc>
          <w:tcPr>
            <w:tcW w:type="dxa" w:w="1680"/>
            <w:shd w:fill="F8FAFC"/>
            <w:tcMar>
              <w:top w:w="40" w:type="dxa"/>
              <w:bottom w:w="40" w:type="dxa"/>
              <w:left w:w="70" w:type="dxa"/>
              <w:right w:w="70" w:type="dxa"/>
            </w:tcMar>
          </w:tcPr>
          <w:p>
            <w:pPr>
              <w:spacing w:after="0"/>
            </w:pPr>
            <w:r>
              <w:rPr>
                <w:sz w:val="17"/>
              </w:rPr>
              <w:t>0.5204</w:t>
            </w:r>
          </w:p>
        </w:tc>
        <w:tc>
          <w:tcPr>
            <w:tcW w:type="dxa" w:w="1680"/>
            <w:shd w:fill="F8FAFC"/>
            <w:tcMar>
              <w:top w:w="40" w:type="dxa"/>
              <w:bottom w:w="40" w:type="dxa"/>
              <w:left w:w="70" w:type="dxa"/>
              <w:right w:w="70" w:type="dxa"/>
            </w:tcMar>
          </w:tcPr>
          <w:p>
            <w:pPr>
              <w:spacing w:after="0"/>
            </w:pPr>
            <w:r>
              <w:rPr>
                <w:sz w:val="17"/>
              </w:rPr>
              <w:t>[-0.1238, +0.2445] (Null for Men)</w:t>
            </w:r>
          </w:p>
        </w:tc>
      </w:tr>
      <w:tr>
        <w:tc>
          <w:tcPr>
            <w:tcW w:type="dxa" w:w="1680"/>
            <w:tcMar>
              <w:top w:w="40" w:type="dxa"/>
              <w:bottom w:w="40" w:type="dxa"/>
              <w:left w:w="70" w:type="dxa"/>
              <w:right w:w="70" w:type="dxa"/>
            </w:tcMar>
          </w:tcPr>
          <w:p>
            <w:pPr>
              <w:spacing w:after="0"/>
            </w:pPr>
            <w:r>
              <w:rPr>
                <w:sz w:val="17"/>
              </w:rPr>
              <w:t>Multivariable Age: Female Subgroup</w:t>
            </w:r>
          </w:p>
        </w:tc>
        <w:tc>
          <w:tcPr>
            <w:tcW w:type="dxa" w:w="1680"/>
            <w:tcMar>
              <w:top w:w="40" w:type="dxa"/>
              <w:bottom w:w="40" w:type="dxa"/>
              <w:left w:w="70" w:type="dxa"/>
              <w:right w:w="70" w:type="dxa"/>
            </w:tcMar>
          </w:tcPr>
          <w:p>
            <w:pPr>
              <w:spacing w:after="0"/>
            </w:pPr>
            <w:r>
              <w:rPr>
                <w:sz w:val="17"/>
              </w:rPr>
              <w:t>310</w:t>
            </w:r>
          </w:p>
        </w:tc>
        <w:tc>
          <w:tcPr>
            <w:tcW w:type="dxa" w:w="1680"/>
            <w:tcMar>
              <w:top w:w="40" w:type="dxa"/>
              <w:bottom w:w="40" w:type="dxa"/>
              <w:left w:w="70" w:type="dxa"/>
              <w:right w:w="70" w:type="dxa"/>
            </w:tcMar>
          </w:tcPr>
          <w:p>
            <w:pPr>
              <w:spacing w:after="0"/>
            </w:pPr>
            <w:r>
              <w:rPr>
                <w:sz w:val="17"/>
              </w:rPr>
              <w:t>+0.4741</w:t>
            </w:r>
          </w:p>
        </w:tc>
        <w:tc>
          <w:tcPr>
            <w:tcW w:type="dxa" w:w="1680"/>
            <w:tcMar>
              <w:top w:w="40" w:type="dxa"/>
              <w:bottom w:w="40" w:type="dxa"/>
              <w:left w:w="70" w:type="dxa"/>
              <w:right w:w="70" w:type="dxa"/>
            </w:tcMar>
          </w:tcPr>
          <w:p>
            <w:pPr>
              <w:spacing w:after="0"/>
            </w:pPr>
            <w:r>
              <w:rPr>
                <w:sz w:val="17"/>
              </w:rPr>
              <w:t>0.1469</w:t>
            </w:r>
          </w:p>
        </w:tc>
        <w:tc>
          <w:tcPr>
            <w:tcW w:type="dxa" w:w="1680"/>
            <w:tcMar>
              <w:top w:w="40" w:type="dxa"/>
              <w:bottom w:w="40" w:type="dxa"/>
              <w:left w:w="70" w:type="dxa"/>
              <w:right w:w="70" w:type="dxa"/>
            </w:tcMar>
          </w:tcPr>
          <w:p>
            <w:pPr>
              <w:spacing w:after="0"/>
            </w:pPr>
            <w:r>
              <w:rPr>
                <w:sz w:val="17"/>
              </w:rPr>
              <w:t>0.0013</w:t>
            </w:r>
          </w:p>
        </w:tc>
        <w:tc>
          <w:tcPr>
            <w:tcW w:type="dxa" w:w="1680"/>
            <w:shd w:fill="DCFCE7"/>
            <w:tcMar>
              <w:top w:w="40" w:type="dxa"/>
              <w:bottom w:w="40" w:type="dxa"/>
              <w:left w:w="70" w:type="dxa"/>
              <w:right w:w="70" w:type="dxa"/>
            </w:tcMar>
          </w:tcPr>
          <w:p>
            <w:pPr>
              <w:spacing w:after="0"/>
            </w:pPr>
            <w:r>
              <w:rPr>
                <w:b/>
                <w:sz w:val="17"/>
              </w:rPr>
              <w:t>[+0.1861, +0.7620] (~8x Effect Size)</w:t>
            </w:r>
          </w:p>
        </w:tc>
      </w:tr>
    </w:tbl>
    <w:p>
      <w:pPr>
        <w:spacing w:after="80"/>
        <w:jc w:val="center"/>
      </w:pPr>
      <w:r>
        <w:drawing>
          <wp:inline xmlns:a="http://schemas.openxmlformats.org/drawingml/2006/main" xmlns:pic="http://schemas.openxmlformats.org/drawingml/2006/picture">
            <wp:extent cx="4572000" cy="1632857"/>
            <wp:docPr id="2" name="Picture 2"/>
            <wp:cNvGraphicFramePr>
              <a:graphicFrameLocks noChangeAspect="1"/>
            </wp:cNvGraphicFramePr>
            <a:graphic>
              <a:graphicData uri="http://schemas.openxmlformats.org/drawingml/2006/picture">
                <pic:pic>
                  <pic:nvPicPr>
                    <pic:cNvPr id="0" name="part2_1_simpsons_paradox.png"/>
                    <pic:cNvPicPr/>
                  </pic:nvPicPr>
                  <pic:blipFill>
                    <a:blip r:embed="rId12"/>
                    <a:stretch>
                      <a:fillRect/>
                    </a:stretch>
                  </pic:blipFill>
                  <pic:spPr>
                    <a:xfrm>
                      <a:off x="0" y="0"/>
                      <a:ext cx="4572000" cy="1632857"/>
                    </a:xfrm>
                    <a:prstGeom prst="rect"/>
                  </pic:spPr>
                </pic:pic>
              </a:graphicData>
            </a:graphic>
          </wp:inline>
        </w:drawing>
      </w:r>
    </w:p>
    <w:p>
      <w:pPr>
        <w:keepNext/>
        <w:spacing w:before="200" w:after="60"/>
      </w:pPr>
      <w:r>
        <w:rPr>
          <w:b/>
          <w:color w:val="1E3A8A"/>
          <w:sz w:val="26"/>
        </w:rPr>
        <w:t>Part 2.2 — Omitted-Variable Bias (OVB) Stress-Testing</w:t>
      </w:r>
    </w:p>
    <w:p>
      <w:r>
        <w:t>To measure sensitivity to unobserved confounds, checking_status (Attribute 1: checking liquidity) was omitted. Because liquidity correlates with savings and job tenure, remaining regressors absorbed omitted explanatory power through proxy correlation: E[beta_hat] = beta_true + beta_omitted x Cov(X, Z)/Var(X).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E3A8A"/>
            <w:tcMar>
              <w:top w:w="50" w:type="dxa"/>
              <w:bottom w:w="50" w:type="dxa"/>
              <w:left w:w="70" w:type="dxa"/>
              <w:right w:w="70" w:type="dxa"/>
            </w:tcMar>
          </w:tcPr>
          <w:p>
            <w:pPr>
              <w:spacing w:after="0"/>
            </w:pPr>
            <w:r>
              <w:rPr>
                <w:b/>
                <w:color w:val="FFFFFF"/>
                <w:sz w:val="17"/>
              </w:rPr>
              <w:t>Predictor Variable</w:t>
            </w:r>
          </w:p>
        </w:tc>
        <w:tc>
          <w:tcPr>
            <w:tcW w:type="dxa" w:w="1680"/>
            <w:shd w:fill="1E3A8A"/>
            <w:tcMar>
              <w:top w:w="50" w:type="dxa"/>
              <w:bottom w:w="50" w:type="dxa"/>
              <w:left w:w="70" w:type="dxa"/>
              <w:right w:w="70" w:type="dxa"/>
            </w:tcMar>
          </w:tcPr>
          <w:p>
            <w:pPr>
              <w:spacing w:after="0"/>
            </w:pPr>
            <w:r>
              <w:rPr>
                <w:b/>
                <w:color w:val="FFFFFF"/>
                <w:sz w:val="17"/>
              </w:rPr>
              <w:t>Role / Meaning</w:t>
            </w:r>
          </w:p>
        </w:tc>
        <w:tc>
          <w:tcPr>
            <w:tcW w:type="dxa" w:w="1680"/>
            <w:shd w:fill="1E3A8A"/>
            <w:tcMar>
              <w:top w:w="50" w:type="dxa"/>
              <w:bottom w:w="50" w:type="dxa"/>
              <w:left w:w="70" w:type="dxa"/>
              <w:right w:w="70" w:type="dxa"/>
            </w:tcMar>
          </w:tcPr>
          <w:p>
            <w:pPr>
              <w:spacing w:after="0"/>
            </w:pPr>
            <w:r>
              <w:rPr>
                <w:b/>
                <w:color w:val="FFFFFF"/>
                <w:sz w:val="17"/>
              </w:rPr>
              <w:t>Full beta</w:t>
            </w:r>
          </w:p>
        </w:tc>
        <w:tc>
          <w:tcPr>
            <w:tcW w:type="dxa" w:w="1680"/>
            <w:shd w:fill="1E3A8A"/>
            <w:tcMar>
              <w:top w:w="50" w:type="dxa"/>
              <w:bottom w:w="50" w:type="dxa"/>
              <w:left w:w="70" w:type="dxa"/>
              <w:right w:w="70" w:type="dxa"/>
            </w:tcMar>
          </w:tcPr>
          <w:p>
            <w:pPr>
              <w:spacing w:after="0"/>
            </w:pPr>
            <w:r>
              <w:rPr>
                <w:b/>
                <w:color w:val="FFFFFF"/>
                <w:sz w:val="17"/>
              </w:rPr>
              <w:t>Reduced beta</w:t>
            </w:r>
          </w:p>
        </w:tc>
        <w:tc>
          <w:tcPr>
            <w:tcW w:type="dxa" w:w="1680"/>
            <w:shd w:fill="1E3A8A"/>
            <w:tcMar>
              <w:top w:w="50" w:type="dxa"/>
              <w:bottom w:w="50" w:type="dxa"/>
              <w:left w:w="70" w:type="dxa"/>
              <w:right w:w="70" w:type="dxa"/>
            </w:tcMar>
          </w:tcPr>
          <w:p>
            <w:pPr>
              <w:spacing w:after="0"/>
            </w:pPr>
            <w:r>
              <w:rPr>
                <w:b/>
                <w:color w:val="FFFFFF"/>
                <w:sz w:val="17"/>
              </w:rPr>
              <w:t>Shift Delta beta</w:t>
            </w:r>
          </w:p>
        </w:tc>
        <w:tc>
          <w:tcPr>
            <w:tcW w:type="dxa" w:w="1680"/>
            <w:shd w:fill="1E3A8A"/>
            <w:tcMar>
              <w:top w:w="50" w:type="dxa"/>
              <w:bottom w:w="50" w:type="dxa"/>
              <w:left w:w="70" w:type="dxa"/>
              <w:right w:w="70" w:type="dxa"/>
            </w:tcMar>
          </w:tcPr>
          <w:p>
            <w:pPr>
              <w:spacing w:after="0"/>
            </w:pPr>
            <w:r>
              <w:rPr>
                <w:b/>
                <w:color w:val="FFFFFF"/>
                <w:sz w:val="17"/>
              </w:rPr>
              <w:t>% Change</w:t>
            </w:r>
          </w:p>
        </w:tc>
      </w:tr>
      <w:tr>
        <w:tc>
          <w:tcPr>
            <w:tcW w:type="dxa" w:w="1680"/>
            <w:tcMar>
              <w:top w:w="40" w:type="dxa"/>
              <w:bottom w:w="40" w:type="dxa"/>
              <w:left w:w="70" w:type="dxa"/>
              <w:right w:w="70" w:type="dxa"/>
            </w:tcMar>
          </w:tcPr>
          <w:p>
            <w:pPr>
              <w:spacing w:after="0"/>
            </w:pPr>
            <w:r>
              <w:rPr>
                <w:sz w:val="17"/>
              </w:rPr>
              <w:t>savings_status_A63</w:t>
            </w:r>
          </w:p>
        </w:tc>
        <w:tc>
          <w:tcPr>
            <w:tcW w:type="dxa" w:w="1680"/>
            <w:tcMar>
              <w:top w:w="40" w:type="dxa"/>
              <w:bottom w:w="40" w:type="dxa"/>
              <w:left w:w="70" w:type="dxa"/>
              <w:right w:w="70" w:type="dxa"/>
            </w:tcMar>
          </w:tcPr>
          <w:p>
            <w:pPr>
              <w:spacing w:after="0"/>
            </w:pPr>
            <w:r>
              <w:rPr>
                <w:sz w:val="17"/>
              </w:rPr>
              <w:t>Savings 500–1000 DM</w:t>
            </w:r>
          </w:p>
        </w:tc>
        <w:tc>
          <w:tcPr>
            <w:tcW w:type="dxa" w:w="1680"/>
            <w:tcMar>
              <w:top w:w="40" w:type="dxa"/>
              <w:bottom w:w="40" w:type="dxa"/>
              <w:left w:w="70" w:type="dxa"/>
              <w:right w:w="70" w:type="dxa"/>
            </w:tcMar>
          </w:tcPr>
          <w:p>
            <w:pPr>
              <w:spacing w:after="0"/>
            </w:pPr>
            <w:r>
              <w:rPr>
                <w:sz w:val="17"/>
              </w:rPr>
              <w:t>+0.3720</w:t>
            </w:r>
          </w:p>
        </w:tc>
        <w:tc>
          <w:tcPr>
            <w:tcW w:type="dxa" w:w="1680"/>
            <w:tcMar>
              <w:top w:w="40" w:type="dxa"/>
              <w:bottom w:w="40" w:type="dxa"/>
              <w:left w:w="70" w:type="dxa"/>
              <w:right w:w="70" w:type="dxa"/>
            </w:tcMar>
          </w:tcPr>
          <w:p>
            <w:pPr>
              <w:spacing w:after="0"/>
            </w:pPr>
            <w:r>
              <w:rPr>
                <w:sz w:val="17"/>
              </w:rPr>
              <w:t>+0.7812</w:t>
            </w:r>
          </w:p>
        </w:tc>
        <w:tc>
          <w:tcPr>
            <w:tcW w:type="dxa" w:w="1680"/>
            <w:tcMar>
              <w:top w:w="40" w:type="dxa"/>
              <w:bottom w:w="40" w:type="dxa"/>
              <w:left w:w="70" w:type="dxa"/>
              <w:right w:w="70" w:type="dxa"/>
            </w:tcMar>
          </w:tcPr>
          <w:p>
            <w:pPr>
              <w:spacing w:after="0"/>
            </w:pPr>
            <w:r>
              <w:rPr>
                <w:sz w:val="17"/>
              </w:rPr>
              <w:t>+0.4092</w:t>
            </w:r>
          </w:p>
        </w:tc>
        <w:tc>
          <w:tcPr>
            <w:tcW w:type="dxa" w:w="1680"/>
            <w:shd w:fill="DBEAFE"/>
            <w:tcMar>
              <w:top w:w="40" w:type="dxa"/>
              <w:bottom w:w="40" w:type="dxa"/>
              <w:left w:w="70" w:type="dxa"/>
              <w:right w:w="70" w:type="dxa"/>
            </w:tcMar>
          </w:tcPr>
          <w:p>
            <w:pPr>
              <w:spacing w:after="0"/>
            </w:pPr>
            <w:r>
              <w:rPr>
                <w:b/>
                <w:sz w:val="17"/>
              </w:rPr>
              <w:t>+110.00% (Surge)</w:t>
            </w:r>
          </w:p>
        </w:tc>
      </w:tr>
      <w:tr>
        <w:tc>
          <w:tcPr>
            <w:tcW w:type="dxa" w:w="1680"/>
            <w:shd w:fill="F8FAFC"/>
            <w:tcMar>
              <w:top w:w="40" w:type="dxa"/>
              <w:bottom w:w="40" w:type="dxa"/>
              <w:left w:w="70" w:type="dxa"/>
              <w:right w:w="70" w:type="dxa"/>
            </w:tcMar>
          </w:tcPr>
          <w:p>
            <w:pPr>
              <w:spacing w:after="0"/>
            </w:pPr>
            <w:r>
              <w:rPr>
                <w:sz w:val="17"/>
              </w:rPr>
              <w:t>employment_A73</w:t>
            </w:r>
          </w:p>
        </w:tc>
        <w:tc>
          <w:tcPr>
            <w:tcW w:type="dxa" w:w="1680"/>
            <w:shd w:fill="F8FAFC"/>
            <w:tcMar>
              <w:top w:w="40" w:type="dxa"/>
              <w:bottom w:w="40" w:type="dxa"/>
              <w:left w:w="70" w:type="dxa"/>
              <w:right w:w="70" w:type="dxa"/>
            </w:tcMar>
          </w:tcPr>
          <w:p>
            <w:pPr>
              <w:spacing w:after="0"/>
            </w:pPr>
            <w:r>
              <w:rPr>
                <w:sz w:val="17"/>
              </w:rPr>
              <w:t>Job Tenure 1–4 Yrs</w:t>
            </w:r>
          </w:p>
        </w:tc>
        <w:tc>
          <w:tcPr>
            <w:tcW w:type="dxa" w:w="1680"/>
            <w:shd w:fill="F8FAFC"/>
            <w:tcMar>
              <w:top w:w="40" w:type="dxa"/>
              <w:bottom w:w="40" w:type="dxa"/>
              <w:left w:w="70" w:type="dxa"/>
              <w:right w:w="70" w:type="dxa"/>
            </w:tcMar>
          </w:tcPr>
          <w:p>
            <w:pPr>
              <w:spacing w:after="0"/>
            </w:pPr>
            <w:r>
              <w:rPr>
                <w:sz w:val="17"/>
              </w:rPr>
              <w:t>+0.1278</w:t>
            </w:r>
          </w:p>
        </w:tc>
        <w:tc>
          <w:tcPr>
            <w:tcW w:type="dxa" w:w="1680"/>
            <w:shd w:fill="F8FAFC"/>
            <w:tcMar>
              <w:top w:w="40" w:type="dxa"/>
              <w:bottom w:w="40" w:type="dxa"/>
              <w:left w:w="70" w:type="dxa"/>
              <w:right w:w="70" w:type="dxa"/>
            </w:tcMar>
          </w:tcPr>
          <w:p>
            <w:pPr>
              <w:spacing w:after="0"/>
            </w:pPr>
            <w:r>
              <w:rPr>
                <w:sz w:val="17"/>
              </w:rPr>
              <w:t>+0.2560</w:t>
            </w:r>
          </w:p>
        </w:tc>
        <w:tc>
          <w:tcPr>
            <w:tcW w:type="dxa" w:w="1680"/>
            <w:shd w:fill="F8FAFC"/>
            <w:tcMar>
              <w:top w:w="40" w:type="dxa"/>
              <w:bottom w:w="40" w:type="dxa"/>
              <w:left w:w="70" w:type="dxa"/>
              <w:right w:w="70" w:type="dxa"/>
            </w:tcMar>
          </w:tcPr>
          <w:p>
            <w:pPr>
              <w:spacing w:after="0"/>
            </w:pPr>
            <w:r>
              <w:rPr>
                <w:sz w:val="17"/>
              </w:rPr>
              <w:t>+0.1282</w:t>
            </w:r>
          </w:p>
        </w:tc>
        <w:tc>
          <w:tcPr>
            <w:tcW w:type="dxa" w:w="1680"/>
            <w:shd w:fill="DBEAFE"/>
            <w:tcMar>
              <w:top w:w="40" w:type="dxa"/>
              <w:bottom w:w="40" w:type="dxa"/>
              <w:left w:w="70" w:type="dxa"/>
              <w:right w:w="70" w:type="dxa"/>
            </w:tcMar>
          </w:tcPr>
          <w:p>
            <w:pPr>
              <w:spacing w:after="0"/>
            </w:pPr>
            <w:r>
              <w:rPr>
                <w:b/>
                <w:sz w:val="17"/>
              </w:rPr>
              <w:t>+100.31% (Surge)</w:t>
            </w:r>
          </w:p>
        </w:tc>
      </w:tr>
      <w:tr>
        <w:tc>
          <w:tcPr>
            <w:tcW w:type="dxa" w:w="1680"/>
            <w:tcMar>
              <w:top w:w="40" w:type="dxa"/>
              <w:bottom w:w="40" w:type="dxa"/>
              <w:left w:w="70" w:type="dxa"/>
              <w:right w:w="70" w:type="dxa"/>
            </w:tcMar>
          </w:tcPr>
          <w:p>
            <w:pPr>
              <w:spacing w:after="0"/>
            </w:pPr>
            <w:r>
              <w:rPr>
                <w:sz w:val="17"/>
              </w:rPr>
              <w:t>credit_history_A33</w:t>
            </w:r>
          </w:p>
        </w:tc>
        <w:tc>
          <w:tcPr>
            <w:tcW w:type="dxa" w:w="1680"/>
            <w:tcMar>
              <w:top w:w="40" w:type="dxa"/>
              <w:bottom w:w="40" w:type="dxa"/>
              <w:left w:w="70" w:type="dxa"/>
              <w:right w:w="70" w:type="dxa"/>
            </w:tcMar>
          </w:tcPr>
          <w:p>
            <w:pPr>
              <w:spacing w:after="0"/>
            </w:pPr>
            <w:r>
              <w:rPr>
                <w:sz w:val="17"/>
              </w:rPr>
              <w:t>Past Payment Delay</w:t>
            </w:r>
          </w:p>
        </w:tc>
        <w:tc>
          <w:tcPr>
            <w:tcW w:type="dxa" w:w="1680"/>
            <w:tcMar>
              <w:top w:w="40" w:type="dxa"/>
              <w:bottom w:w="40" w:type="dxa"/>
              <w:left w:w="70" w:type="dxa"/>
              <w:right w:w="70" w:type="dxa"/>
            </w:tcMar>
          </w:tcPr>
          <w:p>
            <w:pPr>
              <w:spacing w:after="0"/>
            </w:pPr>
            <w:r>
              <w:rPr>
                <w:sz w:val="17"/>
              </w:rPr>
              <w:t>+0.3941</w:t>
            </w:r>
          </w:p>
        </w:tc>
        <w:tc>
          <w:tcPr>
            <w:tcW w:type="dxa" w:w="1680"/>
            <w:tcMar>
              <w:top w:w="40" w:type="dxa"/>
              <w:bottom w:w="40" w:type="dxa"/>
              <w:left w:w="70" w:type="dxa"/>
              <w:right w:w="70" w:type="dxa"/>
            </w:tcMar>
          </w:tcPr>
          <w:p>
            <w:pPr>
              <w:spacing w:after="0"/>
            </w:pPr>
            <w:r>
              <w:rPr>
                <w:sz w:val="17"/>
              </w:rPr>
              <w:t>+0.5956</w:t>
            </w:r>
          </w:p>
        </w:tc>
        <w:tc>
          <w:tcPr>
            <w:tcW w:type="dxa" w:w="1680"/>
            <w:tcMar>
              <w:top w:w="40" w:type="dxa"/>
              <w:bottom w:w="40" w:type="dxa"/>
              <w:left w:w="70" w:type="dxa"/>
              <w:right w:w="70" w:type="dxa"/>
            </w:tcMar>
          </w:tcPr>
          <w:p>
            <w:pPr>
              <w:spacing w:after="0"/>
            </w:pPr>
            <w:r>
              <w:rPr>
                <w:sz w:val="17"/>
              </w:rPr>
              <w:t>+0.2015</w:t>
            </w:r>
          </w:p>
        </w:tc>
        <w:tc>
          <w:tcPr>
            <w:tcW w:type="dxa" w:w="1680"/>
            <w:tcMar>
              <w:top w:w="40" w:type="dxa"/>
              <w:bottom w:w="40" w:type="dxa"/>
              <w:left w:w="70" w:type="dxa"/>
              <w:right w:w="70" w:type="dxa"/>
            </w:tcMar>
          </w:tcPr>
          <w:p>
            <w:pPr>
              <w:spacing w:after="0"/>
            </w:pPr>
            <w:r>
              <w:rPr>
                <w:sz w:val="17"/>
              </w:rPr>
              <w:t>+51.14%</w:t>
            </w:r>
          </w:p>
        </w:tc>
      </w:tr>
      <w:tr>
        <w:tc>
          <w:tcPr>
            <w:tcW w:type="dxa" w:w="1680"/>
            <w:shd w:fill="F8FAFC"/>
            <w:tcMar>
              <w:top w:w="40" w:type="dxa"/>
              <w:bottom w:w="40" w:type="dxa"/>
              <w:left w:w="70" w:type="dxa"/>
              <w:right w:w="70" w:type="dxa"/>
            </w:tcMar>
          </w:tcPr>
          <w:p>
            <w:pPr>
              <w:spacing w:after="0"/>
            </w:pPr>
            <w:r>
              <w:rPr>
                <w:sz w:val="17"/>
              </w:rPr>
              <w:t>existing_credits</w:t>
            </w:r>
          </w:p>
        </w:tc>
        <w:tc>
          <w:tcPr>
            <w:tcW w:type="dxa" w:w="1680"/>
            <w:shd w:fill="F8FAFC"/>
            <w:tcMar>
              <w:top w:w="40" w:type="dxa"/>
              <w:bottom w:w="40" w:type="dxa"/>
              <w:left w:w="70" w:type="dxa"/>
              <w:right w:w="70" w:type="dxa"/>
            </w:tcMar>
          </w:tcPr>
          <w:p>
            <w:pPr>
              <w:spacing w:after="0"/>
            </w:pPr>
            <w:r>
              <w:rPr>
                <w:sz w:val="17"/>
              </w:rPr>
              <w:t>Existing Bank Credits</w:t>
            </w:r>
          </w:p>
        </w:tc>
        <w:tc>
          <w:tcPr>
            <w:tcW w:type="dxa" w:w="1680"/>
            <w:shd w:fill="F8FAFC"/>
            <w:tcMar>
              <w:top w:w="40" w:type="dxa"/>
              <w:bottom w:w="40" w:type="dxa"/>
              <w:left w:w="70" w:type="dxa"/>
              <w:right w:w="70" w:type="dxa"/>
            </w:tcMar>
          </w:tcPr>
          <w:p>
            <w:pPr>
              <w:spacing w:after="0"/>
            </w:pPr>
            <w:r>
              <w:rPr>
                <w:sz w:val="17"/>
              </w:rPr>
              <w:t>-0.0983</w:t>
            </w:r>
          </w:p>
        </w:tc>
        <w:tc>
          <w:tcPr>
            <w:tcW w:type="dxa" w:w="1680"/>
            <w:shd w:fill="F8FAFC"/>
            <w:tcMar>
              <w:top w:w="40" w:type="dxa"/>
              <w:bottom w:w="40" w:type="dxa"/>
              <w:left w:w="70" w:type="dxa"/>
              <w:right w:w="70" w:type="dxa"/>
            </w:tcMar>
          </w:tcPr>
          <w:p>
            <w:pPr>
              <w:spacing w:after="0"/>
            </w:pPr>
            <w:r>
              <w:rPr>
                <w:sz w:val="17"/>
              </w:rPr>
              <w:t>-0.0656</w:t>
            </w:r>
          </w:p>
        </w:tc>
        <w:tc>
          <w:tcPr>
            <w:tcW w:type="dxa" w:w="1680"/>
            <w:shd w:fill="F8FAFC"/>
            <w:tcMar>
              <w:top w:w="40" w:type="dxa"/>
              <w:bottom w:w="40" w:type="dxa"/>
              <w:left w:w="70" w:type="dxa"/>
              <w:right w:w="70" w:type="dxa"/>
            </w:tcMar>
          </w:tcPr>
          <w:p>
            <w:pPr>
              <w:spacing w:after="0"/>
            </w:pPr>
            <w:r>
              <w:rPr>
                <w:sz w:val="17"/>
              </w:rPr>
              <w:t>+0.0328</w:t>
            </w:r>
          </w:p>
        </w:tc>
        <w:tc>
          <w:tcPr>
            <w:tcW w:type="dxa" w:w="1680"/>
            <w:shd w:fill="F8FAFC"/>
            <w:tcMar>
              <w:top w:w="40" w:type="dxa"/>
              <w:bottom w:w="40" w:type="dxa"/>
              <w:left w:w="70" w:type="dxa"/>
              <w:right w:w="70" w:type="dxa"/>
            </w:tcMar>
          </w:tcPr>
          <w:p>
            <w:pPr>
              <w:spacing w:after="0"/>
            </w:pPr>
            <w:r>
              <w:rPr>
                <w:sz w:val="17"/>
              </w:rPr>
              <w:t>+33.31%</w:t>
            </w:r>
          </w:p>
        </w:tc>
      </w:tr>
      <w:tr>
        <w:tc>
          <w:tcPr>
            <w:tcW w:type="dxa" w:w="1680"/>
            <w:tcMar>
              <w:top w:w="40" w:type="dxa"/>
              <w:bottom w:w="40" w:type="dxa"/>
              <w:left w:w="70" w:type="dxa"/>
              <w:right w:w="70" w:type="dxa"/>
            </w:tcMar>
          </w:tcPr>
          <w:p>
            <w:pPr>
              <w:spacing w:after="0"/>
            </w:pPr>
            <w:r>
              <w:rPr>
                <w:sz w:val="17"/>
              </w:rPr>
              <w:t>age</w:t>
            </w:r>
          </w:p>
        </w:tc>
        <w:tc>
          <w:tcPr>
            <w:tcW w:type="dxa" w:w="1680"/>
            <w:tcMar>
              <w:top w:w="40" w:type="dxa"/>
              <w:bottom w:w="40" w:type="dxa"/>
              <w:left w:w="70" w:type="dxa"/>
              <w:right w:w="70" w:type="dxa"/>
            </w:tcMar>
          </w:tcPr>
          <w:p>
            <w:pPr>
              <w:spacing w:after="0"/>
            </w:pPr>
            <w:r>
              <w:rPr>
                <w:sz w:val="17"/>
              </w:rPr>
              <w:t>Applicant Age</w:t>
            </w:r>
          </w:p>
        </w:tc>
        <w:tc>
          <w:tcPr>
            <w:tcW w:type="dxa" w:w="1680"/>
            <w:tcMar>
              <w:top w:w="40" w:type="dxa"/>
              <w:bottom w:w="40" w:type="dxa"/>
              <w:left w:w="70" w:type="dxa"/>
              <w:right w:w="70" w:type="dxa"/>
            </w:tcMar>
          </w:tcPr>
          <w:p>
            <w:pPr>
              <w:spacing w:after="0"/>
            </w:pPr>
            <w:r>
              <w:rPr>
                <w:sz w:val="17"/>
              </w:rPr>
              <w:t>+0.1543</w:t>
            </w:r>
          </w:p>
        </w:tc>
        <w:tc>
          <w:tcPr>
            <w:tcW w:type="dxa" w:w="1680"/>
            <w:tcMar>
              <w:top w:w="40" w:type="dxa"/>
              <w:bottom w:w="40" w:type="dxa"/>
              <w:left w:w="70" w:type="dxa"/>
              <w:right w:w="70" w:type="dxa"/>
            </w:tcMar>
          </w:tcPr>
          <w:p>
            <w:pPr>
              <w:spacing w:after="0"/>
            </w:pPr>
            <w:r>
              <w:rPr>
                <w:sz w:val="17"/>
              </w:rPr>
              <w:t>+0.1869</w:t>
            </w:r>
          </w:p>
        </w:tc>
        <w:tc>
          <w:tcPr>
            <w:tcW w:type="dxa" w:w="1680"/>
            <w:tcMar>
              <w:top w:w="40" w:type="dxa"/>
              <w:bottom w:w="40" w:type="dxa"/>
              <w:left w:w="70" w:type="dxa"/>
              <w:right w:w="70" w:type="dxa"/>
            </w:tcMar>
          </w:tcPr>
          <w:p>
            <w:pPr>
              <w:spacing w:after="0"/>
            </w:pPr>
            <w:r>
              <w:rPr>
                <w:sz w:val="17"/>
              </w:rPr>
              <w:t>+0.0326</w:t>
            </w:r>
          </w:p>
        </w:tc>
        <w:tc>
          <w:tcPr>
            <w:tcW w:type="dxa" w:w="1680"/>
            <w:tcMar>
              <w:top w:w="40" w:type="dxa"/>
              <w:bottom w:w="40" w:type="dxa"/>
              <w:left w:w="70" w:type="dxa"/>
              <w:right w:w="70" w:type="dxa"/>
            </w:tcMar>
          </w:tcPr>
          <w:p>
            <w:pPr>
              <w:spacing w:after="0"/>
            </w:pPr>
            <w:r>
              <w:rPr>
                <w:sz w:val="17"/>
              </w:rPr>
              <w:t>+21.16%</w:t>
            </w:r>
          </w:p>
        </w:tc>
      </w:tr>
      <w:tr>
        <w:tc>
          <w:tcPr>
            <w:tcW w:type="dxa" w:w="1680"/>
            <w:shd w:fill="F8FAFC"/>
            <w:tcMar>
              <w:top w:w="40" w:type="dxa"/>
              <w:bottom w:w="40" w:type="dxa"/>
              <w:left w:w="70" w:type="dxa"/>
              <w:right w:w="70" w:type="dxa"/>
            </w:tcMar>
          </w:tcPr>
          <w:p>
            <w:pPr>
              <w:spacing w:after="0"/>
            </w:pPr>
            <w:r>
              <w:rPr>
                <w:sz w:val="17"/>
              </w:rPr>
              <w:t>duration</w:t>
            </w:r>
          </w:p>
        </w:tc>
        <w:tc>
          <w:tcPr>
            <w:tcW w:type="dxa" w:w="1680"/>
            <w:shd w:fill="F8FAFC"/>
            <w:tcMar>
              <w:top w:w="40" w:type="dxa"/>
              <w:bottom w:w="40" w:type="dxa"/>
              <w:left w:w="70" w:type="dxa"/>
              <w:right w:w="70" w:type="dxa"/>
            </w:tcMar>
          </w:tcPr>
          <w:p>
            <w:pPr>
              <w:spacing w:after="0"/>
            </w:pPr>
            <w:r>
              <w:rPr>
                <w:sz w:val="17"/>
              </w:rPr>
              <w:t>Loan Duration (Mo.)</w:t>
            </w:r>
          </w:p>
        </w:tc>
        <w:tc>
          <w:tcPr>
            <w:tcW w:type="dxa" w:w="1680"/>
            <w:shd w:fill="F8FAFC"/>
            <w:tcMar>
              <w:top w:w="40" w:type="dxa"/>
              <w:bottom w:w="40" w:type="dxa"/>
              <w:left w:w="70" w:type="dxa"/>
              <w:right w:w="70" w:type="dxa"/>
            </w:tcMar>
          </w:tcPr>
          <w:p>
            <w:pPr>
              <w:spacing w:after="0"/>
            </w:pPr>
            <w:r>
              <w:rPr>
                <w:sz w:val="17"/>
              </w:rPr>
              <w:t>-0.4273</w:t>
            </w:r>
          </w:p>
        </w:tc>
        <w:tc>
          <w:tcPr>
            <w:tcW w:type="dxa" w:w="1680"/>
            <w:shd w:fill="F8FAFC"/>
            <w:tcMar>
              <w:top w:w="40" w:type="dxa"/>
              <w:bottom w:w="40" w:type="dxa"/>
              <w:left w:w="70" w:type="dxa"/>
              <w:right w:w="70" w:type="dxa"/>
            </w:tcMar>
          </w:tcPr>
          <w:p>
            <w:pPr>
              <w:spacing w:after="0"/>
            </w:pPr>
            <w:r>
              <w:rPr>
                <w:sz w:val="17"/>
              </w:rPr>
              <w:t>-0.4325</w:t>
            </w:r>
          </w:p>
        </w:tc>
        <w:tc>
          <w:tcPr>
            <w:tcW w:type="dxa" w:w="1680"/>
            <w:shd w:fill="F8FAFC"/>
            <w:tcMar>
              <w:top w:w="40" w:type="dxa"/>
              <w:bottom w:w="40" w:type="dxa"/>
              <w:left w:w="70" w:type="dxa"/>
              <w:right w:w="70" w:type="dxa"/>
            </w:tcMar>
          </w:tcPr>
          <w:p>
            <w:pPr>
              <w:spacing w:after="0"/>
            </w:pPr>
            <w:r>
              <w:rPr>
                <w:sz w:val="17"/>
              </w:rPr>
              <w:t>-0.0052</w:t>
            </w:r>
          </w:p>
        </w:tc>
        <w:tc>
          <w:tcPr>
            <w:tcW w:type="dxa" w:w="1680"/>
            <w:shd w:fill="F8FAFC"/>
            <w:tcMar>
              <w:top w:w="40" w:type="dxa"/>
              <w:bottom w:w="40" w:type="dxa"/>
              <w:left w:w="70" w:type="dxa"/>
              <w:right w:w="70" w:type="dxa"/>
            </w:tcMar>
          </w:tcPr>
          <w:p>
            <w:pPr>
              <w:spacing w:after="0"/>
            </w:pPr>
            <w:r>
              <w:rPr>
                <w:sz w:val="17"/>
              </w:rPr>
              <w:t>-1.21%</w:t>
            </w:r>
          </w:p>
        </w:tc>
      </w:tr>
    </w:tbl>
    <w:p>
      <w:pPr>
        <w:spacing w:after="80"/>
        <w:jc w:val="center"/>
      </w:pPr>
      <w:r>
        <w:drawing>
          <wp:inline xmlns:a="http://schemas.openxmlformats.org/drawingml/2006/main" xmlns:pic="http://schemas.openxmlformats.org/drawingml/2006/picture">
            <wp:extent cx="4389120" cy="2194560"/>
            <wp:docPr id="3" name="Picture 3"/>
            <wp:cNvGraphicFramePr>
              <a:graphicFrameLocks noChangeAspect="1"/>
            </wp:cNvGraphicFramePr>
            <a:graphic>
              <a:graphicData uri="http://schemas.openxmlformats.org/drawingml/2006/picture">
                <pic:pic>
                  <pic:nvPicPr>
                    <pic:cNvPr id="0" name="part2_2_ovb_shifts.png"/>
                    <pic:cNvPicPr/>
                  </pic:nvPicPr>
                  <pic:blipFill>
                    <a:blip r:embed="rId13"/>
                    <a:stretch>
                      <a:fillRect/>
                    </a:stretch>
                  </pic:blipFill>
                  <pic:spPr>
                    <a:xfrm>
                      <a:off x="0" y="0"/>
                      <a:ext cx="4389120" cy="2194560"/>
                    </a:xfrm>
                    <a:prstGeom prst="rect"/>
                  </pic:spPr>
                </pic:pic>
              </a:graphicData>
            </a:graphic>
          </wp:inline>
        </w:drawing>
      </w:r>
    </w:p>
    <w:p>
      <w:pPr>
        <w:keepNext/>
        <w:spacing w:before="200" w:after="60"/>
      </w:pPr>
      <w:r>
        <w:rPr>
          <w:b/>
          <w:color w:val="1E3A8A"/>
          <w:sz w:val="26"/>
        </w:rPr>
        <w:t>Part 2.3 — Adversarial Subset Construction &amp; Failure Mechanics</w:t>
      </w:r>
    </w:p>
    <w:p>
      <w:r>
        <w:t>Extracted test cases where Model B made confident errors (P_hat &gt;= 0.75 with default Y=0, or P_hat &lt;= 0.25 with approval Y=1). Exactly 24 instances (8.00% of test cohort) satisfied this condition: 21 high-confidence false positives, 3 high-confidence false negatives.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50" w:type="dxa"/>
              <w:bottom w:w="50" w:type="dxa"/>
              <w:left w:w="70" w:type="dxa"/>
              <w:right w:w="70" w:type="dxa"/>
            </w:tcMar>
          </w:tcPr>
          <w:p>
            <w:pPr>
              <w:spacing w:after="0"/>
            </w:pPr>
            <w:r>
              <w:rPr>
                <w:b/>
                <w:color w:val="FFFFFF"/>
                <w:sz w:val="17"/>
              </w:rPr>
              <w:t>Attribute / Demographic Metric</w:t>
            </w:r>
          </w:p>
        </w:tc>
        <w:tc>
          <w:tcPr>
            <w:tcW w:type="dxa" w:w="2520"/>
            <w:shd w:fill="1E3A8A"/>
            <w:tcMar>
              <w:top w:w="50" w:type="dxa"/>
              <w:bottom w:w="50" w:type="dxa"/>
              <w:left w:w="70" w:type="dxa"/>
              <w:right w:w="70" w:type="dxa"/>
            </w:tcMar>
          </w:tcPr>
          <w:p>
            <w:pPr>
              <w:spacing w:after="0"/>
            </w:pPr>
            <w:r>
              <w:rPr>
                <w:b/>
                <w:color w:val="FFFFFF"/>
                <w:sz w:val="17"/>
              </w:rPr>
              <w:t>Test Set Baseline (N=300)</w:t>
            </w:r>
          </w:p>
        </w:tc>
        <w:tc>
          <w:tcPr>
            <w:tcW w:type="dxa" w:w="2520"/>
            <w:shd w:fill="1E3A8A"/>
            <w:tcMar>
              <w:top w:w="50" w:type="dxa"/>
              <w:bottom w:w="50" w:type="dxa"/>
              <w:left w:w="70" w:type="dxa"/>
              <w:right w:w="70" w:type="dxa"/>
            </w:tcMar>
          </w:tcPr>
          <w:p>
            <w:pPr>
              <w:spacing w:after="0"/>
            </w:pPr>
            <w:r>
              <w:rPr>
                <w:b/>
                <w:color w:val="FFFFFF"/>
                <w:sz w:val="17"/>
              </w:rPr>
              <w:t>Adversarial Subset (N=24)</w:t>
            </w:r>
          </w:p>
        </w:tc>
        <w:tc>
          <w:tcPr>
            <w:tcW w:type="dxa" w:w="2520"/>
            <w:shd w:fill="1E3A8A"/>
            <w:tcMar>
              <w:top w:w="50" w:type="dxa"/>
              <w:bottom w:w="50" w:type="dxa"/>
              <w:left w:w="70" w:type="dxa"/>
              <w:right w:w="70" w:type="dxa"/>
            </w:tcMar>
          </w:tcPr>
          <w:p>
            <w:pPr>
              <w:spacing w:after="0"/>
            </w:pPr>
            <w:r>
              <w:rPr>
                <w:b/>
                <w:color w:val="FFFFFF"/>
                <w:sz w:val="17"/>
              </w:rPr>
              <w:t>Disparity / Signature</w:t>
            </w:r>
          </w:p>
        </w:tc>
      </w:tr>
      <w:tr>
        <w:tc>
          <w:tcPr>
            <w:tcW w:type="dxa" w:w="2520"/>
            <w:tcMar>
              <w:top w:w="40" w:type="dxa"/>
              <w:bottom w:w="40" w:type="dxa"/>
              <w:left w:w="70" w:type="dxa"/>
              <w:right w:w="70" w:type="dxa"/>
            </w:tcMar>
          </w:tcPr>
          <w:p>
            <w:pPr>
              <w:spacing w:after="0"/>
            </w:pPr>
            <w:r>
              <w:rPr>
                <w:sz w:val="17"/>
              </w:rPr>
              <w:t>Homeownership Rate (housing = A152)</w:t>
            </w:r>
          </w:p>
        </w:tc>
        <w:tc>
          <w:tcPr>
            <w:tcW w:type="dxa" w:w="2520"/>
            <w:tcMar>
              <w:top w:w="40" w:type="dxa"/>
              <w:bottom w:w="40" w:type="dxa"/>
              <w:left w:w="70" w:type="dxa"/>
              <w:right w:w="70" w:type="dxa"/>
            </w:tcMar>
          </w:tcPr>
          <w:p>
            <w:pPr>
              <w:spacing w:after="0"/>
            </w:pPr>
            <w:r>
              <w:rPr>
                <w:sz w:val="17"/>
              </w:rPr>
              <w:t>74.00%</w:t>
            </w:r>
          </w:p>
        </w:tc>
        <w:tc>
          <w:tcPr>
            <w:tcW w:type="dxa" w:w="2520"/>
            <w:tcMar>
              <w:top w:w="40" w:type="dxa"/>
              <w:bottom w:w="40" w:type="dxa"/>
              <w:left w:w="70" w:type="dxa"/>
              <w:right w:w="70" w:type="dxa"/>
            </w:tcMar>
          </w:tcPr>
          <w:p>
            <w:pPr>
              <w:spacing w:after="0"/>
            </w:pPr>
            <w:r>
              <w:rPr>
                <w:sz w:val="17"/>
              </w:rPr>
              <w:t>83.33%</w:t>
            </w:r>
          </w:p>
        </w:tc>
        <w:tc>
          <w:tcPr>
            <w:tcW w:type="dxa" w:w="2520"/>
            <w:tcMar>
              <w:top w:w="40" w:type="dxa"/>
              <w:bottom w:w="40" w:type="dxa"/>
              <w:left w:w="70" w:type="dxa"/>
              <w:right w:w="70" w:type="dxa"/>
            </w:tcMar>
          </w:tcPr>
          <w:p>
            <w:pPr>
              <w:spacing w:after="0"/>
            </w:pPr>
            <w:r>
              <w:rPr>
                <w:sz w:val="17"/>
              </w:rPr>
              <w:t>+9.33% Over-Represented</w:t>
            </w:r>
          </w:p>
        </w:tc>
      </w:tr>
      <w:tr>
        <w:tc>
          <w:tcPr>
            <w:tcW w:type="dxa" w:w="2520"/>
            <w:shd w:fill="F8FAFC"/>
            <w:tcMar>
              <w:top w:w="40" w:type="dxa"/>
              <w:bottom w:w="40" w:type="dxa"/>
              <w:left w:w="70" w:type="dxa"/>
              <w:right w:w="70" w:type="dxa"/>
            </w:tcMar>
          </w:tcPr>
          <w:p>
            <w:pPr>
              <w:spacing w:after="0"/>
            </w:pPr>
            <w:r>
              <w:rPr>
                <w:sz w:val="17"/>
              </w:rPr>
              <w:t>Moderate Checking (A12: 0–200 DM)</w:t>
            </w:r>
          </w:p>
        </w:tc>
        <w:tc>
          <w:tcPr>
            <w:tcW w:type="dxa" w:w="2520"/>
            <w:shd w:fill="F8FAFC"/>
            <w:tcMar>
              <w:top w:w="40" w:type="dxa"/>
              <w:bottom w:w="40" w:type="dxa"/>
              <w:left w:w="70" w:type="dxa"/>
              <w:right w:w="70" w:type="dxa"/>
            </w:tcMar>
          </w:tcPr>
          <w:p>
            <w:pPr>
              <w:spacing w:after="0"/>
            </w:pPr>
            <w:r>
              <w:rPr>
                <w:sz w:val="17"/>
              </w:rPr>
              <w:t>23.00%</w:t>
            </w:r>
          </w:p>
        </w:tc>
        <w:tc>
          <w:tcPr>
            <w:tcW w:type="dxa" w:w="2520"/>
            <w:shd w:fill="F8FAFC"/>
            <w:tcMar>
              <w:top w:w="40" w:type="dxa"/>
              <w:bottom w:w="40" w:type="dxa"/>
              <w:left w:w="70" w:type="dxa"/>
              <w:right w:w="70" w:type="dxa"/>
            </w:tcMar>
          </w:tcPr>
          <w:p>
            <w:pPr>
              <w:spacing w:after="0"/>
            </w:pPr>
            <w:r>
              <w:rPr>
                <w:sz w:val="17"/>
              </w:rPr>
              <w:t>45.83%</w:t>
            </w:r>
          </w:p>
        </w:tc>
        <w:tc>
          <w:tcPr>
            <w:tcW w:type="dxa" w:w="2520"/>
            <w:shd w:fill="FEE2E2"/>
            <w:tcMar>
              <w:top w:w="40" w:type="dxa"/>
              <w:bottom w:w="40" w:type="dxa"/>
              <w:left w:w="70" w:type="dxa"/>
              <w:right w:w="70" w:type="dxa"/>
            </w:tcMar>
          </w:tcPr>
          <w:p>
            <w:pPr>
              <w:spacing w:after="0"/>
            </w:pPr>
            <w:r>
              <w:rPr>
                <w:b/>
                <w:sz w:val="17"/>
              </w:rPr>
              <w:t>Nearly Double Baseline (+22.83%)</w:t>
            </w:r>
          </w:p>
        </w:tc>
      </w:tr>
      <w:tr>
        <w:tc>
          <w:tcPr>
            <w:tcW w:type="dxa" w:w="2520"/>
            <w:tcMar>
              <w:top w:w="40" w:type="dxa"/>
              <w:bottom w:w="40" w:type="dxa"/>
              <w:left w:w="70" w:type="dxa"/>
              <w:right w:w="70" w:type="dxa"/>
            </w:tcMar>
          </w:tcPr>
          <w:p>
            <w:pPr>
              <w:spacing w:after="0"/>
            </w:pPr>
            <w:r>
              <w:rPr>
                <w:sz w:val="17"/>
              </w:rPr>
              <w:t>Clean Existing Credit History (A32)</w:t>
            </w:r>
          </w:p>
        </w:tc>
        <w:tc>
          <w:tcPr>
            <w:tcW w:type="dxa" w:w="2520"/>
            <w:tcMar>
              <w:top w:w="40" w:type="dxa"/>
              <w:bottom w:w="40" w:type="dxa"/>
              <w:left w:w="70" w:type="dxa"/>
              <w:right w:w="70" w:type="dxa"/>
            </w:tcMar>
          </w:tcPr>
          <w:p>
            <w:pPr>
              <w:spacing w:after="0"/>
            </w:pPr>
            <w:r>
              <w:rPr>
                <w:sz w:val="17"/>
              </w:rPr>
              <w:t>53.67%</w:t>
            </w:r>
          </w:p>
        </w:tc>
        <w:tc>
          <w:tcPr>
            <w:tcW w:type="dxa" w:w="2520"/>
            <w:tcMar>
              <w:top w:w="40" w:type="dxa"/>
              <w:bottom w:w="40" w:type="dxa"/>
              <w:left w:w="70" w:type="dxa"/>
              <w:right w:w="70" w:type="dxa"/>
            </w:tcMar>
          </w:tcPr>
          <w:p>
            <w:pPr>
              <w:spacing w:after="0"/>
            </w:pPr>
            <w:r>
              <w:rPr>
                <w:sz w:val="17"/>
              </w:rPr>
              <w:t>54.17%</w:t>
            </w:r>
          </w:p>
        </w:tc>
        <w:tc>
          <w:tcPr>
            <w:tcW w:type="dxa" w:w="2520"/>
            <w:tcMar>
              <w:top w:w="40" w:type="dxa"/>
              <w:bottom w:w="40" w:type="dxa"/>
              <w:left w:w="70" w:type="dxa"/>
              <w:right w:w="70" w:type="dxa"/>
            </w:tcMar>
          </w:tcPr>
          <w:p>
            <w:pPr>
              <w:spacing w:after="0"/>
            </w:pPr>
            <w:r>
              <w:rPr>
                <w:sz w:val="17"/>
              </w:rPr>
              <w:t>Parity with Clean Baseline</w:t>
            </w:r>
          </w:p>
        </w:tc>
      </w:tr>
      <w:tr>
        <w:tc>
          <w:tcPr>
            <w:tcW w:type="dxa" w:w="2520"/>
            <w:shd w:fill="F8FAFC"/>
            <w:tcMar>
              <w:top w:w="40" w:type="dxa"/>
              <w:bottom w:w="40" w:type="dxa"/>
              <w:left w:w="70" w:type="dxa"/>
              <w:right w:w="70" w:type="dxa"/>
            </w:tcMar>
          </w:tcPr>
          <w:p>
            <w:pPr>
              <w:spacing w:after="0"/>
            </w:pPr>
            <w:r>
              <w:rPr>
                <w:sz w:val="17"/>
              </w:rPr>
              <w:t>Mean Requested Credit Obligation</w:t>
            </w:r>
          </w:p>
        </w:tc>
        <w:tc>
          <w:tcPr>
            <w:tcW w:type="dxa" w:w="2520"/>
            <w:shd w:fill="F8FAFC"/>
            <w:tcMar>
              <w:top w:w="40" w:type="dxa"/>
              <w:bottom w:w="40" w:type="dxa"/>
              <w:left w:w="70" w:type="dxa"/>
              <w:right w:w="70" w:type="dxa"/>
            </w:tcMar>
          </w:tcPr>
          <w:p>
            <w:pPr>
              <w:spacing w:after="0"/>
            </w:pPr>
            <w:r>
              <w:rPr>
                <w:sz w:val="17"/>
              </w:rPr>
              <w:t>3,040.18 DM</w:t>
            </w:r>
          </w:p>
        </w:tc>
        <w:tc>
          <w:tcPr>
            <w:tcW w:type="dxa" w:w="2520"/>
            <w:shd w:fill="F8FAFC"/>
            <w:tcMar>
              <w:top w:w="40" w:type="dxa"/>
              <w:bottom w:w="40" w:type="dxa"/>
              <w:left w:w="70" w:type="dxa"/>
              <w:right w:w="70" w:type="dxa"/>
            </w:tcMar>
          </w:tcPr>
          <w:p>
            <w:pPr>
              <w:spacing w:after="0"/>
            </w:pPr>
            <w:r>
              <w:rPr>
                <w:sz w:val="17"/>
              </w:rPr>
              <w:t>3,337.50 DM</w:t>
            </w:r>
          </w:p>
        </w:tc>
        <w:tc>
          <w:tcPr>
            <w:tcW w:type="dxa" w:w="2520"/>
            <w:shd w:fill="F8FAFC"/>
            <w:tcMar>
              <w:top w:w="40" w:type="dxa"/>
              <w:bottom w:w="40" w:type="dxa"/>
              <w:left w:w="70" w:type="dxa"/>
              <w:right w:w="70" w:type="dxa"/>
            </w:tcMar>
          </w:tcPr>
          <w:p>
            <w:pPr>
              <w:spacing w:after="0"/>
            </w:pPr>
            <w:r>
              <w:rPr>
                <w:sz w:val="17"/>
              </w:rPr>
              <w:t>+$297.32 DM Heavier Burden</w:t>
            </w:r>
          </w:p>
        </w:tc>
      </w:tr>
      <w:tr>
        <w:tc>
          <w:tcPr>
            <w:tcW w:type="dxa" w:w="2520"/>
            <w:tcMar>
              <w:top w:w="40" w:type="dxa"/>
              <w:bottom w:w="40" w:type="dxa"/>
              <w:left w:w="70" w:type="dxa"/>
              <w:right w:w="70" w:type="dxa"/>
            </w:tcMar>
          </w:tcPr>
          <w:p>
            <w:pPr>
              <w:spacing w:after="0"/>
            </w:pPr>
            <w:r>
              <w:rPr>
                <w:sz w:val="17"/>
              </w:rPr>
              <w:t>Female Representation</w:t>
            </w:r>
          </w:p>
        </w:tc>
        <w:tc>
          <w:tcPr>
            <w:tcW w:type="dxa" w:w="2520"/>
            <w:tcMar>
              <w:top w:w="40" w:type="dxa"/>
              <w:bottom w:w="40" w:type="dxa"/>
              <w:left w:w="70" w:type="dxa"/>
              <w:right w:w="70" w:type="dxa"/>
            </w:tcMar>
          </w:tcPr>
          <w:p>
            <w:pPr>
              <w:spacing w:after="0"/>
            </w:pPr>
            <w:r>
              <w:rPr>
                <w:sz w:val="17"/>
              </w:rPr>
              <w:t>28.33%</w:t>
            </w:r>
          </w:p>
        </w:tc>
        <w:tc>
          <w:tcPr>
            <w:tcW w:type="dxa" w:w="2520"/>
            <w:tcMar>
              <w:top w:w="40" w:type="dxa"/>
              <w:bottom w:w="40" w:type="dxa"/>
              <w:left w:w="70" w:type="dxa"/>
              <w:right w:w="70" w:type="dxa"/>
            </w:tcMar>
          </w:tcPr>
          <w:p>
            <w:pPr>
              <w:spacing w:after="0"/>
            </w:pPr>
            <w:r>
              <w:rPr>
                <w:sz w:val="17"/>
              </w:rPr>
              <w:t>20.83%</w:t>
            </w:r>
          </w:p>
        </w:tc>
        <w:tc>
          <w:tcPr>
            <w:tcW w:type="dxa" w:w="2520"/>
            <w:tcMar>
              <w:top w:w="40" w:type="dxa"/>
              <w:bottom w:w="40" w:type="dxa"/>
              <w:left w:w="70" w:type="dxa"/>
              <w:right w:w="70" w:type="dxa"/>
            </w:tcMar>
          </w:tcPr>
          <w:p>
            <w:pPr>
              <w:spacing w:after="0"/>
            </w:pPr>
            <w:r>
              <w:rPr>
                <w:sz w:val="17"/>
              </w:rPr>
              <w:t>-7.50% Under-Represented</w:t>
            </w:r>
          </w:p>
        </w:tc>
      </w:tr>
    </w:tbl>
    <w:p>
      <w:r>
        <w:t>Failure Mechanics: Logistic regression assumes linear additivity: z = sum(beta_i * X_i). The model summed positive weights for homeownership (+0.283) and moderate checking (+0.345), ignoring the non-linear interaction between loan size and liquidity (credit_amount * checking_status). A 200 DM buffer cushions small loans, but fails against a 3,337.50 DM debt.</w:t>
      </w:r>
    </w:p>
    <w:p>
      <w:pPr>
        <w:spacing w:after="80"/>
        <w:jc w:val="center"/>
      </w:pPr>
      <w:r>
        <w:drawing>
          <wp:inline xmlns:a="http://schemas.openxmlformats.org/drawingml/2006/main" xmlns:pic="http://schemas.openxmlformats.org/drawingml/2006/picture">
            <wp:extent cx="4389120" cy="1567543"/>
            <wp:docPr id="4" name="Picture 4"/>
            <wp:cNvGraphicFramePr>
              <a:graphicFrameLocks noChangeAspect="1"/>
            </wp:cNvGraphicFramePr>
            <a:graphic>
              <a:graphicData uri="http://schemas.openxmlformats.org/drawingml/2006/picture">
                <pic:pic>
                  <pic:nvPicPr>
                    <pic:cNvPr id="0" name="part2_3_adversarial_subset.png"/>
                    <pic:cNvPicPr/>
                  </pic:nvPicPr>
                  <pic:blipFill>
                    <a:blip r:embed="rId14"/>
                    <a:stretch>
                      <a:fillRect/>
                    </a:stretch>
                  </pic:blipFill>
                  <pic:spPr>
                    <a:xfrm>
                      <a:off x="0" y="0"/>
                      <a:ext cx="4389120" cy="1567543"/>
                    </a:xfrm>
                    <a:prstGeom prst="rect"/>
                  </pic:spPr>
                </pic:pic>
              </a:graphicData>
            </a:graphic>
          </wp:inline>
        </w:drawing>
      </w:r>
    </w:p>
    <w:p>
      <w:pPr>
        <w:keepNext/>
        <w:spacing w:before="200" w:after="60"/>
      </w:pPr>
      <w:r>
        <w:rPr>
          <w:b/>
          <w:color w:val="1E3A8A"/>
          <w:sz w:val="26"/>
        </w:rPr>
        <w:t>Part 2.4 — Parametric Fairness Trade-Off Analysis</w:t>
      </w:r>
    </w:p>
    <w:p>
      <w:r>
        <w:t>Swept threshold t from 0.05 to 0.95 across Female (Group A, N=85, base rate 69.41%) and Male (Group B, N=215, base rate 71.16%):</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E3A8A"/>
            <w:tcMar>
              <w:top w:w="40" w:type="dxa"/>
              <w:bottom w:w="40" w:type="dxa"/>
              <w:left w:w="50" w:type="dxa"/>
              <w:right w:w="50" w:type="dxa"/>
            </w:tcMar>
          </w:tcPr>
          <w:p>
            <w:pPr>
              <w:spacing w:after="0"/>
            </w:pPr>
            <w:r>
              <w:rPr>
                <w:b/>
                <w:color w:val="FFFFFF"/>
                <w:sz w:val="16"/>
              </w:rPr>
              <w:t>Threshold (t)</w:t>
            </w:r>
          </w:p>
        </w:tc>
        <w:tc>
          <w:tcPr>
            <w:tcW w:type="dxa" w:w="1120"/>
            <w:shd w:fill="1E3A8A"/>
            <w:tcMar>
              <w:top w:w="40" w:type="dxa"/>
              <w:bottom w:w="40" w:type="dxa"/>
              <w:left w:w="50" w:type="dxa"/>
              <w:right w:w="50" w:type="dxa"/>
            </w:tcMar>
          </w:tcPr>
          <w:p>
            <w:pPr>
              <w:spacing w:after="0"/>
            </w:pPr>
            <w:r>
              <w:rPr>
                <w:b/>
                <w:color w:val="FFFFFF"/>
                <w:sz w:val="16"/>
              </w:rPr>
              <w:t>P(App|F)</w:t>
            </w:r>
          </w:p>
        </w:tc>
        <w:tc>
          <w:tcPr>
            <w:tcW w:type="dxa" w:w="1120"/>
            <w:shd w:fill="1E3A8A"/>
            <w:tcMar>
              <w:top w:w="40" w:type="dxa"/>
              <w:bottom w:w="40" w:type="dxa"/>
              <w:left w:w="50" w:type="dxa"/>
              <w:right w:w="50" w:type="dxa"/>
            </w:tcMar>
          </w:tcPr>
          <w:p>
            <w:pPr>
              <w:spacing w:after="0"/>
            </w:pPr>
            <w:r>
              <w:rPr>
                <w:b/>
                <w:color w:val="FFFFFF"/>
                <w:sz w:val="16"/>
              </w:rPr>
              <w:t>P(App|M)</w:t>
            </w:r>
          </w:p>
        </w:tc>
        <w:tc>
          <w:tcPr>
            <w:tcW w:type="dxa" w:w="1120"/>
            <w:shd w:fill="1E3A8A"/>
            <w:tcMar>
              <w:top w:w="40" w:type="dxa"/>
              <w:bottom w:w="40" w:type="dxa"/>
              <w:left w:w="50" w:type="dxa"/>
              <w:right w:w="50" w:type="dxa"/>
            </w:tcMar>
          </w:tcPr>
          <w:p>
            <w:pPr>
              <w:spacing w:after="0"/>
            </w:pPr>
            <w:r>
              <w:rPr>
                <w:b/>
                <w:color w:val="FFFFFF"/>
                <w:sz w:val="16"/>
              </w:rPr>
              <w:t>DP</w:t>
            </w:r>
          </w:p>
        </w:tc>
        <w:tc>
          <w:tcPr>
            <w:tcW w:type="dxa" w:w="1120"/>
            <w:shd w:fill="1E3A8A"/>
            <w:tcMar>
              <w:top w:w="40" w:type="dxa"/>
              <w:bottom w:w="40" w:type="dxa"/>
              <w:left w:w="50" w:type="dxa"/>
              <w:right w:w="50" w:type="dxa"/>
            </w:tcMar>
          </w:tcPr>
          <w:p>
            <w:pPr>
              <w:spacing w:after="0"/>
            </w:pPr>
            <w:r>
              <w:rPr>
                <w:b/>
                <w:color w:val="FFFFFF"/>
                <w:sz w:val="16"/>
              </w:rPr>
              <w:t>TPR(F)</w:t>
            </w:r>
          </w:p>
        </w:tc>
        <w:tc>
          <w:tcPr>
            <w:tcW w:type="dxa" w:w="1120"/>
            <w:shd w:fill="1E3A8A"/>
            <w:tcMar>
              <w:top w:w="40" w:type="dxa"/>
              <w:bottom w:w="40" w:type="dxa"/>
              <w:left w:w="50" w:type="dxa"/>
              <w:right w:w="50" w:type="dxa"/>
            </w:tcMar>
          </w:tcPr>
          <w:p>
            <w:pPr>
              <w:spacing w:after="0"/>
            </w:pPr>
            <w:r>
              <w:rPr>
                <w:b/>
                <w:color w:val="FFFFFF"/>
                <w:sz w:val="16"/>
              </w:rPr>
              <w:t>TPR(M)</w:t>
            </w:r>
          </w:p>
        </w:tc>
        <w:tc>
          <w:tcPr>
            <w:tcW w:type="dxa" w:w="1120"/>
            <w:shd w:fill="1E3A8A"/>
            <w:tcMar>
              <w:top w:w="40" w:type="dxa"/>
              <w:bottom w:w="40" w:type="dxa"/>
              <w:left w:w="50" w:type="dxa"/>
              <w:right w:w="50" w:type="dxa"/>
            </w:tcMar>
          </w:tcPr>
          <w:p>
            <w:pPr>
              <w:spacing w:after="0"/>
            </w:pPr>
            <w:r>
              <w:rPr>
                <w:b/>
                <w:color w:val="FFFFFF"/>
                <w:sz w:val="16"/>
              </w:rPr>
              <w:t>EO</w:t>
            </w:r>
          </w:p>
        </w:tc>
        <w:tc>
          <w:tcPr>
            <w:tcW w:type="dxa" w:w="1120"/>
            <w:shd w:fill="1E3A8A"/>
            <w:tcMar>
              <w:top w:w="40" w:type="dxa"/>
              <w:bottom w:w="40" w:type="dxa"/>
              <w:left w:w="50" w:type="dxa"/>
              <w:right w:w="50" w:type="dxa"/>
            </w:tcMar>
          </w:tcPr>
          <w:p>
            <w:pPr>
              <w:spacing w:after="0"/>
            </w:pPr>
            <w:r>
              <w:rPr>
                <w:b/>
                <w:color w:val="FFFFFF"/>
                <w:sz w:val="16"/>
              </w:rPr>
              <w:t>PP</w:t>
            </w:r>
          </w:p>
        </w:tc>
        <w:tc>
          <w:tcPr>
            <w:tcW w:type="dxa" w:w="1120"/>
            <w:shd w:fill="1E3A8A"/>
            <w:tcMar>
              <w:top w:w="40" w:type="dxa"/>
              <w:bottom w:w="40" w:type="dxa"/>
              <w:left w:w="50" w:type="dxa"/>
              <w:right w:w="50" w:type="dxa"/>
            </w:tcMar>
          </w:tcPr>
          <w:p>
            <w:pPr>
              <w:spacing w:after="0"/>
            </w:pPr>
            <w:r>
              <w:rPr>
                <w:b/>
                <w:color w:val="FFFFFF"/>
                <w:sz w:val="16"/>
              </w:rPr>
              <w:t>Accuracy</w:t>
            </w:r>
          </w:p>
        </w:tc>
      </w:tr>
      <w:tr>
        <w:tc>
          <w:tcPr>
            <w:tcW w:type="dxa" w:w="1120"/>
            <w:tcMar>
              <w:top w:w="35" w:type="dxa"/>
              <w:bottom w:w="35" w:type="dxa"/>
              <w:left w:w="50" w:type="dxa"/>
              <w:right w:w="50" w:type="dxa"/>
            </w:tcMar>
          </w:tcPr>
          <w:p>
            <w:pPr>
              <w:spacing w:after="0"/>
            </w:pPr>
            <w:r>
              <w:rPr>
                <w:sz w:val="16"/>
              </w:rPr>
              <w:t>0.05</w:t>
            </w:r>
          </w:p>
        </w:tc>
        <w:tc>
          <w:tcPr>
            <w:tcW w:type="dxa" w:w="1120"/>
            <w:tcMar>
              <w:top w:w="35" w:type="dxa"/>
              <w:bottom w:w="35" w:type="dxa"/>
              <w:left w:w="50" w:type="dxa"/>
              <w:right w:w="50" w:type="dxa"/>
            </w:tcMar>
          </w:tcPr>
          <w:p>
            <w:pPr>
              <w:spacing w:after="0"/>
            </w:pPr>
            <w:r>
              <w:rPr>
                <w:sz w:val="16"/>
              </w:rPr>
              <w:t>1.0000</w:t>
            </w:r>
          </w:p>
        </w:tc>
        <w:tc>
          <w:tcPr>
            <w:tcW w:type="dxa" w:w="1120"/>
            <w:tcMar>
              <w:top w:w="35" w:type="dxa"/>
              <w:bottom w:w="35" w:type="dxa"/>
              <w:left w:w="50" w:type="dxa"/>
              <w:right w:w="50" w:type="dxa"/>
            </w:tcMar>
          </w:tcPr>
          <w:p>
            <w:pPr>
              <w:spacing w:after="0"/>
            </w:pPr>
            <w:r>
              <w:rPr>
                <w:sz w:val="16"/>
              </w:rPr>
              <w:t>1.0000</w:t>
            </w:r>
          </w:p>
        </w:tc>
        <w:tc>
          <w:tcPr>
            <w:tcW w:type="dxa" w:w="1120"/>
            <w:tcMar>
              <w:top w:w="35" w:type="dxa"/>
              <w:bottom w:w="35" w:type="dxa"/>
              <w:left w:w="50" w:type="dxa"/>
              <w:right w:w="50" w:type="dxa"/>
            </w:tcMar>
          </w:tcPr>
          <w:p>
            <w:pPr>
              <w:spacing w:after="0"/>
            </w:pPr>
            <w:r>
              <w:rPr>
                <w:sz w:val="16"/>
              </w:rPr>
              <w:t>1.0000</w:t>
            </w:r>
          </w:p>
        </w:tc>
        <w:tc>
          <w:tcPr>
            <w:tcW w:type="dxa" w:w="1120"/>
            <w:tcMar>
              <w:top w:w="35" w:type="dxa"/>
              <w:bottom w:w="35" w:type="dxa"/>
              <w:left w:w="50" w:type="dxa"/>
              <w:right w:w="50" w:type="dxa"/>
            </w:tcMar>
          </w:tcPr>
          <w:p>
            <w:pPr>
              <w:spacing w:after="0"/>
            </w:pPr>
            <w:r>
              <w:rPr>
                <w:sz w:val="16"/>
              </w:rPr>
              <w:t>1.0000</w:t>
            </w:r>
          </w:p>
        </w:tc>
        <w:tc>
          <w:tcPr>
            <w:tcW w:type="dxa" w:w="1120"/>
            <w:tcMar>
              <w:top w:w="35" w:type="dxa"/>
              <w:bottom w:w="35" w:type="dxa"/>
              <w:left w:w="50" w:type="dxa"/>
              <w:right w:w="50" w:type="dxa"/>
            </w:tcMar>
          </w:tcPr>
          <w:p>
            <w:pPr>
              <w:spacing w:after="0"/>
            </w:pPr>
            <w:r>
              <w:rPr>
                <w:sz w:val="16"/>
              </w:rPr>
              <w:t>1.0000</w:t>
            </w:r>
          </w:p>
        </w:tc>
        <w:tc>
          <w:tcPr>
            <w:tcW w:type="dxa" w:w="1120"/>
            <w:tcMar>
              <w:top w:w="35" w:type="dxa"/>
              <w:bottom w:w="35" w:type="dxa"/>
              <w:left w:w="50" w:type="dxa"/>
              <w:right w:w="50" w:type="dxa"/>
            </w:tcMar>
          </w:tcPr>
          <w:p>
            <w:pPr>
              <w:spacing w:after="0"/>
            </w:pPr>
            <w:r>
              <w:rPr>
                <w:sz w:val="16"/>
              </w:rPr>
              <w:t>1.0000</w:t>
            </w:r>
          </w:p>
        </w:tc>
        <w:tc>
          <w:tcPr>
            <w:tcW w:type="dxa" w:w="1120"/>
            <w:tcMar>
              <w:top w:w="35" w:type="dxa"/>
              <w:bottom w:w="35" w:type="dxa"/>
              <w:left w:w="50" w:type="dxa"/>
              <w:right w:w="50" w:type="dxa"/>
            </w:tcMar>
          </w:tcPr>
          <w:p>
            <w:pPr>
              <w:spacing w:after="0"/>
            </w:pPr>
            <w:r>
              <w:rPr>
                <w:sz w:val="16"/>
              </w:rPr>
              <w:t>0.9754</w:t>
            </w:r>
          </w:p>
        </w:tc>
        <w:tc>
          <w:tcPr>
            <w:tcW w:type="dxa" w:w="1120"/>
            <w:tcMar>
              <w:top w:w="35" w:type="dxa"/>
              <w:bottom w:w="35" w:type="dxa"/>
              <w:left w:w="50" w:type="dxa"/>
              <w:right w:w="50" w:type="dxa"/>
            </w:tcMar>
          </w:tcPr>
          <w:p>
            <w:pPr>
              <w:spacing w:after="0"/>
            </w:pPr>
            <w:r>
              <w:rPr>
                <w:sz w:val="16"/>
              </w:rPr>
              <w:t>70.67%</w:t>
            </w:r>
          </w:p>
        </w:tc>
      </w:tr>
      <w:tr>
        <w:tc>
          <w:tcPr>
            <w:tcW w:type="dxa" w:w="1120"/>
            <w:shd w:fill="F8FAFC"/>
            <w:tcMar>
              <w:top w:w="35" w:type="dxa"/>
              <w:bottom w:w="35" w:type="dxa"/>
              <w:left w:w="50" w:type="dxa"/>
              <w:right w:w="50" w:type="dxa"/>
            </w:tcMar>
          </w:tcPr>
          <w:p>
            <w:pPr>
              <w:spacing w:after="0"/>
            </w:pPr>
            <w:r>
              <w:rPr>
                <w:sz w:val="16"/>
              </w:rPr>
              <w:t>0.15</w:t>
            </w:r>
          </w:p>
        </w:tc>
        <w:tc>
          <w:tcPr>
            <w:tcW w:type="dxa" w:w="1120"/>
            <w:shd w:fill="F8FAFC"/>
            <w:tcMar>
              <w:top w:w="35" w:type="dxa"/>
              <w:bottom w:w="35" w:type="dxa"/>
              <w:left w:w="50" w:type="dxa"/>
              <w:right w:w="50" w:type="dxa"/>
            </w:tcMar>
          </w:tcPr>
          <w:p>
            <w:pPr>
              <w:spacing w:after="0"/>
            </w:pPr>
            <w:r>
              <w:rPr>
                <w:sz w:val="16"/>
              </w:rPr>
              <w:t>0.9529</w:t>
            </w:r>
          </w:p>
        </w:tc>
        <w:tc>
          <w:tcPr>
            <w:tcW w:type="dxa" w:w="1120"/>
            <w:shd w:fill="F8FAFC"/>
            <w:tcMar>
              <w:top w:w="35" w:type="dxa"/>
              <w:bottom w:w="35" w:type="dxa"/>
              <w:left w:w="50" w:type="dxa"/>
              <w:right w:w="50" w:type="dxa"/>
            </w:tcMar>
          </w:tcPr>
          <w:p>
            <w:pPr>
              <w:spacing w:after="0"/>
            </w:pPr>
            <w:r>
              <w:rPr>
                <w:sz w:val="16"/>
              </w:rPr>
              <w:t>0.9860</w:t>
            </w:r>
          </w:p>
        </w:tc>
        <w:tc>
          <w:tcPr>
            <w:tcW w:type="dxa" w:w="1120"/>
            <w:shd w:fill="F8FAFC"/>
            <w:tcMar>
              <w:top w:w="35" w:type="dxa"/>
              <w:bottom w:w="35" w:type="dxa"/>
              <w:left w:w="50" w:type="dxa"/>
              <w:right w:w="50" w:type="dxa"/>
            </w:tcMar>
          </w:tcPr>
          <w:p>
            <w:pPr>
              <w:spacing w:after="0"/>
            </w:pPr>
            <w:r>
              <w:rPr>
                <w:sz w:val="16"/>
              </w:rPr>
              <w:t>0.9664</w:t>
            </w:r>
          </w:p>
        </w:tc>
        <w:tc>
          <w:tcPr>
            <w:tcW w:type="dxa" w:w="1120"/>
            <w:shd w:fill="F8FAFC"/>
            <w:tcMar>
              <w:top w:w="35" w:type="dxa"/>
              <w:bottom w:w="35" w:type="dxa"/>
              <w:left w:w="50" w:type="dxa"/>
              <w:right w:w="50" w:type="dxa"/>
            </w:tcMar>
          </w:tcPr>
          <w:p>
            <w:pPr>
              <w:spacing w:after="0"/>
            </w:pPr>
            <w:r>
              <w:rPr>
                <w:sz w:val="16"/>
              </w:rPr>
              <w:t>0.9831</w:t>
            </w:r>
          </w:p>
        </w:tc>
        <w:tc>
          <w:tcPr>
            <w:tcW w:type="dxa" w:w="1120"/>
            <w:shd w:fill="F8FAFC"/>
            <w:tcMar>
              <w:top w:w="35" w:type="dxa"/>
              <w:bottom w:w="35" w:type="dxa"/>
              <w:left w:w="50" w:type="dxa"/>
              <w:right w:w="50" w:type="dxa"/>
            </w:tcMar>
          </w:tcPr>
          <w:p>
            <w:pPr>
              <w:spacing w:after="0"/>
            </w:pPr>
            <w:r>
              <w:rPr>
                <w:sz w:val="16"/>
              </w:rPr>
              <w:t>1.0000</w:t>
            </w:r>
          </w:p>
        </w:tc>
        <w:tc>
          <w:tcPr>
            <w:tcW w:type="dxa" w:w="1120"/>
            <w:shd w:fill="F8FAFC"/>
            <w:tcMar>
              <w:top w:w="35" w:type="dxa"/>
              <w:bottom w:w="35" w:type="dxa"/>
              <w:left w:w="50" w:type="dxa"/>
              <w:right w:w="50" w:type="dxa"/>
            </w:tcMar>
          </w:tcPr>
          <w:p>
            <w:pPr>
              <w:spacing w:after="0"/>
            </w:pPr>
            <w:r>
              <w:rPr>
                <w:sz w:val="16"/>
              </w:rPr>
              <w:t>0.9296</w:t>
            </w:r>
          </w:p>
        </w:tc>
        <w:tc>
          <w:tcPr>
            <w:tcW w:type="dxa" w:w="1120"/>
            <w:shd w:fill="F8FAFC"/>
            <w:tcMar>
              <w:top w:w="35" w:type="dxa"/>
              <w:bottom w:w="35" w:type="dxa"/>
              <w:left w:w="50" w:type="dxa"/>
              <w:right w:w="50" w:type="dxa"/>
            </w:tcMar>
          </w:tcPr>
          <w:p>
            <w:pPr>
              <w:spacing w:after="0"/>
            </w:pPr>
            <w:r>
              <w:rPr>
                <w:sz w:val="16"/>
              </w:rPr>
              <w:t>0.9922</w:t>
            </w:r>
          </w:p>
        </w:tc>
        <w:tc>
          <w:tcPr>
            <w:tcW w:type="dxa" w:w="1120"/>
            <w:shd w:fill="F8FAFC"/>
            <w:tcMar>
              <w:top w:w="35" w:type="dxa"/>
              <w:bottom w:w="35" w:type="dxa"/>
              <w:left w:w="50" w:type="dxa"/>
              <w:right w:w="50" w:type="dxa"/>
            </w:tcMar>
          </w:tcPr>
          <w:p>
            <w:pPr>
              <w:spacing w:after="0"/>
            </w:pPr>
            <w:r>
              <w:rPr>
                <w:sz w:val="16"/>
              </w:rPr>
              <w:t>72.33%</w:t>
            </w:r>
          </w:p>
        </w:tc>
      </w:tr>
      <w:tr>
        <w:tc>
          <w:tcPr>
            <w:tcW w:type="dxa" w:w="1120"/>
            <w:tcMar>
              <w:top w:w="35" w:type="dxa"/>
              <w:bottom w:w="35" w:type="dxa"/>
              <w:left w:w="50" w:type="dxa"/>
              <w:right w:w="50" w:type="dxa"/>
            </w:tcMar>
          </w:tcPr>
          <w:p>
            <w:pPr>
              <w:spacing w:after="0"/>
            </w:pPr>
            <w:r>
              <w:rPr>
                <w:sz w:val="16"/>
              </w:rPr>
              <w:t>0.25</w:t>
            </w:r>
          </w:p>
        </w:tc>
        <w:tc>
          <w:tcPr>
            <w:tcW w:type="dxa" w:w="1120"/>
            <w:tcMar>
              <w:top w:w="35" w:type="dxa"/>
              <w:bottom w:w="35" w:type="dxa"/>
              <w:left w:w="50" w:type="dxa"/>
              <w:right w:w="50" w:type="dxa"/>
            </w:tcMar>
          </w:tcPr>
          <w:p>
            <w:pPr>
              <w:spacing w:after="0"/>
            </w:pPr>
            <w:r>
              <w:rPr>
                <w:sz w:val="16"/>
              </w:rPr>
              <w:t>0.8941</w:t>
            </w:r>
          </w:p>
        </w:tc>
        <w:tc>
          <w:tcPr>
            <w:tcW w:type="dxa" w:w="1120"/>
            <w:tcMar>
              <w:top w:w="35" w:type="dxa"/>
              <w:bottom w:w="35" w:type="dxa"/>
              <w:left w:w="50" w:type="dxa"/>
              <w:right w:w="50" w:type="dxa"/>
            </w:tcMar>
          </w:tcPr>
          <w:p>
            <w:pPr>
              <w:spacing w:after="0"/>
            </w:pPr>
            <w:r>
              <w:rPr>
                <w:sz w:val="16"/>
              </w:rPr>
              <w:t>0.9628</w:t>
            </w:r>
          </w:p>
        </w:tc>
        <w:tc>
          <w:tcPr>
            <w:tcW w:type="dxa" w:w="1120"/>
            <w:tcMar>
              <w:top w:w="35" w:type="dxa"/>
              <w:bottom w:w="35" w:type="dxa"/>
              <w:left w:w="50" w:type="dxa"/>
              <w:right w:w="50" w:type="dxa"/>
            </w:tcMar>
          </w:tcPr>
          <w:p>
            <w:pPr>
              <w:spacing w:after="0"/>
            </w:pPr>
            <w:r>
              <w:rPr>
                <w:sz w:val="16"/>
              </w:rPr>
              <w:t>0.9287</w:t>
            </w:r>
          </w:p>
        </w:tc>
        <w:tc>
          <w:tcPr>
            <w:tcW w:type="dxa" w:w="1120"/>
            <w:tcMar>
              <w:top w:w="35" w:type="dxa"/>
              <w:bottom w:w="35" w:type="dxa"/>
              <w:left w:w="50" w:type="dxa"/>
              <w:right w:w="50" w:type="dxa"/>
            </w:tcMar>
          </w:tcPr>
          <w:p>
            <w:pPr>
              <w:spacing w:after="0"/>
            </w:pPr>
            <w:r>
              <w:rPr>
                <w:sz w:val="16"/>
              </w:rPr>
              <w:t>0.9661</w:t>
            </w:r>
          </w:p>
        </w:tc>
        <w:tc>
          <w:tcPr>
            <w:tcW w:type="dxa" w:w="1120"/>
            <w:tcMar>
              <w:top w:w="35" w:type="dxa"/>
              <w:bottom w:w="35" w:type="dxa"/>
              <w:left w:w="50" w:type="dxa"/>
              <w:right w:w="50" w:type="dxa"/>
            </w:tcMar>
          </w:tcPr>
          <w:p>
            <w:pPr>
              <w:spacing w:after="0"/>
            </w:pPr>
            <w:r>
              <w:rPr>
                <w:sz w:val="16"/>
              </w:rPr>
              <w:t>0.9935</w:t>
            </w:r>
          </w:p>
        </w:tc>
        <w:tc>
          <w:tcPr>
            <w:tcW w:type="dxa" w:w="1120"/>
            <w:tcMar>
              <w:top w:w="35" w:type="dxa"/>
              <w:bottom w:w="35" w:type="dxa"/>
              <w:left w:w="50" w:type="dxa"/>
              <w:right w:w="50" w:type="dxa"/>
            </w:tcMar>
          </w:tcPr>
          <w:p>
            <w:pPr>
              <w:spacing w:after="0"/>
            </w:pPr>
            <w:r>
              <w:rPr>
                <w:sz w:val="16"/>
              </w:rPr>
              <w:t>0.8238</w:t>
            </w:r>
          </w:p>
        </w:tc>
        <w:tc>
          <w:tcPr>
            <w:tcW w:type="dxa" w:w="1120"/>
            <w:tcMar>
              <w:top w:w="35" w:type="dxa"/>
              <w:bottom w:w="35" w:type="dxa"/>
              <w:left w:w="50" w:type="dxa"/>
              <w:right w:w="50" w:type="dxa"/>
            </w:tcMar>
          </w:tcPr>
          <w:p>
            <w:pPr>
              <w:spacing w:after="0"/>
            </w:pPr>
            <w:r>
              <w:rPr>
                <w:sz w:val="16"/>
              </w:rPr>
              <w:t>1.0214</w:t>
            </w:r>
          </w:p>
        </w:tc>
        <w:tc>
          <w:tcPr>
            <w:tcW w:type="dxa" w:w="1120"/>
            <w:tcMar>
              <w:top w:w="35" w:type="dxa"/>
              <w:bottom w:w="35" w:type="dxa"/>
              <w:left w:w="50" w:type="dxa"/>
              <w:right w:w="50" w:type="dxa"/>
            </w:tcMar>
          </w:tcPr>
          <w:p>
            <w:pPr>
              <w:spacing w:after="0"/>
            </w:pPr>
            <w:r>
              <w:rPr>
                <w:sz w:val="16"/>
              </w:rPr>
              <w:t>74.33%</w:t>
            </w:r>
          </w:p>
        </w:tc>
      </w:tr>
      <w:tr>
        <w:tc>
          <w:tcPr>
            <w:tcW w:type="dxa" w:w="1120"/>
            <w:shd w:fill="DBEAFE"/>
            <w:tcMar>
              <w:top w:w="35" w:type="dxa"/>
              <w:bottom w:w="35" w:type="dxa"/>
              <w:left w:w="50" w:type="dxa"/>
              <w:right w:w="50" w:type="dxa"/>
            </w:tcMar>
          </w:tcPr>
          <w:p>
            <w:pPr>
              <w:spacing w:after="0"/>
            </w:pPr>
            <w:r>
              <w:rPr>
                <w:b/>
                <w:sz w:val="16"/>
              </w:rPr>
              <w:t>0.35 (Rec)</w:t>
            </w:r>
          </w:p>
        </w:tc>
        <w:tc>
          <w:tcPr>
            <w:tcW w:type="dxa" w:w="1120"/>
            <w:shd w:fill="DBEAFE"/>
            <w:tcMar>
              <w:top w:w="35" w:type="dxa"/>
              <w:bottom w:w="35" w:type="dxa"/>
              <w:left w:w="50" w:type="dxa"/>
              <w:right w:w="50" w:type="dxa"/>
            </w:tcMar>
          </w:tcPr>
          <w:p>
            <w:pPr>
              <w:spacing w:after="0"/>
            </w:pPr>
            <w:r>
              <w:rPr>
                <w:b/>
                <w:sz w:val="16"/>
              </w:rPr>
              <w:t>0.8471</w:t>
            </w:r>
          </w:p>
        </w:tc>
        <w:tc>
          <w:tcPr>
            <w:tcW w:type="dxa" w:w="1120"/>
            <w:shd w:fill="DBEAFE"/>
            <w:tcMar>
              <w:top w:w="35" w:type="dxa"/>
              <w:bottom w:w="35" w:type="dxa"/>
              <w:left w:w="50" w:type="dxa"/>
              <w:right w:w="50" w:type="dxa"/>
            </w:tcMar>
          </w:tcPr>
          <w:p>
            <w:pPr>
              <w:spacing w:after="0"/>
            </w:pPr>
            <w:r>
              <w:rPr>
                <w:b/>
                <w:sz w:val="16"/>
              </w:rPr>
              <w:t>0.9116</w:t>
            </w:r>
          </w:p>
        </w:tc>
        <w:tc>
          <w:tcPr>
            <w:tcW w:type="dxa" w:w="1120"/>
            <w:shd w:fill="DBEAFE"/>
            <w:tcMar>
              <w:top w:w="35" w:type="dxa"/>
              <w:bottom w:w="35" w:type="dxa"/>
              <w:left w:w="50" w:type="dxa"/>
              <w:right w:w="50" w:type="dxa"/>
            </w:tcMar>
          </w:tcPr>
          <w:p>
            <w:pPr>
              <w:spacing w:after="0"/>
            </w:pPr>
            <w:r>
              <w:rPr>
                <w:b/>
                <w:sz w:val="16"/>
              </w:rPr>
              <w:t>0.9292</w:t>
            </w:r>
          </w:p>
        </w:tc>
        <w:tc>
          <w:tcPr>
            <w:tcW w:type="dxa" w:w="1120"/>
            <w:shd w:fill="DBEAFE"/>
            <w:tcMar>
              <w:top w:w="35" w:type="dxa"/>
              <w:bottom w:w="35" w:type="dxa"/>
              <w:left w:w="50" w:type="dxa"/>
              <w:right w:w="50" w:type="dxa"/>
            </w:tcMar>
          </w:tcPr>
          <w:p>
            <w:pPr>
              <w:spacing w:after="0"/>
            </w:pPr>
            <w:r>
              <w:rPr>
                <w:b/>
                <w:sz w:val="16"/>
              </w:rPr>
              <w:t>0.9322</w:t>
            </w:r>
          </w:p>
        </w:tc>
        <w:tc>
          <w:tcPr>
            <w:tcW w:type="dxa" w:w="1120"/>
            <w:shd w:fill="DBEAFE"/>
            <w:tcMar>
              <w:top w:w="35" w:type="dxa"/>
              <w:bottom w:w="35" w:type="dxa"/>
              <w:left w:w="50" w:type="dxa"/>
              <w:right w:w="50" w:type="dxa"/>
            </w:tcMar>
          </w:tcPr>
          <w:p>
            <w:pPr>
              <w:spacing w:after="0"/>
            </w:pPr>
            <w:r>
              <w:rPr>
                <w:b/>
                <w:sz w:val="16"/>
              </w:rPr>
              <w:t>0.9542</w:t>
            </w:r>
          </w:p>
        </w:tc>
        <w:tc>
          <w:tcPr>
            <w:tcW w:type="dxa" w:w="1120"/>
            <w:shd w:fill="DBEAFE"/>
            <w:tcMar>
              <w:top w:w="35" w:type="dxa"/>
              <w:bottom w:w="35" w:type="dxa"/>
              <w:left w:w="50" w:type="dxa"/>
              <w:right w:w="50" w:type="dxa"/>
            </w:tcMar>
          </w:tcPr>
          <w:p>
            <w:pPr>
              <w:spacing w:after="0"/>
            </w:pPr>
            <w:r>
              <w:rPr>
                <w:b/>
                <w:sz w:val="16"/>
              </w:rPr>
              <w:t>0.8108</w:t>
            </w:r>
          </w:p>
        </w:tc>
        <w:tc>
          <w:tcPr>
            <w:tcW w:type="dxa" w:w="1120"/>
            <w:shd w:fill="DBEAFE"/>
            <w:tcMar>
              <w:top w:w="35" w:type="dxa"/>
              <w:bottom w:w="35" w:type="dxa"/>
              <w:left w:w="50" w:type="dxa"/>
              <w:right w:w="50" w:type="dxa"/>
            </w:tcMar>
          </w:tcPr>
          <w:p>
            <w:pPr>
              <w:spacing w:after="0"/>
            </w:pPr>
            <w:r>
              <w:rPr>
                <w:b/>
                <w:sz w:val="16"/>
              </w:rPr>
              <w:t>1.0255</w:t>
            </w:r>
          </w:p>
        </w:tc>
        <w:tc>
          <w:tcPr>
            <w:tcW w:type="dxa" w:w="1120"/>
            <w:shd w:fill="DBEAFE"/>
            <w:tcMar>
              <w:top w:w="35" w:type="dxa"/>
              <w:bottom w:w="35" w:type="dxa"/>
              <w:left w:w="50" w:type="dxa"/>
              <w:right w:w="50" w:type="dxa"/>
            </w:tcMar>
          </w:tcPr>
          <w:p>
            <w:pPr>
              <w:spacing w:after="0"/>
            </w:pPr>
            <w:r>
              <w:rPr>
                <w:b/>
                <w:sz w:val="16"/>
              </w:rPr>
              <w:t>74.00%</w:t>
            </w:r>
          </w:p>
        </w:tc>
      </w:tr>
      <w:tr>
        <w:tc>
          <w:tcPr>
            <w:tcW w:type="dxa" w:w="1120"/>
            <w:tcMar>
              <w:top w:w="35" w:type="dxa"/>
              <w:bottom w:w="35" w:type="dxa"/>
              <w:left w:w="50" w:type="dxa"/>
              <w:right w:w="50" w:type="dxa"/>
            </w:tcMar>
          </w:tcPr>
          <w:p>
            <w:pPr>
              <w:spacing w:after="0"/>
            </w:pPr>
            <w:r>
              <w:rPr>
                <w:sz w:val="16"/>
              </w:rPr>
              <w:t>0.45</w:t>
            </w:r>
          </w:p>
        </w:tc>
        <w:tc>
          <w:tcPr>
            <w:tcW w:type="dxa" w:w="1120"/>
            <w:tcMar>
              <w:top w:w="35" w:type="dxa"/>
              <w:bottom w:w="35" w:type="dxa"/>
              <w:left w:w="50" w:type="dxa"/>
              <w:right w:w="50" w:type="dxa"/>
            </w:tcMar>
          </w:tcPr>
          <w:p>
            <w:pPr>
              <w:spacing w:after="0"/>
            </w:pPr>
            <w:r>
              <w:rPr>
                <w:sz w:val="16"/>
              </w:rPr>
              <w:t>0.7647</w:t>
            </w:r>
          </w:p>
        </w:tc>
        <w:tc>
          <w:tcPr>
            <w:tcW w:type="dxa" w:w="1120"/>
            <w:tcMar>
              <w:top w:w="35" w:type="dxa"/>
              <w:bottom w:w="35" w:type="dxa"/>
              <w:left w:w="50" w:type="dxa"/>
              <w:right w:w="50" w:type="dxa"/>
            </w:tcMar>
          </w:tcPr>
          <w:p>
            <w:pPr>
              <w:spacing w:after="0"/>
            </w:pPr>
            <w:r>
              <w:rPr>
                <w:sz w:val="16"/>
              </w:rPr>
              <w:t>0.8605</w:t>
            </w:r>
          </w:p>
        </w:tc>
        <w:tc>
          <w:tcPr>
            <w:tcW w:type="dxa" w:w="1120"/>
            <w:tcMar>
              <w:top w:w="35" w:type="dxa"/>
              <w:bottom w:w="35" w:type="dxa"/>
              <w:left w:w="50" w:type="dxa"/>
              <w:right w:w="50" w:type="dxa"/>
            </w:tcMar>
          </w:tcPr>
          <w:p>
            <w:pPr>
              <w:spacing w:after="0"/>
            </w:pPr>
            <w:r>
              <w:rPr>
                <w:sz w:val="16"/>
              </w:rPr>
              <w:t>0.8887</w:t>
            </w:r>
          </w:p>
        </w:tc>
        <w:tc>
          <w:tcPr>
            <w:tcW w:type="dxa" w:w="1120"/>
            <w:tcMar>
              <w:top w:w="35" w:type="dxa"/>
              <w:bottom w:w="35" w:type="dxa"/>
              <w:left w:w="50" w:type="dxa"/>
              <w:right w:w="50" w:type="dxa"/>
            </w:tcMar>
          </w:tcPr>
          <w:p>
            <w:pPr>
              <w:spacing w:after="0"/>
            </w:pPr>
            <w:r>
              <w:rPr>
                <w:sz w:val="16"/>
              </w:rPr>
              <w:t>0.8983</w:t>
            </w:r>
          </w:p>
        </w:tc>
        <w:tc>
          <w:tcPr>
            <w:tcW w:type="dxa" w:w="1120"/>
            <w:tcMar>
              <w:top w:w="35" w:type="dxa"/>
              <w:bottom w:w="35" w:type="dxa"/>
              <w:left w:w="50" w:type="dxa"/>
              <w:right w:w="50" w:type="dxa"/>
            </w:tcMar>
          </w:tcPr>
          <w:p>
            <w:pPr>
              <w:spacing w:after="0"/>
            </w:pPr>
            <w:r>
              <w:rPr>
                <w:sz w:val="16"/>
              </w:rPr>
              <w:t>0.9085</w:t>
            </w:r>
          </w:p>
        </w:tc>
        <w:tc>
          <w:tcPr>
            <w:tcW w:type="dxa" w:w="1120"/>
            <w:tcMar>
              <w:top w:w="35" w:type="dxa"/>
              <w:bottom w:w="35" w:type="dxa"/>
              <w:left w:w="50" w:type="dxa"/>
              <w:right w:w="50" w:type="dxa"/>
            </w:tcMar>
          </w:tcPr>
          <w:p>
            <w:pPr>
              <w:spacing w:after="0"/>
            </w:pPr>
            <w:r>
              <w:rPr>
                <w:sz w:val="16"/>
              </w:rPr>
              <w:t>0.6221</w:t>
            </w:r>
          </w:p>
        </w:tc>
        <w:tc>
          <w:tcPr>
            <w:tcW w:type="dxa" w:w="1120"/>
            <w:tcMar>
              <w:top w:w="35" w:type="dxa"/>
              <w:bottom w:w="35" w:type="dxa"/>
              <w:left w:w="50" w:type="dxa"/>
              <w:right w:w="50" w:type="dxa"/>
            </w:tcMar>
          </w:tcPr>
          <w:p>
            <w:pPr>
              <w:spacing w:after="0"/>
            </w:pPr>
            <w:r>
              <w:rPr>
                <w:sz w:val="16"/>
              </w:rPr>
              <w:t>1.0852</w:t>
            </w:r>
          </w:p>
        </w:tc>
        <w:tc>
          <w:tcPr>
            <w:tcW w:type="dxa" w:w="1120"/>
            <w:tcMar>
              <w:top w:w="35" w:type="dxa"/>
              <w:bottom w:w="35" w:type="dxa"/>
              <w:left w:w="50" w:type="dxa"/>
              <w:right w:w="50" w:type="dxa"/>
            </w:tcMar>
          </w:tcPr>
          <w:p>
            <w:pPr>
              <w:spacing w:after="0"/>
            </w:pPr>
            <w:r>
              <w:rPr>
                <w:sz w:val="16"/>
              </w:rPr>
              <w:t>74.00%</w:t>
            </w:r>
          </w:p>
        </w:tc>
      </w:tr>
      <w:tr>
        <w:tc>
          <w:tcPr>
            <w:tcW w:type="dxa" w:w="1120"/>
            <w:shd w:fill="FEE2E2"/>
            <w:tcMar>
              <w:top w:w="35" w:type="dxa"/>
              <w:bottom w:w="35" w:type="dxa"/>
              <w:left w:w="50" w:type="dxa"/>
              <w:right w:w="50" w:type="dxa"/>
            </w:tcMar>
          </w:tcPr>
          <w:p>
            <w:pPr>
              <w:spacing w:after="0"/>
            </w:pPr>
            <w:r>
              <w:rPr>
                <w:sz w:val="16"/>
              </w:rPr>
              <w:t>0.55 (Peak)</w:t>
            </w:r>
          </w:p>
        </w:tc>
        <w:tc>
          <w:tcPr>
            <w:tcW w:type="dxa" w:w="1120"/>
            <w:shd w:fill="FEE2E2"/>
            <w:tcMar>
              <w:top w:w="35" w:type="dxa"/>
              <w:bottom w:w="35" w:type="dxa"/>
              <w:left w:w="50" w:type="dxa"/>
              <w:right w:w="50" w:type="dxa"/>
            </w:tcMar>
          </w:tcPr>
          <w:p>
            <w:pPr>
              <w:spacing w:after="0"/>
            </w:pPr>
            <w:r>
              <w:rPr>
                <w:sz w:val="16"/>
              </w:rPr>
              <w:t>0.6824</w:t>
            </w:r>
          </w:p>
        </w:tc>
        <w:tc>
          <w:tcPr>
            <w:tcW w:type="dxa" w:w="1120"/>
            <w:shd w:fill="FEE2E2"/>
            <w:tcMar>
              <w:top w:w="35" w:type="dxa"/>
              <w:bottom w:w="35" w:type="dxa"/>
              <w:left w:w="50" w:type="dxa"/>
              <w:right w:w="50" w:type="dxa"/>
            </w:tcMar>
          </w:tcPr>
          <w:p>
            <w:pPr>
              <w:spacing w:after="0"/>
            </w:pPr>
            <w:r>
              <w:rPr>
                <w:sz w:val="16"/>
              </w:rPr>
              <w:t>0.8047</w:t>
            </w:r>
          </w:p>
        </w:tc>
        <w:tc>
          <w:tcPr>
            <w:tcW w:type="dxa" w:w="1120"/>
            <w:shd w:fill="FEE2E2"/>
            <w:tcMar>
              <w:top w:w="35" w:type="dxa"/>
              <w:bottom w:w="35" w:type="dxa"/>
              <w:left w:w="50" w:type="dxa"/>
              <w:right w:w="50" w:type="dxa"/>
            </w:tcMar>
          </w:tcPr>
          <w:p>
            <w:pPr>
              <w:spacing w:after="0"/>
            </w:pPr>
            <w:r>
              <w:rPr>
                <w:sz w:val="16"/>
              </w:rPr>
              <w:t>0.8480</w:t>
            </w:r>
          </w:p>
        </w:tc>
        <w:tc>
          <w:tcPr>
            <w:tcW w:type="dxa" w:w="1120"/>
            <w:shd w:fill="FEE2E2"/>
            <w:tcMar>
              <w:top w:w="35" w:type="dxa"/>
              <w:bottom w:w="35" w:type="dxa"/>
              <w:left w:w="50" w:type="dxa"/>
              <w:right w:w="50" w:type="dxa"/>
            </w:tcMar>
          </w:tcPr>
          <w:p>
            <w:pPr>
              <w:spacing w:after="0"/>
            </w:pPr>
            <w:r>
              <w:rPr>
                <w:sz w:val="16"/>
              </w:rPr>
              <w:t>0.8475</w:t>
            </w:r>
          </w:p>
        </w:tc>
        <w:tc>
          <w:tcPr>
            <w:tcW w:type="dxa" w:w="1120"/>
            <w:shd w:fill="FEE2E2"/>
            <w:tcMar>
              <w:top w:w="35" w:type="dxa"/>
              <w:bottom w:w="35" w:type="dxa"/>
              <w:left w:w="50" w:type="dxa"/>
              <w:right w:w="50" w:type="dxa"/>
            </w:tcMar>
          </w:tcPr>
          <w:p>
            <w:pPr>
              <w:spacing w:after="0"/>
            </w:pPr>
            <w:r>
              <w:rPr>
                <w:sz w:val="16"/>
              </w:rPr>
              <w:t>0.8889</w:t>
            </w:r>
          </w:p>
        </w:tc>
        <w:tc>
          <w:tcPr>
            <w:tcW w:type="dxa" w:w="1120"/>
            <w:shd w:fill="FEE2E2"/>
            <w:tcMar>
              <w:top w:w="35" w:type="dxa"/>
              <w:bottom w:w="35" w:type="dxa"/>
              <w:left w:w="50" w:type="dxa"/>
              <w:right w:w="50" w:type="dxa"/>
            </w:tcMar>
          </w:tcPr>
          <w:p>
            <w:pPr>
              <w:spacing w:after="0"/>
            </w:pPr>
            <w:r>
              <w:rPr>
                <w:sz w:val="16"/>
              </w:rPr>
              <w:t>0.5156</w:t>
            </w:r>
          </w:p>
        </w:tc>
        <w:tc>
          <w:tcPr>
            <w:tcW w:type="dxa" w:w="1120"/>
            <w:shd w:fill="FEE2E2"/>
            <w:tcMar>
              <w:top w:w="35" w:type="dxa"/>
              <w:bottom w:w="35" w:type="dxa"/>
              <w:left w:w="50" w:type="dxa"/>
              <w:right w:w="50" w:type="dxa"/>
            </w:tcMar>
          </w:tcPr>
          <w:p>
            <w:pPr>
              <w:spacing w:after="0"/>
            </w:pPr>
            <w:r>
              <w:rPr>
                <w:sz w:val="16"/>
              </w:rPr>
              <w:t>1.0966</w:t>
            </w:r>
          </w:p>
        </w:tc>
        <w:tc>
          <w:tcPr>
            <w:tcW w:type="dxa" w:w="1120"/>
            <w:shd w:fill="FEE2E2"/>
            <w:tcMar>
              <w:top w:w="35" w:type="dxa"/>
              <w:bottom w:w="35" w:type="dxa"/>
              <w:left w:w="50" w:type="dxa"/>
              <w:right w:w="50" w:type="dxa"/>
            </w:tcMar>
          </w:tcPr>
          <w:p>
            <w:pPr>
              <w:spacing w:after="0"/>
            </w:pPr>
            <w:r>
              <w:rPr>
                <w:sz w:val="16"/>
              </w:rPr>
              <w:t>76.33%</w:t>
            </w:r>
          </w:p>
        </w:tc>
      </w:tr>
      <w:tr>
        <w:tc>
          <w:tcPr>
            <w:tcW w:type="dxa" w:w="1120"/>
            <w:tcMar>
              <w:top w:w="35" w:type="dxa"/>
              <w:bottom w:w="35" w:type="dxa"/>
              <w:left w:w="50" w:type="dxa"/>
              <w:right w:w="50" w:type="dxa"/>
            </w:tcMar>
          </w:tcPr>
          <w:p>
            <w:pPr>
              <w:spacing w:after="0"/>
            </w:pPr>
            <w:r>
              <w:rPr>
                <w:sz w:val="16"/>
              </w:rPr>
              <w:t>0.65</w:t>
            </w:r>
          </w:p>
        </w:tc>
        <w:tc>
          <w:tcPr>
            <w:tcW w:type="dxa" w:w="1120"/>
            <w:tcMar>
              <w:top w:w="35" w:type="dxa"/>
              <w:bottom w:w="35" w:type="dxa"/>
              <w:left w:w="50" w:type="dxa"/>
              <w:right w:w="50" w:type="dxa"/>
            </w:tcMar>
          </w:tcPr>
          <w:p>
            <w:pPr>
              <w:spacing w:after="0"/>
            </w:pPr>
            <w:r>
              <w:rPr>
                <w:sz w:val="16"/>
              </w:rPr>
              <w:t>0.5882</w:t>
            </w:r>
          </w:p>
        </w:tc>
        <w:tc>
          <w:tcPr>
            <w:tcW w:type="dxa" w:w="1120"/>
            <w:tcMar>
              <w:top w:w="35" w:type="dxa"/>
              <w:bottom w:w="35" w:type="dxa"/>
              <w:left w:w="50" w:type="dxa"/>
              <w:right w:w="50" w:type="dxa"/>
            </w:tcMar>
          </w:tcPr>
          <w:p>
            <w:pPr>
              <w:spacing w:after="0"/>
            </w:pPr>
            <w:r>
              <w:rPr>
                <w:sz w:val="16"/>
              </w:rPr>
              <w:t>0.7256</w:t>
            </w:r>
          </w:p>
        </w:tc>
        <w:tc>
          <w:tcPr>
            <w:tcW w:type="dxa" w:w="1120"/>
            <w:tcMar>
              <w:top w:w="35" w:type="dxa"/>
              <w:bottom w:w="35" w:type="dxa"/>
              <w:left w:w="50" w:type="dxa"/>
              <w:right w:w="50" w:type="dxa"/>
            </w:tcMar>
          </w:tcPr>
          <w:p>
            <w:pPr>
              <w:spacing w:after="0"/>
            </w:pPr>
            <w:r>
              <w:rPr>
                <w:sz w:val="16"/>
              </w:rPr>
              <w:t>0.8107</w:t>
            </w:r>
          </w:p>
        </w:tc>
        <w:tc>
          <w:tcPr>
            <w:tcW w:type="dxa" w:w="1120"/>
            <w:tcMar>
              <w:top w:w="35" w:type="dxa"/>
              <w:bottom w:w="35" w:type="dxa"/>
              <w:left w:w="50" w:type="dxa"/>
              <w:right w:w="50" w:type="dxa"/>
            </w:tcMar>
          </w:tcPr>
          <w:p>
            <w:pPr>
              <w:spacing w:after="0"/>
            </w:pPr>
            <w:r>
              <w:rPr>
                <w:sz w:val="16"/>
              </w:rPr>
              <w:t>0.7797</w:t>
            </w:r>
          </w:p>
        </w:tc>
        <w:tc>
          <w:tcPr>
            <w:tcW w:type="dxa" w:w="1120"/>
            <w:tcMar>
              <w:top w:w="35" w:type="dxa"/>
              <w:bottom w:w="35" w:type="dxa"/>
              <w:left w:w="50" w:type="dxa"/>
              <w:right w:w="50" w:type="dxa"/>
            </w:tcMar>
          </w:tcPr>
          <w:p>
            <w:pPr>
              <w:spacing w:after="0"/>
            </w:pPr>
            <w:r>
              <w:rPr>
                <w:sz w:val="16"/>
              </w:rPr>
              <w:t>0.8105</w:t>
            </w:r>
          </w:p>
        </w:tc>
        <w:tc>
          <w:tcPr>
            <w:tcW w:type="dxa" w:w="1120"/>
            <w:tcMar>
              <w:top w:w="35" w:type="dxa"/>
              <w:bottom w:w="35" w:type="dxa"/>
              <w:left w:w="50" w:type="dxa"/>
              <w:right w:w="50" w:type="dxa"/>
            </w:tcMar>
          </w:tcPr>
          <w:p>
            <w:pPr>
              <w:spacing w:after="0"/>
            </w:pPr>
            <w:r>
              <w:rPr>
                <w:sz w:val="16"/>
              </w:rPr>
              <w:t>0.2981</w:t>
            </w:r>
          </w:p>
        </w:tc>
        <w:tc>
          <w:tcPr>
            <w:tcW w:type="dxa" w:w="1120"/>
            <w:tcMar>
              <w:top w:w="35" w:type="dxa"/>
              <w:bottom w:w="35" w:type="dxa"/>
              <w:left w:w="50" w:type="dxa"/>
              <w:right w:w="50" w:type="dxa"/>
            </w:tcMar>
          </w:tcPr>
          <w:p>
            <w:pPr>
              <w:spacing w:after="0"/>
            </w:pPr>
            <w:r>
              <w:rPr>
                <w:sz w:val="16"/>
              </w:rPr>
              <w:t>1.1574</w:t>
            </w:r>
          </w:p>
        </w:tc>
        <w:tc>
          <w:tcPr>
            <w:tcW w:type="dxa" w:w="1120"/>
            <w:tcMar>
              <w:top w:w="35" w:type="dxa"/>
              <w:bottom w:w="35" w:type="dxa"/>
              <w:left w:w="50" w:type="dxa"/>
              <w:right w:w="50" w:type="dxa"/>
            </w:tcMar>
          </w:tcPr>
          <w:p>
            <w:pPr>
              <w:spacing w:after="0"/>
            </w:pPr>
            <w:r>
              <w:rPr>
                <w:sz w:val="16"/>
              </w:rPr>
              <w:t>74.00%</w:t>
            </w:r>
          </w:p>
        </w:tc>
      </w:tr>
      <w:tr>
        <w:tc>
          <w:tcPr>
            <w:tcW w:type="dxa" w:w="1120"/>
            <w:shd w:fill="F8FAFC"/>
            <w:tcMar>
              <w:top w:w="35" w:type="dxa"/>
              <w:bottom w:w="35" w:type="dxa"/>
              <w:left w:w="50" w:type="dxa"/>
              <w:right w:w="50" w:type="dxa"/>
            </w:tcMar>
          </w:tcPr>
          <w:p>
            <w:pPr>
              <w:spacing w:after="0"/>
            </w:pPr>
            <w:r>
              <w:rPr>
                <w:sz w:val="16"/>
              </w:rPr>
              <w:t>0.75</w:t>
            </w:r>
          </w:p>
        </w:tc>
        <w:tc>
          <w:tcPr>
            <w:tcW w:type="dxa" w:w="1120"/>
            <w:shd w:fill="F8FAFC"/>
            <w:tcMar>
              <w:top w:w="35" w:type="dxa"/>
              <w:bottom w:w="35" w:type="dxa"/>
              <w:left w:w="50" w:type="dxa"/>
              <w:right w:w="50" w:type="dxa"/>
            </w:tcMar>
          </w:tcPr>
          <w:p>
            <w:pPr>
              <w:spacing w:after="0"/>
            </w:pPr>
            <w:r>
              <w:rPr>
                <w:sz w:val="16"/>
              </w:rPr>
              <w:t>0.4353</w:t>
            </w:r>
          </w:p>
        </w:tc>
        <w:tc>
          <w:tcPr>
            <w:tcW w:type="dxa" w:w="1120"/>
            <w:shd w:fill="F8FAFC"/>
            <w:tcMar>
              <w:top w:w="35" w:type="dxa"/>
              <w:bottom w:w="35" w:type="dxa"/>
              <w:left w:w="50" w:type="dxa"/>
              <w:right w:w="50" w:type="dxa"/>
            </w:tcMar>
          </w:tcPr>
          <w:p>
            <w:pPr>
              <w:spacing w:after="0"/>
            </w:pPr>
            <w:r>
              <w:rPr>
                <w:sz w:val="16"/>
              </w:rPr>
              <w:t>0.5767</w:t>
            </w:r>
          </w:p>
        </w:tc>
        <w:tc>
          <w:tcPr>
            <w:tcW w:type="dxa" w:w="1120"/>
            <w:shd w:fill="F8FAFC"/>
            <w:tcMar>
              <w:top w:w="35" w:type="dxa"/>
              <w:bottom w:w="35" w:type="dxa"/>
              <w:left w:w="50" w:type="dxa"/>
              <w:right w:w="50" w:type="dxa"/>
            </w:tcMar>
          </w:tcPr>
          <w:p>
            <w:pPr>
              <w:spacing w:after="0"/>
            </w:pPr>
            <w:r>
              <w:rPr>
                <w:sz w:val="16"/>
              </w:rPr>
              <w:t>0.7547</w:t>
            </w:r>
          </w:p>
        </w:tc>
        <w:tc>
          <w:tcPr>
            <w:tcW w:type="dxa" w:w="1120"/>
            <w:shd w:fill="F8FAFC"/>
            <w:tcMar>
              <w:top w:w="35" w:type="dxa"/>
              <w:bottom w:w="35" w:type="dxa"/>
              <w:left w:w="50" w:type="dxa"/>
              <w:right w:w="50" w:type="dxa"/>
            </w:tcMar>
          </w:tcPr>
          <w:p>
            <w:pPr>
              <w:spacing w:after="0"/>
            </w:pPr>
            <w:r>
              <w:rPr>
                <w:sz w:val="16"/>
              </w:rPr>
              <w:t>0.5763</w:t>
            </w:r>
          </w:p>
        </w:tc>
        <w:tc>
          <w:tcPr>
            <w:tcW w:type="dxa" w:w="1120"/>
            <w:shd w:fill="F8FAFC"/>
            <w:tcMar>
              <w:top w:w="35" w:type="dxa"/>
              <w:bottom w:w="35" w:type="dxa"/>
              <w:left w:w="50" w:type="dxa"/>
              <w:right w:w="50" w:type="dxa"/>
            </w:tcMar>
          </w:tcPr>
          <w:p>
            <w:pPr>
              <w:spacing w:after="0"/>
            </w:pPr>
            <w:r>
              <w:rPr>
                <w:sz w:val="16"/>
              </w:rPr>
              <w:t>0.6928</w:t>
            </w:r>
          </w:p>
        </w:tc>
        <w:tc>
          <w:tcPr>
            <w:tcW w:type="dxa" w:w="1120"/>
            <w:shd w:fill="F8FAFC"/>
            <w:tcMar>
              <w:top w:w="35" w:type="dxa"/>
              <w:bottom w:w="35" w:type="dxa"/>
              <w:left w:w="50" w:type="dxa"/>
              <w:right w:w="50" w:type="dxa"/>
            </w:tcMar>
          </w:tcPr>
          <w:p>
            <w:pPr>
              <w:spacing w:after="0"/>
            </w:pPr>
            <w:r>
              <w:rPr>
                <w:sz w:val="16"/>
              </w:rPr>
              <w:t>0.3974</w:t>
            </w:r>
          </w:p>
        </w:tc>
        <w:tc>
          <w:tcPr>
            <w:tcW w:type="dxa" w:w="1120"/>
            <w:shd w:fill="F8FAFC"/>
            <w:tcMar>
              <w:top w:w="35" w:type="dxa"/>
              <w:bottom w:w="35" w:type="dxa"/>
              <w:left w:w="50" w:type="dxa"/>
              <w:right w:w="50" w:type="dxa"/>
            </w:tcMar>
          </w:tcPr>
          <w:p>
            <w:pPr>
              <w:spacing w:after="0"/>
            </w:pPr>
            <w:r>
              <w:rPr>
                <w:sz w:val="16"/>
              </w:rPr>
              <w:t>1.0750</w:t>
            </w:r>
          </w:p>
        </w:tc>
        <w:tc>
          <w:tcPr>
            <w:tcW w:type="dxa" w:w="1120"/>
            <w:shd w:fill="F8FAFC"/>
            <w:tcMar>
              <w:top w:w="35" w:type="dxa"/>
              <w:bottom w:w="35" w:type="dxa"/>
              <w:left w:w="50" w:type="dxa"/>
              <w:right w:w="50" w:type="dxa"/>
            </w:tcMar>
          </w:tcPr>
          <w:p>
            <w:pPr>
              <w:spacing w:after="0"/>
            </w:pPr>
            <w:r>
              <w:rPr>
                <w:sz w:val="16"/>
              </w:rPr>
              <w:t>69.00%</w:t>
            </w:r>
          </w:p>
        </w:tc>
      </w:tr>
      <w:tr>
        <w:tc>
          <w:tcPr>
            <w:tcW w:type="dxa" w:w="1120"/>
            <w:tcMar>
              <w:top w:w="35" w:type="dxa"/>
              <w:bottom w:w="35" w:type="dxa"/>
              <w:left w:w="50" w:type="dxa"/>
              <w:right w:w="50" w:type="dxa"/>
            </w:tcMar>
          </w:tcPr>
          <w:p>
            <w:pPr>
              <w:spacing w:after="0"/>
            </w:pPr>
            <w:r>
              <w:rPr>
                <w:sz w:val="16"/>
              </w:rPr>
              <w:t>0.85</w:t>
            </w:r>
          </w:p>
        </w:tc>
        <w:tc>
          <w:tcPr>
            <w:tcW w:type="dxa" w:w="1120"/>
            <w:tcMar>
              <w:top w:w="35" w:type="dxa"/>
              <w:bottom w:w="35" w:type="dxa"/>
              <w:left w:w="50" w:type="dxa"/>
              <w:right w:w="50" w:type="dxa"/>
            </w:tcMar>
          </w:tcPr>
          <w:p>
            <w:pPr>
              <w:spacing w:after="0"/>
            </w:pPr>
            <w:r>
              <w:rPr>
                <w:sz w:val="16"/>
              </w:rPr>
              <w:t>0.3294</w:t>
            </w:r>
          </w:p>
        </w:tc>
        <w:tc>
          <w:tcPr>
            <w:tcW w:type="dxa" w:w="1120"/>
            <w:tcMar>
              <w:top w:w="35" w:type="dxa"/>
              <w:bottom w:w="35" w:type="dxa"/>
              <w:left w:w="50" w:type="dxa"/>
              <w:right w:w="50" w:type="dxa"/>
            </w:tcMar>
          </w:tcPr>
          <w:p>
            <w:pPr>
              <w:spacing w:after="0"/>
            </w:pPr>
            <w:r>
              <w:rPr>
                <w:sz w:val="16"/>
              </w:rPr>
              <w:t>0.4186</w:t>
            </w:r>
          </w:p>
        </w:tc>
        <w:tc>
          <w:tcPr>
            <w:tcW w:type="dxa" w:w="1120"/>
            <w:tcMar>
              <w:top w:w="35" w:type="dxa"/>
              <w:bottom w:w="35" w:type="dxa"/>
              <w:left w:w="50" w:type="dxa"/>
              <w:right w:w="50" w:type="dxa"/>
            </w:tcMar>
          </w:tcPr>
          <w:p>
            <w:pPr>
              <w:spacing w:after="0"/>
            </w:pPr>
            <w:r>
              <w:rPr>
                <w:sz w:val="16"/>
              </w:rPr>
              <w:t>0.7869</w:t>
            </w:r>
          </w:p>
        </w:tc>
        <w:tc>
          <w:tcPr>
            <w:tcW w:type="dxa" w:w="1120"/>
            <w:tcMar>
              <w:top w:w="35" w:type="dxa"/>
              <w:bottom w:w="35" w:type="dxa"/>
              <w:left w:w="50" w:type="dxa"/>
              <w:right w:w="50" w:type="dxa"/>
            </w:tcMar>
          </w:tcPr>
          <w:p>
            <w:pPr>
              <w:spacing w:after="0"/>
            </w:pPr>
            <w:r>
              <w:rPr>
                <w:sz w:val="16"/>
              </w:rPr>
              <w:t>0.4576</w:t>
            </w:r>
          </w:p>
        </w:tc>
        <w:tc>
          <w:tcPr>
            <w:tcW w:type="dxa" w:w="1120"/>
            <w:tcMar>
              <w:top w:w="35" w:type="dxa"/>
              <w:bottom w:w="35" w:type="dxa"/>
              <w:left w:w="50" w:type="dxa"/>
              <w:right w:w="50" w:type="dxa"/>
            </w:tcMar>
          </w:tcPr>
          <w:p>
            <w:pPr>
              <w:spacing w:after="0"/>
            </w:pPr>
            <w:r>
              <w:rPr>
                <w:sz w:val="16"/>
              </w:rPr>
              <w:t>0.5359</w:t>
            </w:r>
          </w:p>
        </w:tc>
        <w:tc>
          <w:tcPr>
            <w:tcW w:type="dxa" w:w="1120"/>
            <w:tcMar>
              <w:top w:w="35" w:type="dxa"/>
              <w:bottom w:w="35" w:type="dxa"/>
              <w:left w:w="50" w:type="dxa"/>
              <w:right w:w="50" w:type="dxa"/>
            </w:tcMar>
          </w:tcPr>
          <w:p>
            <w:pPr>
              <w:spacing w:after="0"/>
            </w:pPr>
            <w:r>
              <w:rPr>
                <w:sz w:val="16"/>
              </w:rPr>
              <w:t>0.2981</w:t>
            </w:r>
          </w:p>
        </w:tc>
        <w:tc>
          <w:tcPr>
            <w:tcW w:type="dxa" w:w="1120"/>
            <w:tcMar>
              <w:top w:w="35" w:type="dxa"/>
              <w:bottom w:w="35" w:type="dxa"/>
              <w:left w:w="50" w:type="dxa"/>
              <w:right w:w="50" w:type="dxa"/>
            </w:tcMar>
          </w:tcPr>
          <w:p>
            <w:pPr>
              <w:spacing w:after="0"/>
            </w:pPr>
            <w:r>
              <w:rPr>
                <w:sz w:val="16"/>
              </w:rPr>
              <w:t>1.0584</w:t>
            </w:r>
          </w:p>
        </w:tc>
        <w:tc>
          <w:tcPr>
            <w:tcW w:type="dxa" w:w="1120"/>
            <w:tcMar>
              <w:top w:w="35" w:type="dxa"/>
              <w:bottom w:w="35" w:type="dxa"/>
              <w:left w:w="50" w:type="dxa"/>
              <w:right w:w="50" w:type="dxa"/>
            </w:tcMar>
          </w:tcPr>
          <w:p>
            <w:pPr>
              <w:spacing w:after="0"/>
            </w:pPr>
            <w:r>
              <w:rPr>
                <w:sz w:val="16"/>
              </w:rPr>
              <w:t>62.67%</w:t>
            </w:r>
          </w:p>
        </w:tc>
      </w:tr>
      <w:tr>
        <w:tc>
          <w:tcPr>
            <w:tcW w:type="dxa" w:w="1120"/>
            <w:shd w:fill="F8FAFC"/>
            <w:tcMar>
              <w:top w:w="35" w:type="dxa"/>
              <w:bottom w:w="35" w:type="dxa"/>
              <w:left w:w="50" w:type="dxa"/>
              <w:right w:w="50" w:type="dxa"/>
            </w:tcMar>
          </w:tcPr>
          <w:p>
            <w:pPr>
              <w:spacing w:after="0"/>
            </w:pPr>
            <w:r>
              <w:rPr>
                <w:sz w:val="16"/>
              </w:rPr>
              <w:t>0.95</w:t>
            </w:r>
          </w:p>
        </w:tc>
        <w:tc>
          <w:tcPr>
            <w:tcW w:type="dxa" w:w="1120"/>
            <w:shd w:fill="F8FAFC"/>
            <w:tcMar>
              <w:top w:w="35" w:type="dxa"/>
              <w:bottom w:w="35" w:type="dxa"/>
              <w:left w:w="50" w:type="dxa"/>
              <w:right w:w="50" w:type="dxa"/>
            </w:tcMar>
          </w:tcPr>
          <w:p>
            <w:pPr>
              <w:spacing w:after="0"/>
            </w:pPr>
            <w:r>
              <w:rPr>
                <w:sz w:val="16"/>
              </w:rPr>
              <w:t>0.0824</w:t>
            </w:r>
          </w:p>
        </w:tc>
        <w:tc>
          <w:tcPr>
            <w:tcW w:type="dxa" w:w="1120"/>
            <w:shd w:fill="F8FAFC"/>
            <w:tcMar>
              <w:top w:w="35" w:type="dxa"/>
              <w:bottom w:w="35" w:type="dxa"/>
              <w:left w:w="50" w:type="dxa"/>
              <w:right w:w="50" w:type="dxa"/>
            </w:tcMar>
          </w:tcPr>
          <w:p>
            <w:pPr>
              <w:spacing w:after="0"/>
            </w:pPr>
            <w:r>
              <w:rPr>
                <w:sz w:val="16"/>
              </w:rPr>
              <w:t>0.1535</w:t>
            </w:r>
          </w:p>
        </w:tc>
        <w:tc>
          <w:tcPr>
            <w:tcW w:type="dxa" w:w="1120"/>
            <w:shd w:fill="F8FAFC"/>
            <w:tcMar>
              <w:top w:w="35" w:type="dxa"/>
              <w:bottom w:w="35" w:type="dxa"/>
              <w:left w:w="50" w:type="dxa"/>
              <w:right w:w="50" w:type="dxa"/>
            </w:tcMar>
          </w:tcPr>
          <w:p>
            <w:pPr>
              <w:spacing w:after="0"/>
            </w:pPr>
            <w:r>
              <w:rPr>
                <w:sz w:val="16"/>
              </w:rPr>
              <w:t>0.5365</w:t>
            </w:r>
          </w:p>
        </w:tc>
        <w:tc>
          <w:tcPr>
            <w:tcW w:type="dxa" w:w="1120"/>
            <w:shd w:fill="F8FAFC"/>
            <w:tcMar>
              <w:top w:w="35" w:type="dxa"/>
              <w:bottom w:w="35" w:type="dxa"/>
              <w:left w:w="50" w:type="dxa"/>
              <w:right w:w="50" w:type="dxa"/>
            </w:tcMar>
          </w:tcPr>
          <w:p>
            <w:pPr>
              <w:spacing w:after="0"/>
            </w:pPr>
            <w:r>
              <w:rPr>
                <w:sz w:val="16"/>
              </w:rPr>
              <w:t>0.1186</w:t>
            </w:r>
          </w:p>
        </w:tc>
        <w:tc>
          <w:tcPr>
            <w:tcW w:type="dxa" w:w="1120"/>
            <w:shd w:fill="F8FAFC"/>
            <w:tcMar>
              <w:top w:w="35" w:type="dxa"/>
              <w:bottom w:w="35" w:type="dxa"/>
              <w:left w:w="50" w:type="dxa"/>
              <w:right w:w="50" w:type="dxa"/>
            </w:tcMar>
          </w:tcPr>
          <w:p>
            <w:pPr>
              <w:spacing w:after="0"/>
            </w:pPr>
            <w:r>
              <w:rPr>
                <w:sz w:val="16"/>
              </w:rPr>
              <w:t>0.2157</w:t>
            </w:r>
          </w:p>
        </w:tc>
        <w:tc>
          <w:tcPr>
            <w:tcW w:type="dxa" w:w="1120"/>
            <w:shd w:fill="F8FAFC"/>
            <w:tcMar>
              <w:top w:w="35" w:type="dxa"/>
              <w:bottom w:w="35" w:type="dxa"/>
              <w:left w:w="50" w:type="dxa"/>
              <w:right w:w="50" w:type="dxa"/>
            </w:tcMar>
          </w:tcPr>
          <w:p>
            <w:pPr>
              <w:spacing w:after="0"/>
            </w:pPr>
            <w:r>
              <w:rPr>
                <w:sz w:val="16"/>
              </w:rPr>
              <w:t>0.0000</w:t>
            </w:r>
          </w:p>
        </w:tc>
        <w:tc>
          <w:tcPr>
            <w:tcW w:type="dxa" w:w="1120"/>
            <w:shd w:fill="F8FAFC"/>
            <w:tcMar>
              <w:top w:w="35" w:type="dxa"/>
              <w:bottom w:w="35" w:type="dxa"/>
              <w:left w:w="50" w:type="dxa"/>
              <w:right w:w="50" w:type="dxa"/>
            </w:tcMar>
          </w:tcPr>
          <w:p>
            <w:pPr>
              <w:spacing w:after="0"/>
            </w:pPr>
            <w:r>
              <w:rPr>
                <w:sz w:val="16"/>
              </w:rPr>
              <w:t>1.0000</w:t>
            </w:r>
          </w:p>
        </w:tc>
        <w:tc>
          <w:tcPr>
            <w:tcW w:type="dxa" w:w="1120"/>
            <w:shd w:fill="F8FAFC"/>
            <w:tcMar>
              <w:top w:w="35" w:type="dxa"/>
              <w:bottom w:w="35" w:type="dxa"/>
              <w:left w:w="50" w:type="dxa"/>
              <w:right w:w="50" w:type="dxa"/>
            </w:tcMar>
          </w:tcPr>
          <w:p>
            <w:pPr>
              <w:spacing w:after="0"/>
            </w:pPr>
            <w:r>
              <w:rPr>
                <w:sz w:val="16"/>
              </w:rPr>
              <w:t>42.67%</w:t>
            </w:r>
          </w:p>
        </w:tc>
      </w:tr>
    </w:tbl>
    <w:p>
      <w:r>
        <w:t>Trade-Off Quantification: Moving from t=0.75 to t=0.85 gains +4.27% in DP (0.7547 -&gt; 0.7869), but causes EO to drop -24.99% (0.3974 -&gt; 0.2981). Trade-Off Cost = (Loss in EO) / (Gain in DP) = 24.99% / 4.27% = 5.85. Every 1% gained in DP costs 5.85% in EO.</w:t>
      </w:r>
    </w:p>
    <w:p>
      <w:pPr>
        <w:spacing w:after="80"/>
        <w:jc w:val="center"/>
      </w:pPr>
      <w:r>
        <w:drawing>
          <wp:inline xmlns:a="http://schemas.openxmlformats.org/drawingml/2006/main" xmlns:pic="http://schemas.openxmlformats.org/drawingml/2006/picture">
            <wp:extent cx="4389120" cy="1567543"/>
            <wp:docPr id="5" name="Picture 5"/>
            <wp:cNvGraphicFramePr>
              <a:graphicFrameLocks noChangeAspect="1"/>
            </wp:cNvGraphicFramePr>
            <a:graphic>
              <a:graphicData uri="http://schemas.openxmlformats.org/drawingml/2006/picture">
                <pic:pic>
                  <pic:nvPicPr>
                    <pic:cNvPr id="0" name="part2_4_fairness_tradeoff.png"/>
                    <pic:cNvPicPr/>
                  </pic:nvPicPr>
                  <pic:blipFill>
                    <a:blip r:embed="rId15"/>
                    <a:stretch>
                      <a:fillRect/>
                    </a:stretch>
                  </pic:blipFill>
                  <pic:spPr>
                    <a:xfrm>
                      <a:off x="0" y="0"/>
                      <a:ext cx="4389120" cy="1567543"/>
                    </a:xfrm>
                    <a:prstGeom prst="rect"/>
                  </pic:spPr>
                </pic:pic>
              </a:graphicData>
            </a:graphic>
          </wp:inline>
        </w:drawing>
      </w:r>
    </w:p>
    <w:p>
      <w:pPr>
        <w:keepNext/>
        <w:spacing w:before="200" w:after="60"/>
      </w:pPr>
      <w:r>
        <w:rPr>
          <w:b/>
          <w:color w:val="1E3A8A"/>
          <w:sz w:val="26"/>
        </w:rPr>
        <w:t>Part 3 — Descriptive Analysis (Questions 1, 2 &amp; 3)</w:t>
      </w:r>
    </w:p>
    <w:p>
      <w:pPr>
        <w:keepNext/>
        <w:spacing w:before="160" w:after="40"/>
      </w:pPr>
      <w:r>
        <w:rPr>
          <w:b/>
          <w:color w:val="1E40AF"/>
          <w:sz w:val="23"/>
        </w:rPr>
        <w:t>Question 1: Comparative Classification Dynamics &amp; Mismatch Mechanics (260 words)</w:t>
      </w:r>
    </w:p>
    <w:p>
      <w:r>
        <w:t>In our test set evaluation (N=300), Model A (Linear OLS) and Model B (Logistic Regression) generated exactly 90 mismatched cases (30.00% mismatch rate). Model A continuous predictions ranged from -0.0211 to 1.3459 with an empirical test set median of 0.7151. Mandating the threshold at the median forces exactly 50.0% of the sample (N=150) into positive approval by construction. In contrast, Model B maps log-odds through the logistic sigmoid link function, producing valid posterior probabilities strictly bounded in [0.0628, 0.9946]. Applying the standard cutoff P_hat &gt;= 0.50 classified 240 individuals (80.00%) into positive approval. The inter-model confusion matrix confirms the structural nature of this disagreement: both models agreed on 60 negative and 150 positive classifications, while exactly 90 individuals were approved by Model B (P_hat &gt;= 0.50) but rejected by Model A (Y_hat &lt; 0.7151), with 0 approved by Model A and rejected by Model B.</w:t>
        <w:br/>
        <w:br/>
        <w:t>This 30% mismatch stems from diverging thresholding philosophies. Model A’s median split is a relative, rank-based ordinal threshold that artificially rejects half the cohort regardless of creditworthiness. Because the test base rate is 70.67% positive, Model B’s absolute threshold (0.50) reflects the true positive skew. The 90 disputed individuals occupy the corridor 0.5000 &lt;= P_hat_B &lt; 0.7151: creditworthy applicants who are penalized solely for falling below the 50th percentile of peers. OLS also extrapolates outside probability bounds (-0.0211 and 1.3459). Consequently, Model B achieved 75.33% test accuracy vs. Model A’s 68.00%.</w:t>
      </w:r>
    </w:p>
    <w:p>
      <w:pPr>
        <w:keepNext/>
        <w:spacing w:before="160" w:after="40"/>
      </w:pPr>
      <w:r>
        <w:rPr>
          <w:b/>
          <w:color w:val="1E40AF"/>
          <w:sz w:val="23"/>
        </w:rPr>
        <w:t>Question 2: Simpson's Paradox and Subgroup Heterogeneity (265 words)</w:t>
      </w:r>
    </w:p>
    <w:p>
      <w:r>
        <w:t>We uncovered an acute instance of Simpson’s Paradox when analyzing the impact of existing bank credit lines (existing_credits) across age cohorts: Young Adults (&lt;30 years, N=371) vs. Mature Adults (&gt;=30 years, N=629). In the full population (N=1,000), bivariate logistic regression indicates that existing credits positively predict approval (beta_Full = +0.1780, SE = 0.1232, p = 0.1488, 95% CI: [-0.0636, +0.4195]). However, disaggregating by age reveals an acute sign reversal:</w:t>
        <w:br/>
        <w:t>• Young Adults (&lt;30 years): beta_Young = -0.2203 (SE = 0.2133, p = 0.3016, 95% CI: [-0.6384, +0.1977]) — Negative Penalty</w:t>
        <w:br/>
        <w:t>• Mature Adults (&gt;=30 years): beta_Mature = +0.3083 (SE = 0.1586, p = 0.0519, 95% CI: [-0.0025, +0.6192]) — Positive Asset</w:t>
        <w:br/>
        <w:br/>
        <w:t>Statistically, this reversal reflects distinct latent behavioral meanings across life stages. For mature adults, multiple credit accounts indicate an established track record and banking trust. For young adults, multiple loans signal financial instability, over-leveraging, and emergency liquidity distress. Furthermore, in standardized multivariable regression, applicant age has zero statistical impact on men (beta_Male = +0.0604, p = 0.5204), but acts as an enormous protective factor for women (beta_Female = +0.4741, p = 0.0013)—an effect size nearly eight times larger. Deploying an aggregate model that ignores these subgroup interactions would reward over-indebted young borrowers while mispricing young women.</w:t>
      </w:r>
    </w:p>
    <w:p>
      <w:pPr>
        <w:keepNext/>
        <w:spacing w:before="160" w:after="40"/>
      </w:pPr>
      <w:r>
        <w:rPr>
          <w:b/>
          <w:color w:val="1E40AF"/>
          <w:sz w:val="23"/>
        </w:rPr>
        <w:t>Question 3: Omitted-Variable Bias (OVB) Stress-Testing (250 words)</w:t>
      </w:r>
    </w:p>
    <w:p>
      <w:r>
        <w:t>We deliberately omitted checking_status (Attribute 1: checking liquidity) from the full logistic regression model (48 features, N=700) to measure parameter sensitivity to unobserved confounds. The resulting coefficient shifts confirm severe omitted-variable bias:</w:t>
        <w:br/>
        <w:t>• savings_status_A63 (Savings 500–1000 DM): +0.3720 -&gt; +0.7812 (+110.00% surge)</w:t>
        <w:br/>
        <w:t>• employment_A73 (Job Tenure 1–4 Yrs): +0.1278 -&gt; +0.2560 (+100.31% surge)</w:t>
        <w:br/>
        <w:t>• credit_history_A33 (Past Payment Delay): +0.3941 -&gt; +0.5956 (+51.14% change)</w:t>
        <w:br/>
        <w:t>• existing_credits (Credit Accounts): -0.0983 -&gt; -0.0656 (+33.31% change)</w:t>
        <w:br/>
        <w:t>• age (Standardized Age): +0.1543 -&gt; +0.1869 (+21.16% change)</w:t>
        <w:br/>
        <w:t>• duration (Standardized Loan Duration): -0.4273 -&gt; -0.4325 (-1.21% change)</w:t>
        <w:br/>
        <w:br/>
        <w:t>The predictor that shifted most was savings_status_A63 (+110.00%), followed by employment_A73 (+100.31%). Because checking liquidity is positively correlated with savings and stable employment, purging checking status forced the optimizer to inflate savings and employment weights through proxy absorption: E[beta_hat] = beta_true + beta_omitted x Cov(X, Z)/Var(X). An auditor inspecting the reduced model would falsely attribute double the true protective effect to moderate savings, demonstrating that un-stress-tested models cannot be trusted for causal underwriting explanations.</w:t>
      </w:r>
    </w:p>
    <w:p>
      <w:pPr>
        <w:keepNext/>
        <w:spacing w:before="200" w:after="60"/>
      </w:pPr>
      <w:r>
        <w:rPr>
          <w:b/>
          <w:color w:val="1E3A8A"/>
          <w:sz w:val="26"/>
        </w:rPr>
        <w:t>Part 3 — Descriptive Analysis (Questions 4, 5, 6 &amp; 7)</w:t>
      </w:r>
    </w:p>
    <w:p>
      <w:pPr>
        <w:keepNext/>
        <w:spacing w:before="160" w:after="40"/>
      </w:pPr>
      <w:r>
        <w:rPr>
          <w:b/>
          <w:color w:val="1E40AF"/>
          <w:sz w:val="23"/>
        </w:rPr>
        <w:t>Question 4: Detecting Hidden Confounds in Production Systems (230 words)</w:t>
      </w:r>
    </w:p>
    <w:p>
      <w:r>
        <w:t>In enterprise lending, unobserved confounders (such as family safety nets or informal remittances) bias training and test sets identically. To detect them, I propose a dual-track strategy combining Quasi-Experimental Instrumental Variable (IV) Estimation with Oster Sensitivity Bounding. (1) We exploit hyper-local banking competition shocks (e.g., staggered regional branch rollouts or postal-code banking fee reforms) as an exogenous instrument (Z). Because branch competition affects loan terms and checking account uptake without altering an applicant's intrinsic moral hazard, it satisfies relevance and exclusion restrictions. A Hausman test comparing beta_OLS against beta_IV formally tests for omitted confounding. (2) We compute Oster's proportionality delta relative to movements in R^2; delta &lt; 1.0 indicates fragility to selection on unobservables. Finally, a negative control outcome (applicant telephone registration) is audited: non-zero weights prove socio-economic confounding.</w:t>
      </w:r>
    </w:p>
    <w:p>
      <w:pPr>
        <w:keepNext/>
        <w:spacing w:before="160" w:after="40"/>
      </w:pPr>
      <w:r>
        <w:rPr>
          <w:b/>
          <w:color w:val="1E40AF"/>
          <w:sz w:val="23"/>
        </w:rPr>
        <w:t>Question 5: Adversarial Subset Construction &amp; Failure Mechanics (240 words)</w:t>
      </w:r>
    </w:p>
    <w:p>
      <w:r>
        <w:t>We identified exactly 24 adversarial failure instances (8.00% of the 300 test subjects): 21 high-confidence false positives (P_hat &gt;= 0.75, true default) and 3 high-confidence false negatives (P_hat &lt;= 0.25, true approved). Profiling reveals striking shared traits: 83.33% own their homes (vs. 74.00% test baseline), 45.83% hold moderate checking accounts (0–200 DM) (nearly double the 23.00% baseline), 54.17% have clean credit histories, and their average loan obligation was 3,337.50 DM (vs. 3,040.18 DM baseline). Logistic regression failed confidently due to linear additivity without non-linear interaction terms: it summed positive weights for homeownership (+0.283) and checking status (+0.345), ignoring that a modest 200 DM reserve cannot service an above-average 3,337.50 DM debt obligation.</w:t>
      </w:r>
    </w:p>
    <w:p>
      <w:pPr>
        <w:keepNext/>
        <w:spacing w:before="160" w:after="40"/>
      </w:pPr>
      <w:r>
        <w:rPr>
          <w:b/>
          <w:color w:val="1E40AF"/>
          <w:sz w:val="23"/>
        </w:rPr>
        <w:t>Question 6: The Real-World Cost of Fairness Trade-Offs (250 words)</w:t>
      </w:r>
    </w:p>
    <w:p>
      <w:r>
        <w:t>Consider two realistic applicants: Elena (Female, 28, P_hat = 0.480) seeking a 2,500 DM catering equipment loan, and Marcus (Male, 29, P_hat = 0.480) seeking an identical auto repair loan. Under an Inclusion Threshold (t = 0.35), both exceed the threshold and receive loans; Demographic Parity is high (DP = 0.9292, Female approval = 84.71%, Male approval = 91.16%) and Equalized Odds is robust (EO = 0.8108, TPR_Female = 93.22%, TPR_Male = 95.42%). However, under an Accuracy-Maximizing Threshold (t = 0.55), both Elena and Marcus are rejected (0.480 &lt; 0.55). Female approval collapses to 68.24% and EO collapses to 0.5156. If a regulator demands perfect DP (1.000) at t=0.55, the bank would have to set disparate thresholds (t_female = 0.45, t_male = 0.55), approving Elena while rejecting Marcus despite identical 0.480 risk scores, violating individual fairness.</w:t>
      </w:r>
    </w:p>
    <w:p>
      <w:pPr>
        <w:keepNext/>
        <w:spacing w:before="160" w:after="40"/>
      </w:pPr>
      <w:r>
        <w:rPr>
          <w:b/>
          <w:color w:val="1E40AF"/>
          <w:sz w:val="23"/>
        </w:rPr>
        <w:t>Question 7: Defending an Operational Decision Threshold (t = 0.35) (255 words)</w:t>
      </w:r>
    </w:p>
    <w:p>
      <w:r>
        <w:t>I defend t = 0.35 as the optimal operational threshold based on four empirical metrics: (1) Demographic Parity = 0.9292 (Female approval 84.71%, Male approval 91.16%), satisfying the EEOC 80% rule; (2) Equalized Odds = 0.8108, with true positive parity at 0.9769 (TPR_Female = 93.22% vs. TPR_Male = 95.42%); (3) Predictive Parity = 1.0255 (PPV_Female = 76.39% vs. PPV_Male = 74.49%); and (4) Accuracy = 74.00% (only 2.33% below peak 76.33% at t=0.55). Strongest Counter-Argument: A credit officer will argue that t=0.35 elevates the False Positive Rate to 65.38% for women and 80.65% for men, approving 67 defaulting applicants in a 5:1 cost matrix. This valid credit risk must be managed via risk-adjusted loan pricing and tiered borrowing caps rather than demographic exclusion.</w:t>
      </w:r>
    </w:p>
    <w:p>
      <w:pPr>
        <w:keepNext/>
        <w:spacing w:before="200" w:after="60"/>
      </w:pPr>
      <w:r>
        <w:rPr>
          <w:b/>
          <w:color w:val="1E3A8A"/>
          <w:sz w:val="26"/>
        </w:rPr>
        <w:t>Part 3 (Cont.) — Question 8 &amp; Part 4 Reflection Essay</w:t>
      </w:r>
    </w:p>
    <w:p>
      <w:pPr>
        <w:keepNext/>
        <w:spacing w:before="160" w:after="40"/>
      </w:pPr>
      <w:r>
        <w:rPr>
          <w:b/>
          <w:color w:val="1E40AF"/>
          <w:sz w:val="23"/>
        </w:rPr>
        <w:t>Question 8: Strategic Policy Choice: Demographic Parity vs. Equalized Odds (235 words)</w:t>
      </w:r>
    </w:p>
    <w:p>
      <w:r>
        <w:t>If forced to choose, I unequivocally recommend prioritizing Equalized Odds (EO) over pure Demographic Parity (DP). Under Kleinberg’s Impossibility Theorem, unequal base rates (Female 69.41% vs. Male 71.16%) make DP, EO, and PP mutually incompatible. Equalized Odds enforces meritocratic fairness: creditworthy applicants face equal approval odds regardless of sex (at t=0.35, TPR_Female = 93.22% vs. TPR_Male = 95.42%, a 2.20% gap), while preserving Predictive Parity (PP = 1.0255). We explicitly sacrifice strict DP (0.9292 at t=0.35; 0.8480 at t=0.55). Sacrificing pure DP is necessary: enforcing equal acceptance rates across unequal financial distributions would force banks to approve unqualified women (causing debt traps and default) or deny qualified men, violating procedural justice.</w:t>
      </w:r>
    </w:p>
    <w:p>
      <w:pPr>
        <w:keepNext/>
        <w:spacing w:before="200" w:after="60"/>
      </w:pPr>
      <w:r>
        <w:rPr>
          <w:b/>
          <w:color w:val="1E3A8A"/>
          <w:sz w:val="26"/>
        </w:rPr>
        <w:t>Part 4 — Reflection Essay (~470 words)</w:t>
      </w:r>
    </w:p>
    <w:p>
      <w:r>
        <w:t>"If a policy-maker asked you: 'just give me one number: should we deploy this model or not?', what would you say, and what is the limitation of that 'one number' answer that you discovered yourself through your analysis?"</w:t>
      </w:r>
    </w:p>
    <w:p>
      <w:pPr>
        <w:keepNext/>
        <w:spacing w:before="160" w:after="40"/>
      </w:pPr>
      <w:r>
        <w:rPr>
          <w:b/>
          <w:color w:val="1E40AF"/>
          <w:sz w:val="23"/>
        </w:rPr>
        <w:t>1. Direct Answer (1–2 sentences) (~35 words)</w:t>
      </w:r>
    </w:p>
    <w:p>
      <w:r>
        <w:t>I recommend conditional deployment under strict segment-specific thresholding (t = 0.35) and continuous human-in-the-loop oversight, because a single binary deployment number obscures that default thresholding maximizes global accuracy while destroying equal opportunity for female borrowers and failing predictably on high-exposure homeowners.</w:t>
      </w:r>
    </w:p>
    <w:p>
      <w:pPr>
        <w:keepNext/>
        <w:spacing w:before="160" w:after="40"/>
      </w:pPr>
      <w:r>
        <w:rPr>
          <w:b/>
          <w:color w:val="1E40AF"/>
          <w:sz w:val="23"/>
        </w:rPr>
        <w:t>2. Why a Single Number Fails (300–400 words) (~325 words)</w:t>
      </w:r>
    </w:p>
    <w:p>
      <w:r>
        <w:t>The fundamental lesson of this stress-test audit is that reducing a sociotechnical AI system to a single summary metric—whether overall accuracy (75.33%), AUC-ROC (0.792), or a composite index—is an act of intellectual complacency that conceals severe structural trade-offs.</w:t>
        <w:br/>
        <w:br/>
        <w:t>First, aggregate accuracy systematically masks catastrophic subgroup collapses. At our model’s peak accuracy threshold of t = 0.55 (76.33% accuracy), Equalized Odds collapses to a dismal 0.5156, with the model approving non-creditworthy men at nearly double the rate of non-creditworthy women (FPR_Male = 59.68% vs. FPR_Female = 30.77%), while female loan approvals plunge to 68.24%. Celebrating '76% accuracy' ignores that half of the equal opportunity metric has been eliminated.</w:t>
        <w:br/>
        <w:br/>
        <w:t>Second, threshold selection is an unstated value judgment, not a mathematical fact. Choosing between t = 0.35 (prioritizing inclusion and EO of 0.8108) and t = 0.55 (prioritizing default suppression and bank profitability) cannot be answered by data science. It is an economic and political choice balancing borrower credit access against institutional capital loss. Collapsing this to a binary 'deploy' command abdicates human accountability to an arbitrary mathematical default (0.50).</w:t>
        <w:br/>
        <w:br/>
        <w:t>Third, fairness metrics are mathematically adversarial. Under Kleinberg's and Chouldechova's theorems, differing base default rates (69.41% female vs. 71.16% male) ensure that Demographic Parity, Equalized Odds, and Predictive Parity cannot be simultaneously fulfilled. Gaining +4.27% in DP from t=0.75 to t=0.85 causes EO to plunge -24.99%—a punishing trade-off cost ratio of 5.85. A single metric conceals which protected group is paying the cost.</w:t>
        <w:br/>
        <w:br/>
        <w:t>Fourth, models fail with extreme confidence on predictable adversarial clusters. Our model confidently misclassified 24 test cases (8.00%), assigning P_hat &gt;= 0.75 to defaulting applicants simply because they were homeowners (83.33%) with moderate checking reserves (45.83%), oblivious to their heavy 3,337.50 DM debt burden.</w:t>
        <w:br/>
        <w:br/>
        <w:t>Finally, hidden confounds remain invisible to summary statistics. Purging checking liquidity caused savings weights to inflate by +110.00% and employment weights by +100.31%, proving that observational models readily disguise omitted confounders as legitimate risk indicators.</w:t>
      </w:r>
    </w:p>
    <w:p>
      <w:pPr>
        <w:keepNext/>
        <w:spacing w:before="160" w:after="40"/>
      </w:pPr>
      <w:r>
        <w:rPr>
          <w:b/>
          <w:color w:val="1E40AF"/>
          <w:sz w:val="23"/>
        </w:rPr>
        <w:t>3. Grounding in Evidence (50–100 words) (~60 words)</w:t>
      </w:r>
    </w:p>
    <w:p>
      <w:r>
        <w:t>Our computations substantiate every limitation: the 30.00% mismatch between Model A and B, the Simpson’s sign reversal on existing credits (-0.2203 young vs. +0.3083 mature), the 110.00% coefficient inflation under omitted-variable testing, the 24 adversarial failures with 83.33% homeownership, and the plunge in Equalized Odds from 0.8108 at t=0.35 to 0.5156 at t=0.55.</w:t>
      </w:r>
    </w:p>
    <w:p>
      <w:pPr>
        <w:keepNext/>
        <w:spacing w:before="160" w:after="40"/>
      </w:pPr>
      <w:r>
        <w:rPr>
          <w:b/>
          <w:color w:val="1E40AF"/>
          <w:sz w:val="23"/>
        </w:rPr>
        <w:t>4. Closing (50 words) (~45 words)</w:t>
      </w:r>
    </w:p>
    <w:p>
      <w:r>
        <w:t>Responsible AI governance is an exercise in transparently navigating unavoidable trade-offs, not chasing single-metric optimization. A single number offers executives the illusion of certainty; true algorithmic accountability demands exposing who wins, who loses, and which ethical values are compromised at every operational threshold.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Enrollment ID: s24bcau0154 | Dataset: German Credit Data (Seed: 154)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CSET485 – AI and Society | Assignment #1: Algorithmic Stress-Testing &amp; Fairness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Segoe UI" w:hAnsi="Segoe U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64748B"/>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64748B"/>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