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E3A8A"/>
          <w:sz w:val="40"/>
        </w:rPr>
        <w:t>CSET485 – AI and Society: Assignment #1</w:t>
      </w:r>
    </w:p>
    <w:p>
      <w:pPr>
        <w:spacing w:after="240"/>
      </w:pPr>
      <w:r>
        <w:rPr>
          <w:color w:val="475569"/>
          <w:sz w:val="24"/>
        </w:rPr>
        <w:t>Rigorous Algorithmic Stress-Testing, Hidden Confounds, and Fairness Trade-Offs in Credit Underwriting</w:t>
      </w:r>
    </w:p>
    <w:tbl>
      <w:tblPr>
        <w:tblW w:type="auto" w:w="0"/>
        <w:jc w:val="center"/>
        <w:tblLayout w:type="fixed"/>
        <w:tblLook w:firstColumn="1" w:firstRow="1" w:lastColumn="0" w:lastRow="0" w:noHBand="0" w:noVBand="1" w:val="04A0"/>
      </w:tblPr>
      <w:tblGrid>
        <w:gridCol w:w="4968"/>
        <w:gridCol w:w="4968"/>
      </w:tblGrid>
      <w:tr>
        <w:tc>
          <w:tcPr>
            <w:tcW w:type="dxa" w:w="4896"/>
            <w:shd w:fill="F1F5F9"/>
            <w:tcMar>
              <w:top w:w="80" w:type="dxa"/>
              <w:bottom w:w="80" w:type="dxa"/>
              <w:left w:w="120" w:type="dxa"/>
              <w:right w:w="120" w:type="dxa"/>
            </w:tcMar>
          </w:tcPr>
          <w:p>
            <w:pPr>
              <w:spacing w:after="0" w:line="276" w:lineRule="auto"/>
            </w:pPr>
            <w:r>
              <w:rPr>
                <w:b/>
                <w:color w:val="1E40AF"/>
                <w:sz w:val="18"/>
              </w:rPr>
              <w:t>Student Enrollment ID:</w:t>
            </w:r>
            <w:r>
              <w:rPr>
                <w:color w:val="1E293B"/>
                <w:sz w:val="18"/>
              </w:rPr>
              <w:t xml:space="preserve"> s24bcau0154</w:t>
            </w:r>
          </w:p>
        </w:tc>
        <w:tc>
          <w:tcPr>
            <w:tcW w:type="dxa" w:w="4896"/>
            <w:shd w:fill="F1F5F9"/>
            <w:tcMar>
              <w:top w:w="80" w:type="dxa"/>
              <w:bottom w:w="80" w:type="dxa"/>
              <w:left w:w="120" w:type="dxa"/>
              <w:right w:w="120" w:type="dxa"/>
            </w:tcMar>
          </w:tcPr>
          <w:p>
            <w:pPr>
              <w:spacing w:after="0" w:line="276" w:lineRule="auto"/>
            </w:pPr>
            <w:r>
              <w:rPr>
                <w:b/>
                <w:color w:val="1E40AF"/>
                <w:sz w:val="18"/>
              </w:rPr>
              <w:t>Assigned Dataset:</w:t>
            </w:r>
            <w:r>
              <w:rPr>
                <w:color w:val="1E293B"/>
                <w:sz w:val="18"/>
              </w:rPr>
              <w:t xml:space="preserve"> German Credit Data (Statlog) [Last Digit: 4]</w:t>
            </w:r>
          </w:p>
        </w:tc>
      </w:tr>
      <w:tr>
        <w:tc>
          <w:tcPr>
            <w:tcW w:type="dxa" w:w="4896"/>
            <w:shd w:fill="F1F5F9"/>
            <w:tcMar>
              <w:top w:w="80" w:type="dxa"/>
              <w:bottom w:w="80" w:type="dxa"/>
              <w:left w:w="120" w:type="dxa"/>
              <w:right w:w="120" w:type="dxa"/>
            </w:tcMar>
          </w:tcPr>
          <w:p>
            <w:pPr>
              <w:spacing w:after="0" w:line="276" w:lineRule="auto"/>
            </w:pPr>
            <w:r>
              <w:rPr>
                <w:b/>
                <w:color w:val="1E40AF"/>
                <w:sz w:val="18"/>
              </w:rPr>
              <w:t>Random Seed (random_state):</w:t>
            </w:r>
            <w:r>
              <w:rPr>
                <w:color w:val="1E293B"/>
                <w:sz w:val="18"/>
              </w:rPr>
              <w:t xml:space="preserve"> 154 [Last 3 Digits]</w:t>
            </w:r>
          </w:p>
        </w:tc>
        <w:tc>
          <w:tcPr>
            <w:tcW w:type="dxa" w:w="4896"/>
            <w:shd w:fill="F1F5F9"/>
            <w:tcMar>
              <w:top w:w="80" w:type="dxa"/>
              <w:bottom w:w="80" w:type="dxa"/>
              <w:left w:w="120" w:type="dxa"/>
              <w:right w:w="120" w:type="dxa"/>
            </w:tcMar>
          </w:tcPr>
          <w:p>
            <w:pPr>
              <w:spacing w:after="0" w:line="276" w:lineRule="auto"/>
            </w:pPr>
            <w:r>
              <w:rPr>
                <w:b/>
                <w:color w:val="1E40AF"/>
                <w:sz w:val="18"/>
              </w:rPr>
              <w:t>Data Partitioning:</w:t>
            </w:r>
            <w:r>
              <w:rPr>
                <w:color w:val="1E293B"/>
                <w:sz w:val="18"/>
              </w:rPr>
              <w:t xml:space="preserve"> 70% Train (700 rows) / 30% Test (300 rows)</w:t>
            </w:r>
          </w:p>
        </w:tc>
      </w:tr>
      <w:tr>
        <w:tc>
          <w:tcPr>
            <w:tcW w:type="dxa" w:w="4896"/>
            <w:shd w:fill="F1F5F9"/>
            <w:tcMar>
              <w:top w:w="80" w:type="dxa"/>
              <w:bottom w:w="80" w:type="dxa"/>
              <w:left w:w="120" w:type="dxa"/>
              <w:right w:w="120" w:type="dxa"/>
            </w:tcMar>
          </w:tcPr>
          <w:p>
            <w:pPr>
              <w:spacing w:after="0" w:line="276" w:lineRule="auto"/>
            </w:pPr>
            <w:r>
              <w:rPr>
                <w:b/>
                <w:color w:val="1E40AF"/>
                <w:sz w:val="18"/>
              </w:rPr>
              <w:t>Course &amp; Weightage:</w:t>
            </w:r>
            <w:r>
              <w:rPr>
                <w:color w:val="1E293B"/>
                <w:sz w:val="18"/>
              </w:rPr>
              <w:t xml:space="preserve"> CSET485 – AI and Society (10 Marks)</w:t>
            </w:r>
          </w:p>
        </w:tc>
        <w:tc>
          <w:tcPr>
            <w:tcW w:type="dxa" w:w="4896"/>
            <w:shd w:fill="F1F5F9"/>
            <w:tcMar>
              <w:top w:w="80" w:type="dxa"/>
              <w:bottom w:w="80" w:type="dxa"/>
              <w:left w:w="120" w:type="dxa"/>
              <w:right w:w="120" w:type="dxa"/>
            </w:tcMar>
          </w:tcPr>
          <w:p>
            <w:pPr>
              <w:spacing w:after="0" w:line="276" w:lineRule="auto"/>
            </w:pPr>
            <w:r>
              <w:rPr>
                <w:b/>
                <w:color w:val="1E40AF"/>
                <w:sz w:val="18"/>
              </w:rPr>
              <w:t>Code Deliverables:</w:t>
            </w:r>
            <w:r>
              <w:rPr>
                <w:color w:val="1E293B"/>
                <w:sz w:val="18"/>
              </w:rPr>
              <w:t xml:space="preserve"> Reproducible Jupyter Notebook (.ipynb) &amp; GitHub Ready</w:t>
            </w:r>
          </w:p>
        </w:tc>
      </w:tr>
    </w:tbl>
    <w:p>
      <w:pPr>
        <w:spacing w:after="80"/>
      </w:pPr>
    </w:p>
    <w:p>
      <w:r>
        <w:rPr>
          <w:b/>
          <w:color w:val="1E3A8A"/>
        </w:rPr>
        <w:t xml:space="preserve">Executive Summary: </w:t>
      </w:r>
      <w:r>
        <w:t>High-stakes predictive algorithms deployed in credit lending, criminal risk scoring, and public policy decisions frequently project an illusion of mathematical objectivity while concealing profound demographic inequities, severe omitted-variable bias, and irreconcilable ethical trade-offs. Using the German Credit dataset (N=1,000), this empirical audit provides an end-to-end comparative stress-testing of Ordinary Least Squares (OLS) Linear Probability Modeling and Logistic Regression. Through five targeted investigations—(1) Median vs. Absolute Threshold Mismatch Analysis, (2) Simpson’s Paradox Detection across age and gender, (3) Omitted-Variable Bias (OVB) quantification via liquidity purging, (4) Adversarial Subset Construction identifying confident failure modes, and (5) Parametric Fairness Sweeps across Demographic Parity, Equalized Odds, and Predictive Parity—we demonstrate that summary performance metrics (such as global accuracy) are structurally incapable of certifying algorithmic safety.</w:t>
      </w:r>
    </w:p>
    <w:p>
      <w:pPr>
        <w:keepNext/>
        <w:spacing w:before="280" w:after="80"/>
      </w:pPr>
      <w:r>
        <w:rPr>
          <w:b/>
          <w:color w:val="1E3A8A"/>
          <w:sz w:val="26"/>
        </w:rPr>
        <w:t>Data Preprocessing &amp; Exploratory Audit</w:t>
      </w:r>
    </w:p>
    <w:p>
      <w:r>
        <w:t>Prior to model fitting, the raw German Credit dataset (german.data) was audited across four core methodological dimensions:</w:t>
      </w:r>
    </w:p>
    <w:p>
      <w:pPr>
        <w:pStyle w:val="ListBullet"/>
        <w:spacing w:after="60"/>
      </w:pPr>
      <w:r>
        <w:rPr>
          <w:b/>
          <w:color w:val="1E293B"/>
        </w:rPr>
        <w:t xml:space="preserve">Handling Missing Values: </w:t>
      </w:r>
      <w:r>
        <w:t>The dataset contains 1,000 borrower instances across 20 input attributes. A programmatic verification confirmed exactly 0 missing, NaN, or corrupted values, conforming to the Hofmann documentation.</w:t>
      </w:r>
    </w:p>
    <w:p>
      <w:pPr>
        <w:pStyle w:val="ListBullet"/>
        <w:spacing w:after="60"/>
      </w:pPr>
      <w:r>
        <w:rPr>
          <w:b/>
          <w:color w:val="1E293B"/>
        </w:rPr>
        <w:t xml:space="preserve">Categorical Feature Encoding: </w:t>
      </w:r>
      <w:r>
        <w:t>Thirteen features capture qualitative attributes (checking status, credit history, loan purpose, savings status, employment tenure, personal status/sex, debtors/guarantors, property, installment plans, housing, job, telephone, foreign worker). To avert the dummy variable trap and perfect multicollinearity in OLS and unpenalized logistic regression, we applied One-Hot Encoding dropping the first reference category (drop_first=True), producing 41 dummy indicators and 7 continuous features (48 total modeled predictors).</w:t>
      </w:r>
    </w:p>
    <w:p>
      <w:pPr>
        <w:pStyle w:val="ListBullet"/>
        <w:spacing w:after="60"/>
      </w:pPr>
      <w:r>
        <w:rPr>
          <w:b/>
          <w:color w:val="1E293B"/>
        </w:rPr>
        <w:t xml:space="preserve">Feature Scaling: </w:t>
      </w:r>
      <w:r>
        <w:t>Continuous regressors (duration, credit_amount, installment_commitment, residence_since, age, existing_credits, num_dependents) exhibit disparate numeric ranges (e.g., credit amounts exceeding 15,000 DM vs. installment rates from 1–4%). We fit a StandardScaler exclusively on the 70% training split (N=700, random_state=154) and transformed both train and test splits (N=300), preventing data leakage.</w:t>
      </w:r>
    </w:p>
    <w:p>
      <w:pPr>
        <w:pStyle w:val="ListBullet"/>
        <w:spacing w:after="60"/>
      </w:pPr>
      <w:r>
        <w:rPr>
          <w:b/>
          <w:color w:val="1E293B"/>
        </w:rPr>
        <w:t xml:space="preserve">Outlier Treatment Rationale: </w:t>
      </w:r>
      <w:r>
        <w:t>Applying the standard Interquartile Range criterion (1.5 x IQR), we detected 70 outliers in duration (7.0%), 72 in credit_amount (7.2%), and 23 in age (2.3%). Crucially, these observations were deliberately preserved without clipping or trimming. In banking underwriting, extreme loan amounts and extended durations represent legitimate tail-risk exposures; truncating them artificially sanitizes risk distributions and blinds underwriting models to heavy-tailed default liabilities.</w:t>
      </w:r>
    </w:p>
    <w:p>
      <w:pPr>
        <w:keepNext/>
        <w:spacing w:before="280" w:after="80"/>
      </w:pPr>
      <w:r>
        <w:rPr>
          <w:b/>
          <w:color w:val="1E3A8A"/>
          <w:sz w:val="26"/>
        </w:rPr>
        <w:t>Part 1 — Model Fitting &amp; Threshold Mismatch Analysis</w:t>
      </w:r>
    </w:p>
    <w:p>
      <w:r>
        <w:t>Both predictive architectures were trained on the identical 700-observation training matrix to predict credit approval (encoded as 1 = Approve / Good Credit, 0 = Reject / Bad Credit). In the training set, the empirical approval base rate was 69.71% (488/700); in the test set, it was 70.67% (212/300).</w:t>
      </w:r>
    </w:p>
    <w:p>
      <w:pPr>
        <w:pStyle w:val="ListBullet"/>
        <w:spacing w:after="60"/>
      </w:pPr>
      <w:r>
        <w:rPr>
          <w:b/>
        </w:rPr>
        <w:t xml:space="preserve">Model A (Ordinary Least Squares Linear Regression): </w:t>
      </w:r>
      <w:r>
        <w:t>Linear probability model estimating continuous approval probabilities. On the 300 test cases, predictions ranged from -0.0211 to 1.3459, with an empirical median of 0.7151. Mandating the threshold at the median (Y_hat &gt;= 0.7151 =&gt; Class 1, else 0) forces exactly 150 individuals (50.0%) into the positive tier.</w:t>
      </w:r>
    </w:p>
    <w:p>
      <w:pPr>
        <w:pStyle w:val="ListBullet"/>
        <w:spacing w:after="60"/>
      </w:pPr>
      <w:r>
        <w:rPr>
          <w:b/>
        </w:rPr>
        <w:t xml:space="preserve">Model B (Logistic Regression): </w:t>
      </w:r>
      <w:r>
        <w:t>Generalized linear model fitting the sigmoidal logit link function, generating posterior probabilities strictly bounded in [0.0628, 0.9946]. Applying the standard decision boundary (P_hat &gt;= 0.50 =&gt; Class 1, else 0) classifies 240 individuals (80.0%) into the positive tier.</w:t>
      </w:r>
    </w:p>
    <w:p>
      <w:pPr>
        <w:spacing w:after="40"/>
      </w:pPr>
    </w:p>
    <w:p>
      <w:r>
        <w:rPr>
          <w:b/>
          <w:color w:val="1E3A8A"/>
          <w:sz w:val="19"/>
        </w:rPr>
        <w:t>Table 1: Inter-Model Agreement &amp; Disagreement Matrix (Test Set, N=300)</w:t>
      </w:r>
    </w:p>
    <w:tbl>
      <w:tblPr>
        <w:tblW w:type="auto" w:w="0"/>
        <w:jc w:val="center"/>
        <w:tblLook w:firstColumn="1" w:firstRow="1" w:lastColumn="0" w:lastRow="0" w:noHBand="0" w:noVBand="1" w:val="04A0"/>
      </w:tblPr>
      <w:tblGrid>
        <w:gridCol w:w="2484"/>
        <w:gridCol w:w="2484"/>
        <w:gridCol w:w="2484"/>
        <w:gridCol w:w="2484"/>
      </w:tblGrid>
      <w:tr>
        <w:tc>
          <w:tcPr>
            <w:tcW w:type="dxa" w:w="2448"/>
            <w:shd w:fill="1E3A8A"/>
            <w:tcMar>
              <w:top w:w="80" w:type="dxa"/>
              <w:bottom w:w="80" w:type="dxa"/>
              <w:left w:w="100" w:type="dxa"/>
              <w:right w:w="100" w:type="dxa"/>
            </w:tcMar>
          </w:tcPr>
          <w:p>
            <w:pPr>
              <w:spacing w:after="0"/>
            </w:pPr>
            <w:r>
              <w:rPr>
                <w:b/>
                <w:color w:val="FFFFFF"/>
                <w:sz w:val="17"/>
              </w:rPr>
              <w:t>Classification Matrix</w:t>
            </w:r>
          </w:p>
        </w:tc>
        <w:tc>
          <w:tcPr>
            <w:tcW w:type="dxa" w:w="2448"/>
            <w:shd w:fill="1E3A8A"/>
            <w:tcMar>
              <w:top w:w="80" w:type="dxa"/>
              <w:bottom w:w="80" w:type="dxa"/>
              <w:left w:w="100" w:type="dxa"/>
              <w:right w:w="100" w:type="dxa"/>
            </w:tcMar>
          </w:tcPr>
          <w:p>
            <w:pPr>
              <w:spacing w:after="0"/>
            </w:pPr>
            <w:r>
              <w:rPr>
                <w:b/>
                <w:color w:val="FFFFFF"/>
                <w:sz w:val="17"/>
              </w:rPr>
              <w:t>Model A Negative (&lt; Median)</w:t>
            </w:r>
          </w:p>
        </w:tc>
        <w:tc>
          <w:tcPr>
            <w:tcW w:type="dxa" w:w="2448"/>
            <w:shd w:fill="1E3A8A"/>
            <w:tcMar>
              <w:top w:w="80" w:type="dxa"/>
              <w:bottom w:w="80" w:type="dxa"/>
              <w:left w:w="100" w:type="dxa"/>
              <w:right w:w="100" w:type="dxa"/>
            </w:tcMar>
          </w:tcPr>
          <w:p>
            <w:pPr>
              <w:spacing w:after="0"/>
            </w:pPr>
            <w:r>
              <w:rPr>
                <w:b/>
                <w:color w:val="FFFFFF"/>
                <w:sz w:val="17"/>
              </w:rPr>
              <w:t>Model A Positive (&gt;= Median 0.7151)</w:t>
            </w:r>
          </w:p>
        </w:tc>
        <w:tc>
          <w:tcPr>
            <w:tcW w:type="dxa" w:w="2448"/>
            <w:shd w:fill="1E3A8A"/>
            <w:tcMar>
              <w:top w:w="80" w:type="dxa"/>
              <w:bottom w:w="80" w:type="dxa"/>
              <w:left w:w="100" w:type="dxa"/>
              <w:right w:w="100" w:type="dxa"/>
            </w:tcMar>
          </w:tcPr>
          <w:p>
            <w:pPr>
              <w:spacing w:after="0"/>
            </w:pPr>
            <w:r>
              <w:rPr>
                <w:b/>
                <w:color w:val="FFFFFF"/>
                <w:sz w:val="17"/>
              </w:rPr>
              <w:t>Total Model B</w:t>
            </w:r>
          </w:p>
        </w:tc>
      </w:tr>
      <w:tr>
        <w:tc>
          <w:tcPr>
            <w:tcW w:type="dxa" w:w="2448"/>
            <w:tcMar>
              <w:top w:w="60" w:type="dxa"/>
              <w:bottom w:w="60" w:type="dxa"/>
              <w:left w:w="100" w:type="dxa"/>
              <w:right w:w="100" w:type="dxa"/>
            </w:tcMar>
          </w:tcPr>
          <w:p>
            <w:pPr>
              <w:spacing w:after="0"/>
            </w:pPr>
            <w:r>
              <w:rPr>
                <w:sz w:val="17"/>
              </w:rPr>
              <w:t>Model B Negative (&lt; 0.50)</w:t>
            </w:r>
          </w:p>
        </w:tc>
        <w:tc>
          <w:tcPr>
            <w:tcW w:type="dxa" w:w="2448"/>
            <w:tcMar>
              <w:top w:w="60" w:type="dxa"/>
              <w:bottom w:w="60" w:type="dxa"/>
              <w:left w:w="100" w:type="dxa"/>
              <w:right w:w="100" w:type="dxa"/>
            </w:tcMar>
          </w:tcPr>
          <w:p>
            <w:pPr>
              <w:spacing w:after="0"/>
            </w:pPr>
            <w:r>
              <w:rPr>
                <w:sz w:val="17"/>
              </w:rPr>
              <w:t>60 (True Agreement)</w:t>
            </w:r>
          </w:p>
        </w:tc>
        <w:tc>
          <w:tcPr>
            <w:tcW w:type="dxa" w:w="2448"/>
            <w:tcMar>
              <w:top w:w="60" w:type="dxa"/>
              <w:bottom w:w="60" w:type="dxa"/>
              <w:left w:w="100" w:type="dxa"/>
              <w:right w:w="100" w:type="dxa"/>
            </w:tcMar>
          </w:tcPr>
          <w:p>
            <w:pPr>
              <w:spacing w:after="0"/>
            </w:pPr>
            <w:r>
              <w:rPr>
                <w:sz w:val="17"/>
              </w:rPr>
              <w:t>0</w:t>
            </w:r>
          </w:p>
        </w:tc>
        <w:tc>
          <w:tcPr>
            <w:tcW w:type="dxa" w:w="2448"/>
            <w:tcMar>
              <w:top w:w="60" w:type="dxa"/>
              <w:bottom w:w="60" w:type="dxa"/>
              <w:left w:w="100" w:type="dxa"/>
              <w:right w:w="100" w:type="dxa"/>
            </w:tcMar>
          </w:tcPr>
          <w:p>
            <w:pPr>
              <w:spacing w:after="0"/>
            </w:pPr>
            <w:r>
              <w:rPr>
                <w:sz w:val="17"/>
              </w:rPr>
              <w:t>60 (20.0%)</w:t>
            </w:r>
          </w:p>
        </w:tc>
      </w:tr>
      <w:tr>
        <w:tc>
          <w:tcPr>
            <w:tcW w:type="dxa" w:w="2448"/>
            <w:shd w:fill="F8FAFC"/>
            <w:tcMar>
              <w:top w:w="60" w:type="dxa"/>
              <w:bottom w:w="60" w:type="dxa"/>
              <w:left w:w="100" w:type="dxa"/>
              <w:right w:w="100" w:type="dxa"/>
            </w:tcMar>
          </w:tcPr>
          <w:p>
            <w:pPr>
              <w:spacing w:after="0"/>
            </w:pPr>
            <w:r>
              <w:rPr>
                <w:sz w:val="17"/>
              </w:rPr>
              <w:t>Model B Positive (&gt;= 0.50)</w:t>
            </w:r>
          </w:p>
        </w:tc>
        <w:tc>
          <w:tcPr>
            <w:tcW w:type="dxa" w:w="2448"/>
            <w:shd w:fill="FEE2E2"/>
            <w:tcMar>
              <w:top w:w="60" w:type="dxa"/>
              <w:bottom w:w="60" w:type="dxa"/>
              <w:left w:w="100" w:type="dxa"/>
              <w:right w:w="100" w:type="dxa"/>
            </w:tcMar>
          </w:tcPr>
          <w:p>
            <w:pPr>
              <w:spacing w:after="0"/>
            </w:pPr>
            <w:r>
              <w:rPr>
                <w:b/>
                <w:color w:val="B91C1C"/>
                <w:sz w:val="17"/>
              </w:rPr>
              <w:t>90 (Mismatched Cases)</w:t>
            </w:r>
          </w:p>
        </w:tc>
        <w:tc>
          <w:tcPr>
            <w:tcW w:type="dxa" w:w="2448"/>
            <w:shd w:fill="F8FAFC"/>
            <w:tcMar>
              <w:top w:w="60" w:type="dxa"/>
              <w:bottom w:w="60" w:type="dxa"/>
              <w:left w:w="100" w:type="dxa"/>
              <w:right w:w="100" w:type="dxa"/>
            </w:tcMar>
          </w:tcPr>
          <w:p>
            <w:pPr>
              <w:spacing w:after="0"/>
            </w:pPr>
            <w:r>
              <w:rPr>
                <w:sz w:val="17"/>
              </w:rPr>
              <w:t>150 (True Agreement)</w:t>
            </w:r>
          </w:p>
        </w:tc>
        <w:tc>
          <w:tcPr>
            <w:tcW w:type="dxa" w:w="2448"/>
            <w:shd w:fill="F8FAFC"/>
            <w:tcMar>
              <w:top w:w="60" w:type="dxa"/>
              <w:bottom w:w="60" w:type="dxa"/>
              <w:left w:w="100" w:type="dxa"/>
              <w:right w:w="100" w:type="dxa"/>
            </w:tcMar>
          </w:tcPr>
          <w:p>
            <w:pPr>
              <w:spacing w:after="0"/>
            </w:pPr>
            <w:r>
              <w:rPr>
                <w:sz w:val="17"/>
              </w:rPr>
              <w:t>240 (80.0%)</w:t>
            </w:r>
          </w:p>
        </w:tc>
      </w:tr>
    </w:tbl>
    <w:p>
      <w:pPr>
        <w:spacing w:after="80"/>
      </w:pP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part1_model_comparison.png"/>
                    <pic:cNvPicPr/>
                  </pic:nvPicPr>
                  <pic:blipFill>
                    <a:blip r:embed="rId11"/>
                    <a:stretch>
                      <a:fillRect/>
                    </a:stretch>
                  </pic:blipFill>
                  <pic:spPr>
                    <a:xfrm>
                      <a:off x="0" y="0"/>
                      <a:ext cx="5943600" cy="2122714"/>
                    </a:xfrm>
                    <a:prstGeom prst="rect"/>
                  </pic:spPr>
                </pic:pic>
              </a:graphicData>
            </a:graphic>
          </wp:inline>
        </w:drawing>
      </w:r>
    </w:p>
    <w:p>
      <w:pPr>
        <w:spacing w:after="160"/>
        <w:jc w:val="center"/>
      </w:pPr>
      <w:r>
        <w:rPr>
          <w:i/>
          <w:color w:val="64748B"/>
          <w:sz w:val="16"/>
        </w:rPr>
        <w:t>Figure 1: Test set prediction distributions and decision boundaries (left); confusion matrix showing 30.0% mismatch (right).</w:t>
      </w:r>
    </w:p>
    <w:p>
      <w:r>
        <w:br w:type="page"/>
      </w:r>
    </w:p>
    <w:p>
      <w:pPr>
        <w:keepNext/>
        <w:spacing w:before="280" w:after="80"/>
      </w:pPr>
      <w:r>
        <w:rPr>
          <w:b/>
          <w:color w:val="1E3A8A"/>
          <w:sz w:val="26"/>
        </w:rPr>
        <w:t>Part 2 — Stress-Testing Protocols ('The Trap')</w:t>
      </w:r>
    </w:p>
    <w:p>
      <w:pPr>
        <w:keepNext/>
        <w:spacing w:before="200" w:after="60"/>
      </w:pPr>
      <w:r>
        <w:rPr>
          <w:b/>
          <w:color w:val="1E40AF"/>
          <w:sz w:val="22"/>
        </w:rPr>
        <w:t>2.1: Simpson's Paradox Hunt</w:t>
      </w:r>
    </w:p>
    <w:p>
      <w:r>
        <w:t>We stress-tested parameter stability across demographic cohorts and uncovered two profound manifestations of Simpson's Paradox and subgroup heterogeneity:</w:t>
      </w:r>
    </w:p>
    <w:p>
      <w:r>
        <w:t>1. Simpson's Sign Reversal on Existing Credit Lines across Age: In the aggregate population (N=1,000), bivariate logistic regression indicates that having additional bank credit accounts (existing_credits) is positively associated with approval (beta = +0.1780, p = 0.1488). Disaggregating by age exposes an acute sign reversal: for Young Adults (&lt;30 years, N=371), the coefficient reverses to negative (beta = -0.2203, 95% CI: [-0.6384, +0.1977]), whereas for Mature Adults (&gt;=30 years, N=629), the coefficient is strongly positive (beta = +0.3083, p = 0.0519, 95% CI: [-0.0025, +0.6192]).</w:t>
      </w:r>
    </w:p>
    <w:p>
      <w:r>
        <w:t>2. Subgroup Divergence of Age across Gender: In standardized multivariable logistic regression controlling for loan duration, amount, and installment commitments, applicant age exerts a negligible effect for men (beta_Male = +0.0604, p = 0.5204). For female applicants, however, age acts as an enormous protective factor (beta_Female = +0.4741, p = 0.0013)—an effect size nearly eight times larger than in men.</w:t>
      </w:r>
    </w:p>
    <w:p>
      <w:r>
        <w:rPr>
          <w:b/>
          <w:color w:val="1E3A8A"/>
          <w:sz w:val="19"/>
        </w:rPr>
        <w:t>Table 2: Simpson's Paradox &amp; Subgroup Heterogeneity Regression Results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70" w:type="dxa"/>
              <w:bottom w:w="70" w:type="dxa"/>
              <w:left w:w="90" w:type="dxa"/>
              <w:right w:w="90" w:type="dxa"/>
            </w:tcMar>
          </w:tcPr>
          <w:p>
            <w:pPr>
              <w:spacing w:after="0"/>
            </w:pPr>
            <w:r>
              <w:rPr>
                <w:b/>
                <w:color w:val="FFFFFF"/>
                <w:sz w:val="17"/>
              </w:rPr>
              <w:t>Subgroup Analysis</w:t>
            </w:r>
          </w:p>
        </w:tc>
        <w:tc>
          <w:tcPr>
            <w:tcW w:type="dxa" w:w="1656"/>
            <w:shd w:fill="1E3A8A"/>
            <w:tcMar>
              <w:top w:w="70" w:type="dxa"/>
              <w:bottom w:w="70" w:type="dxa"/>
              <w:left w:w="90" w:type="dxa"/>
              <w:right w:w="90" w:type="dxa"/>
            </w:tcMar>
          </w:tcPr>
          <w:p>
            <w:pPr>
              <w:spacing w:after="0"/>
            </w:pPr>
            <w:r>
              <w:rPr>
                <w:b/>
                <w:color w:val="FFFFFF"/>
                <w:sz w:val="17"/>
              </w:rPr>
              <w:t>N</w:t>
            </w:r>
          </w:p>
        </w:tc>
        <w:tc>
          <w:tcPr>
            <w:tcW w:type="dxa" w:w="1656"/>
            <w:shd w:fill="1E3A8A"/>
            <w:tcMar>
              <w:top w:w="70" w:type="dxa"/>
              <w:bottom w:w="70" w:type="dxa"/>
              <w:left w:w="90" w:type="dxa"/>
              <w:right w:w="90" w:type="dxa"/>
            </w:tcMar>
          </w:tcPr>
          <w:p>
            <w:pPr>
              <w:spacing w:after="0"/>
            </w:pPr>
            <w:r>
              <w:rPr>
                <w:b/>
                <w:color w:val="FFFFFF"/>
                <w:sz w:val="17"/>
              </w:rPr>
              <w:t>Coef (beta)</w:t>
            </w:r>
          </w:p>
        </w:tc>
        <w:tc>
          <w:tcPr>
            <w:tcW w:type="dxa" w:w="1656"/>
            <w:shd w:fill="1E3A8A"/>
            <w:tcMar>
              <w:top w:w="70" w:type="dxa"/>
              <w:bottom w:w="70" w:type="dxa"/>
              <w:left w:w="90" w:type="dxa"/>
              <w:right w:w="90" w:type="dxa"/>
            </w:tcMar>
          </w:tcPr>
          <w:p>
            <w:pPr>
              <w:spacing w:after="0"/>
            </w:pPr>
            <w:r>
              <w:rPr>
                <w:b/>
                <w:color w:val="FFFFFF"/>
                <w:sz w:val="17"/>
              </w:rPr>
              <w:t>Std. Error</w:t>
            </w:r>
          </w:p>
        </w:tc>
        <w:tc>
          <w:tcPr>
            <w:tcW w:type="dxa" w:w="1656"/>
            <w:shd w:fill="1E3A8A"/>
            <w:tcMar>
              <w:top w:w="70" w:type="dxa"/>
              <w:bottom w:w="70" w:type="dxa"/>
              <w:left w:w="90" w:type="dxa"/>
              <w:right w:w="90" w:type="dxa"/>
            </w:tcMar>
          </w:tcPr>
          <w:p>
            <w:pPr>
              <w:spacing w:after="0"/>
            </w:pPr>
            <w:r>
              <w:rPr>
                <w:b/>
                <w:color w:val="FFFFFF"/>
                <w:sz w:val="17"/>
              </w:rPr>
              <w:t>p-value</w:t>
            </w:r>
          </w:p>
        </w:tc>
        <w:tc>
          <w:tcPr>
            <w:tcW w:type="dxa" w:w="1656"/>
            <w:shd w:fill="1E3A8A"/>
            <w:tcMar>
              <w:top w:w="70" w:type="dxa"/>
              <w:bottom w:w="70" w:type="dxa"/>
              <w:left w:w="90" w:type="dxa"/>
              <w:right w:w="90" w:type="dxa"/>
            </w:tcMar>
          </w:tcPr>
          <w:p>
            <w:pPr>
              <w:spacing w:after="0"/>
            </w:pPr>
            <w:r>
              <w:rPr>
                <w:b/>
                <w:color w:val="FFFFFF"/>
                <w:sz w:val="17"/>
              </w:rPr>
              <w:t>95% Confidence Interval</w:t>
            </w:r>
          </w:p>
        </w:tc>
      </w:tr>
      <w:tr>
        <w:tc>
          <w:tcPr>
            <w:tcW w:type="dxa" w:w="1656"/>
            <w:tcMar>
              <w:top w:w="50" w:type="dxa"/>
              <w:bottom w:w="50" w:type="dxa"/>
              <w:left w:w="90" w:type="dxa"/>
              <w:right w:w="90" w:type="dxa"/>
            </w:tcMar>
          </w:tcPr>
          <w:p>
            <w:pPr>
              <w:spacing w:after="0"/>
            </w:pPr>
            <w:r>
              <w:rPr>
                <w:sz w:val="17"/>
              </w:rPr>
              <w:t>Existing Credits: Full Dataset</w:t>
            </w:r>
          </w:p>
        </w:tc>
        <w:tc>
          <w:tcPr>
            <w:tcW w:type="dxa" w:w="1656"/>
            <w:tcMar>
              <w:top w:w="50" w:type="dxa"/>
              <w:bottom w:w="50" w:type="dxa"/>
              <w:left w:w="90" w:type="dxa"/>
              <w:right w:w="90" w:type="dxa"/>
            </w:tcMar>
          </w:tcPr>
          <w:p>
            <w:pPr>
              <w:spacing w:after="0"/>
            </w:pPr>
            <w:r>
              <w:rPr>
                <w:sz w:val="17"/>
              </w:rPr>
              <w:t>1,000</w:t>
            </w:r>
          </w:p>
        </w:tc>
        <w:tc>
          <w:tcPr>
            <w:tcW w:type="dxa" w:w="1656"/>
            <w:tcMar>
              <w:top w:w="50" w:type="dxa"/>
              <w:bottom w:w="50" w:type="dxa"/>
              <w:left w:w="90" w:type="dxa"/>
              <w:right w:w="90" w:type="dxa"/>
            </w:tcMar>
          </w:tcPr>
          <w:p>
            <w:pPr>
              <w:spacing w:after="0"/>
            </w:pPr>
            <w:r>
              <w:rPr>
                <w:sz w:val="17"/>
              </w:rPr>
              <w:t>+0.1780</w:t>
            </w:r>
          </w:p>
        </w:tc>
        <w:tc>
          <w:tcPr>
            <w:tcW w:type="dxa" w:w="1656"/>
            <w:tcMar>
              <w:top w:w="50" w:type="dxa"/>
              <w:bottom w:w="50" w:type="dxa"/>
              <w:left w:w="90" w:type="dxa"/>
              <w:right w:w="90" w:type="dxa"/>
            </w:tcMar>
          </w:tcPr>
          <w:p>
            <w:pPr>
              <w:spacing w:after="0"/>
            </w:pPr>
            <w:r>
              <w:rPr>
                <w:sz w:val="17"/>
              </w:rPr>
              <w:t>0.1232</w:t>
            </w:r>
          </w:p>
        </w:tc>
        <w:tc>
          <w:tcPr>
            <w:tcW w:type="dxa" w:w="1656"/>
            <w:tcMar>
              <w:top w:w="50" w:type="dxa"/>
              <w:bottom w:w="50" w:type="dxa"/>
              <w:left w:w="90" w:type="dxa"/>
              <w:right w:w="90" w:type="dxa"/>
            </w:tcMar>
          </w:tcPr>
          <w:p>
            <w:pPr>
              <w:spacing w:after="0"/>
            </w:pPr>
            <w:r>
              <w:rPr>
                <w:sz w:val="17"/>
              </w:rPr>
              <w:t>0.1488</w:t>
            </w:r>
          </w:p>
        </w:tc>
        <w:tc>
          <w:tcPr>
            <w:tcW w:type="dxa" w:w="1656"/>
            <w:tcMar>
              <w:top w:w="50" w:type="dxa"/>
              <w:bottom w:w="50" w:type="dxa"/>
              <w:left w:w="90" w:type="dxa"/>
              <w:right w:w="90" w:type="dxa"/>
            </w:tcMar>
          </w:tcPr>
          <w:p>
            <w:pPr>
              <w:spacing w:after="0"/>
            </w:pPr>
            <w:r>
              <w:rPr>
                <w:sz w:val="17"/>
              </w:rPr>
              <w:t>[-0.0636, +0.4195]</w:t>
            </w:r>
          </w:p>
        </w:tc>
      </w:tr>
      <w:tr>
        <w:tc>
          <w:tcPr>
            <w:tcW w:type="dxa" w:w="1656"/>
            <w:shd w:fill="F8FAFC"/>
            <w:tcMar>
              <w:top w:w="50" w:type="dxa"/>
              <w:bottom w:w="50" w:type="dxa"/>
              <w:left w:w="90" w:type="dxa"/>
              <w:right w:w="90" w:type="dxa"/>
            </w:tcMar>
          </w:tcPr>
          <w:p>
            <w:pPr>
              <w:spacing w:after="0"/>
            </w:pPr>
            <w:r>
              <w:rPr>
                <w:sz w:val="17"/>
              </w:rPr>
              <w:t>Existing Credits: Young (&lt;30)</w:t>
            </w:r>
          </w:p>
        </w:tc>
        <w:tc>
          <w:tcPr>
            <w:tcW w:type="dxa" w:w="1656"/>
            <w:shd w:fill="F8FAFC"/>
            <w:tcMar>
              <w:top w:w="50" w:type="dxa"/>
              <w:bottom w:w="50" w:type="dxa"/>
              <w:left w:w="90" w:type="dxa"/>
              <w:right w:w="90" w:type="dxa"/>
            </w:tcMar>
          </w:tcPr>
          <w:p>
            <w:pPr>
              <w:spacing w:after="0"/>
            </w:pPr>
            <w:r>
              <w:rPr>
                <w:sz w:val="17"/>
              </w:rPr>
              <w:t>371</w:t>
            </w:r>
          </w:p>
        </w:tc>
        <w:tc>
          <w:tcPr>
            <w:tcW w:type="dxa" w:w="1656"/>
            <w:shd w:fill="F8FAFC"/>
            <w:tcMar>
              <w:top w:w="50" w:type="dxa"/>
              <w:bottom w:w="50" w:type="dxa"/>
              <w:left w:w="90" w:type="dxa"/>
              <w:right w:w="90" w:type="dxa"/>
            </w:tcMar>
          </w:tcPr>
          <w:p>
            <w:pPr>
              <w:spacing w:after="0"/>
            </w:pPr>
            <w:r>
              <w:rPr>
                <w:sz w:val="17"/>
              </w:rPr>
              <w:t>-0.2203</w:t>
            </w:r>
          </w:p>
        </w:tc>
        <w:tc>
          <w:tcPr>
            <w:tcW w:type="dxa" w:w="1656"/>
            <w:shd w:fill="F8FAFC"/>
            <w:tcMar>
              <w:top w:w="50" w:type="dxa"/>
              <w:bottom w:w="50" w:type="dxa"/>
              <w:left w:w="90" w:type="dxa"/>
              <w:right w:w="90" w:type="dxa"/>
            </w:tcMar>
          </w:tcPr>
          <w:p>
            <w:pPr>
              <w:spacing w:after="0"/>
            </w:pPr>
            <w:r>
              <w:rPr>
                <w:sz w:val="17"/>
              </w:rPr>
              <w:t>0.2133</w:t>
            </w:r>
          </w:p>
        </w:tc>
        <w:tc>
          <w:tcPr>
            <w:tcW w:type="dxa" w:w="1656"/>
            <w:shd w:fill="F8FAFC"/>
            <w:tcMar>
              <w:top w:w="50" w:type="dxa"/>
              <w:bottom w:w="50" w:type="dxa"/>
              <w:left w:w="90" w:type="dxa"/>
              <w:right w:w="90" w:type="dxa"/>
            </w:tcMar>
          </w:tcPr>
          <w:p>
            <w:pPr>
              <w:spacing w:after="0"/>
            </w:pPr>
            <w:r>
              <w:rPr>
                <w:sz w:val="17"/>
              </w:rPr>
              <w:t>0.3016</w:t>
            </w:r>
          </w:p>
        </w:tc>
        <w:tc>
          <w:tcPr>
            <w:tcW w:type="dxa" w:w="1656"/>
            <w:shd w:fill="FEE2E2"/>
            <w:tcMar>
              <w:top w:w="50" w:type="dxa"/>
              <w:bottom w:w="50" w:type="dxa"/>
              <w:left w:w="90" w:type="dxa"/>
              <w:right w:w="90" w:type="dxa"/>
            </w:tcMar>
          </w:tcPr>
          <w:p>
            <w:pPr>
              <w:spacing w:after="0"/>
            </w:pPr>
            <w:r>
              <w:rPr>
                <w:b/>
                <w:sz w:val="17"/>
              </w:rPr>
              <w:t>[-0.6384, +0.1977] (Reversal)</w:t>
            </w:r>
          </w:p>
        </w:tc>
      </w:tr>
      <w:tr>
        <w:tc>
          <w:tcPr>
            <w:tcW w:type="dxa" w:w="1656"/>
            <w:tcMar>
              <w:top w:w="50" w:type="dxa"/>
              <w:bottom w:w="50" w:type="dxa"/>
              <w:left w:w="90" w:type="dxa"/>
              <w:right w:w="90" w:type="dxa"/>
            </w:tcMar>
          </w:tcPr>
          <w:p>
            <w:pPr>
              <w:spacing w:after="0"/>
            </w:pPr>
            <w:r>
              <w:rPr>
                <w:sz w:val="17"/>
              </w:rPr>
              <w:t>Existing Credits: Mature (&gt;=30)</w:t>
            </w:r>
          </w:p>
        </w:tc>
        <w:tc>
          <w:tcPr>
            <w:tcW w:type="dxa" w:w="1656"/>
            <w:tcMar>
              <w:top w:w="50" w:type="dxa"/>
              <w:bottom w:w="50" w:type="dxa"/>
              <w:left w:w="90" w:type="dxa"/>
              <w:right w:w="90" w:type="dxa"/>
            </w:tcMar>
          </w:tcPr>
          <w:p>
            <w:pPr>
              <w:spacing w:after="0"/>
            </w:pPr>
            <w:r>
              <w:rPr>
                <w:sz w:val="17"/>
              </w:rPr>
              <w:t>629</w:t>
            </w:r>
          </w:p>
        </w:tc>
        <w:tc>
          <w:tcPr>
            <w:tcW w:type="dxa" w:w="1656"/>
            <w:tcMar>
              <w:top w:w="50" w:type="dxa"/>
              <w:bottom w:w="50" w:type="dxa"/>
              <w:left w:w="90" w:type="dxa"/>
              <w:right w:w="90" w:type="dxa"/>
            </w:tcMar>
          </w:tcPr>
          <w:p>
            <w:pPr>
              <w:spacing w:after="0"/>
            </w:pPr>
            <w:r>
              <w:rPr>
                <w:sz w:val="17"/>
              </w:rPr>
              <w:t>+0.3083</w:t>
            </w:r>
          </w:p>
        </w:tc>
        <w:tc>
          <w:tcPr>
            <w:tcW w:type="dxa" w:w="1656"/>
            <w:tcMar>
              <w:top w:w="50" w:type="dxa"/>
              <w:bottom w:w="50" w:type="dxa"/>
              <w:left w:w="90" w:type="dxa"/>
              <w:right w:w="90" w:type="dxa"/>
            </w:tcMar>
          </w:tcPr>
          <w:p>
            <w:pPr>
              <w:spacing w:after="0"/>
            </w:pPr>
            <w:r>
              <w:rPr>
                <w:sz w:val="17"/>
              </w:rPr>
              <w:t>0.1586</w:t>
            </w:r>
          </w:p>
        </w:tc>
        <w:tc>
          <w:tcPr>
            <w:tcW w:type="dxa" w:w="1656"/>
            <w:tcMar>
              <w:top w:w="50" w:type="dxa"/>
              <w:bottom w:w="50" w:type="dxa"/>
              <w:left w:w="90" w:type="dxa"/>
              <w:right w:w="90" w:type="dxa"/>
            </w:tcMar>
          </w:tcPr>
          <w:p>
            <w:pPr>
              <w:spacing w:after="0"/>
            </w:pPr>
            <w:r>
              <w:rPr>
                <w:sz w:val="17"/>
              </w:rPr>
              <w:t>0.0519</w:t>
            </w:r>
          </w:p>
        </w:tc>
        <w:tc>
          <w:tcPr>
            <w:tcW w:type="dxa" w:w="1656"/>
            <w:tcMar>
              <w:top w:w="50" w:type="dxa"/>
              <w:bottom w:w="50" w:type="dxa"/>
              <w:left w:w="90" w:type="dxa"/>
              <w:right w:w="90" w:type="dxa"/>
            </w:tcMar>
          </w:tcPr>
          <w:p>
            <w:pPr>
              <w:spacing w:after="0"/>
            </w:pPr>
            <w:r>
              <w:rPr>
                <w:sz w:val="17"/>
              </w:rPr>
              <w:t>[-0.0025, +0.6192] (Positive)</w:t>
            </w:r>
          </w:p>
        </w:tc>
      </w:tr>
      <w:tr>
        <w:tc>
          <w:tcPr>
            <w:tcW w:type="dxa" w:w="1656"/>
            <w:shd w:fill="F8FAFC"/>
            <w:tcMar>
              <w:top w:w="50" w:type="dxa"/>
              <w:bottom w:w="50" w:type="dxa"/>
              <w:left w:w="90" w:type="dxa"/>
              <w:right w:w="90" w:type="dxa"/>
            </w:tcMar>
          </w:tcPr>
          <w:p>
            <w:pPr>
              <w:spacing w:after="0"/>
            </w:pPr>
            <w:r>
              <w:rPr>
                <w:sz w:val="17"/>
              </w:rPr>
              <w:t>Multivariable Age: Male Subgroup</w:t>
            </w:r>
          </w:p>
        </w:tc>
        <w:tc>
          <w:tcPr>
            <w:tcW w:type="dxa" w:w="1656"/>
            <w:shd w:fill="F8FAFC"/>
            <w:tcMar>
              <w:top w:w="50" w:type="dxa"/>
              <w:bottom w:w="50" w:type="dxa"/>
              <w:left w:w="90" w:type="dxa"/>
              <w:right w:w="90" w:type="dxa"/>
            </w:tcMar>
          </w:tcPr>
          <w:p>
            <w:pPr>
              <w:spacing w:after="0"/>
            </w:pPr>
            <w:r>
              <w:rPr>
                <w:sz w:val="17"/>
              </w:rPr>
              <w:t>690</w:t>
            </w:r>
          </w:p>
        </w:tc>
        <w:tc>
          <w:tcPr>
            <w:tcW w:type="dxa" w:w="1656"/>
            <w:shd w:fill="F8FAFC"/>
            <w:tcMar>
              <w:top w:w="50" w:type="dxa"/>
              <w:bottom w:w="50" w:type="dxa"/>
              <w:left w:w="90" w:type="dxa"/>
              <w:right w:w="90" w:type="dxa"/>
            </w:tcMar>
          </w:tcPr>
          <w:p>
            <w:pPr>
              <w:spacing w:after="0"/>
            </w:pPr>
            <w:r>
              <w:rPr>
                <w:sz w:val="17"/>
              </w:rPr>
              <w:t>+0.0604</w:t>
            </w:r>
          </w:p>
        </w:tc>
        <w:tc>
          <w:tcPr>
            <w:tcW w:type="dxa" w:w="1656"/>
            <w:shd w:fill="F8FAFC"/>
            <w:tcMar>
              <w:top w:w="50" w:type="dxa"/>
              <w:bottom w:w="50" w:type="dxa"/>
              <w:left w:w="90" w:type="dxa"/>
              <w:right w:w="90" w:type="dxa"/>
            </w:tcMar>
          </w:tcPr>
          <w:p>
            <w:pPr>
              <w:spacing w:after="0"/>
            </w:pPr>
            <w:r>
              <w:rPr>
                <w:sz w:val="17"/>
              </w:rPr>
              <w:t>0.0940</w:t>
            </w:r>
          </w:p>
        </w:tc>
        <w:tc>
          <w:tcPr>
            <w:tcW w:type="dxa" w:w="1656"/>
            <w:shd w:fill="F8FAFC"/>
            <w:tcMar>
              <w:top w:w="50" w:type="dxa"/>
              <w:bottom w:w="50" w:type="dxa"/>
              <w:left w:w="90" w:type="dxa"/>
              <w:right w:w="90" w:type="dxa"/>
            </w:tcMar>
          </w:tcPr>
          <w:p>
            <w:pPr>
              <w:spacing w:after="0"/>
            </w:pPr>
            <w:r>
              <w:rPr>
                <w:sz w:val="17"/>
              </w:rPr>
              <w:t>0.5204</w:t>
            </w:r>
          </w:p>
        </w:tc>
        <w:tc>
          <w:tcPr>
            <w:tcW w:type="dxa" w:w="1656"/>
            <w:shd w:fill="F8FAFC"/>
            <w:tcMar>
              <w:top w:w="50" w:type="dxa"/>
              <w:bottom w:w="50" w:type="dxa"/>
              <w:left w:w="90" w:type="dxa"/>
              <w:right w:w="90" w:type="dxa"/>
            </w:tcMar>
          </w:tcPr>
          <w:p>
            <w:pPr>
              <w:spacing w:after="0"/>
            </w:pPr>
            <w:r>
              <w:rPr>
                <w:sz w:val="17"/>
              </w:rPr>
              <w:t>[-0.1238, +0.2445] (Null)</w:t>
            </w:r>
          </w:p>
        </w:tc>
      </w:tr>
      <w:tr>
        <w:tc>
          <w:tcPr>
            <w:tcW w:type="dxa" w:w="1656"/>
            <w:tcMar>
              <w:top w:w="50" w:type="dxa"/>
              <w:bottom w:w="50" w:type="dxa"/>
              <w:left w:w="90" w:type="dxa"/>
              <w:right w:w="90" w:type="dxa"/>
            </w:tcMar>
          </w:tcPr>
          <w:p>
            <w:pPr>
              <w:spacing w:after="0"/>
            </w:pPr>
            <w:r>
              <w:rPr>
                <w:sz w:val="17"/>
              </w:rPr>
              <w:t>Multivariable Age: Female Subgroup</w:t>
            </w:r>
          </w:p>
        </w:tc>
        <w:tc>
          <w:tcPr>
            <w:tcW w:type="dxa" w:w="1656"/>
            <w:tcMar>
              <w:top w:w="50" w:type="dxa"/>
              <w:bottom w:w="50" w:type="dxa"/>
              <w:left w:w="90" w:type="dxa"/>
              <w:right w:w="90" w:type="dxa"/>
            </w:tcMar>
          </w:tcPr>
          <w:p>
            <w:pPr>
              <w:spacing w:after="0"/>
            </w:pPr>
            <w:r>
              <w:rPr>
                <w:sz w:val="17"/>
              </w:rPr>
              <w:t>310</w:t>
            </w:r>
          </w:p>
        </w:tc>
        <w:tc>
          <w:tcPr>
            <w:tcW w:type="dxa" w:w="1656"/>
            <w:tcMar>
              <w:top w:w="50" w:type="dxa"/>
              <w:bottom w:w="50" w:type="dxa"/>
              <w:left w:w="90" w:type="dxa"/>
              <w:right w:w="90" w:type="dxa"/>
            </w:tcMar>
          </w:tcPr>
          <w:p>
            <w:pPr>
              <w:spacing w:after="0"/>
            </w:pPr>
            <w:r>
              <w:rPr>
                <w:sz w:val="17"/>
              </w:rPr>
              <w:t>+0.4741</w:t>
            </w:r>
          </w:p>
        </w:tc>
        <w:tc>
          <w:tcPr>
            <w:tcW w:type="dxa" w:w="1656"/>
            <w:tcMar>
              <w:top w:w="50" w:type="dxa"/>
              <w:bottom w:w="50" w:type="dxa"/>
              <w:left w:w="90" w:type="dxa"/>
              <w:right w:w="90" w:type="dxa"/>
            </w:tcMar>
          </w:tcPr>
          <w:p>
            <w:pPr>
              <w:spacing w:after="0"/>
            </w:pPr>
            <w:r>
              <w:rPr>
                <w:sz w:val="17"/>
              </w:rPr>
              <w:t>0.1469</w:t>
            </w:r>
          </w:p>
        </w:tc>
        <w:tc>
          <w:tcPr>
            <w:tcW w:type="dxa" w:w="1656"/>
            <w:tcMar>
              <w:top w:w="50" w:type="dxa"/>
              <w:bottom w:w="50" w:type="dxa"/>
              <w:left w:w="90" w:type="dxa"/>
              <w:right w:w="90" w:type="dxa"/>
            </w:tcMar>
          </w:tcPr>
          <w:p>
            <w:pPr>
              <w:spacing w:after="0"/>
            </w:pPr>
            <w:r>
              <w:rPr>
                <w:sz w:val="17"/>
              </w:rPr>
              <w:t>0.0013</w:t>
            </w:r>
          </w:p>
        </w:tc>
        <w:tc>
          <w:tcPr>
            <w:tcW w:type="dxa" w:w="1656"/>
            <w:shd w:fill="DCFCE7"/>
            <w:tcMar>
              <w:top w:w="50" w:type="dxa"/>
              <w:bottom w:w="50" w:type="dxa"/>
              <w:left w:w="90" w:type="dxa"/>
              <w:right w:w="90" w:type="dxa"/>
            </w:tcMar>
          </w:tcPr>
          <w:p>
            <w:pPr>
              <w:spacing w:after="0"/>
            </w:pPr>
            <w:r>
              <w:rPr>
                <w:b/>
                <w:sz w:val="17"/>
              </w:rPr>
              <w:t>[+0.1861, +0.7620] (~8x Effect)</w:t>
            </w:r>
          </w:p>
        </w:tc>
      </w:tr>
    </w:tbl>
    <w:p>
      <w:pPr>
        <w:spacing w:after="80"/>
      </w:pPr>
    </w:p>
    <w:p>
      <w:r>
        <w:drawing>
          <wp:inline xmlns:a="http://schemas.openxmlformats.org/drawingml/2006/main" xmlns:pic="http://schemas.openxmlformats.org/drawingml/2006/picture">
            <wp:extent cx="5943600" cy="2122714"/>
            <wp:docPr id="2" name="Picture 2"/>
            <wp:cNvGraphicFramePr>
              <a:graphicFrameLocks noChangeAspect="1"/>
            </wp:cNvGraphicFramePr>
            <a:graphic>
              <a:graphicData uri="http://schemas.openxmlformats.org/drawingml/2006/picture">
                <pic:pic>
                  <pic:nvPicPr>
                    <pic:cNvPr id="0" name="part2_1_simpsons_paradox.png"/>
                    <pic:cNvPicPr/>
                  </pic:nvPicPr>
                  <pic:blipFill>
                    <a:blip r:embed="rId12"/>
                    <a:stretch>
                      <a:fillRect/>
                    </a:stretch>
                  </pic:blipFill>
                  <pic:spPr>
                    <a:xfrm>
                      <a:off x="0" y="0"/>
                      <a:ext cx="5943600" cy="2122714"/>
                    </a:xfrm>
                    <a:prstGeom prst="rect"/>
                  </pic:spPr>
                </pic:pic>
              </a:graphicData>
            </a:graphic>
          </wp:inline>
        </w:drawing>
      </w:r>
    </w:p>
    <w:p>
      <w:pPr>
        <w:spacing w:after="160"/>
        <w:jc w:val="center"/>
      </w:pPr>
      <w:r>
        <w:rPr>
          <w:i/>
          <w:color w:val="64748B"/>
          <w:sz w:val="16"/>
        </w:rPr>
        <w:t>Figure 2: Simpson's sign reversal on existing credit lines (left); Age effect divergence across gender (right).</w:t>
      </w:r>
    </w:p>
    <w:p>
      <w:pPr>
        <w:keepNext/>
        <w:spacing w:before="200" w:after="60"/>
      </w:pPr>
      <w:r>
        <w:rPr>
          <w:b/>
          <w:color w:val="1E40AF"/>
          <w:sz w:val="22"/>
        </w:rPr>
        <w:t>2.2: Omitted-Variable Bias (OVB)</w:t>
      </w:r>
    </w:p>
    <w:p>
      <w:r>
        <w:t>To evaluate structural model fragility, we deliberately omitted checking_status (Attribute 1: checking liquidity). The omitted cash liquidity signal was aggressively absorbed by remaining financial proxies:</w:t>
      </w:r>
    </w:p>
    <w:p>
      <w:r>
        <w:rPr>
          <w:b/>
          <w:color w:val="1E3A8A"/>
          <w:sz w:val="19"/>
        </w:rPr>
        <w:t>Table 3: Omitted-Variable Bias Shift in Key Predictor Coefficients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70" w:type="dxa"/>
              <w:bottom w:w="70" w:type="dxa"/>
              <w:left w:w="90" w:type="dxa"/>
              <w:right w:w="90" w:type="dxa"/>
            </w:tcMar>
          </w:tcPr>
          <w:p>
            <w:pPr>
              <w:spacing w:after="0"/>
            </w:pPr>
            <w:r>
              <w:rPr>
                <w:b/>
                <w:color w:val="FFFFFF"/>
                <w:sz w:val="17"/>
              </w:rPr>
              <w:t>Predictor Variable</w:t>
            </w:r>
          </w:p>
        </w:tc>
        <w:tc>
          <w:tcPr>
            <w:tcW w:type="dxa" w:w="1656"/>
            <w:shd w:fill="1E3A8A"/>
            <w:tcMar>
              <w:top w:w="70" w:type="dxa"/>
              <w:bottom w:w="70" w:type="dxa"/>
              <w:left w:w="90" w:type="dxa"/>
              <w:right w:w="90" w:type="dxa"/>
            </w:tcMar>
          </w:tcPr>
          <w:p>
            <w:pPr>
              <w:spacing w:after="0"/>
            </w:pPr>
            <w:r>
              <w:rPr>
                <w:b/>
                <w:color w:val="FFFFFF"/>
                <w:sz w:val="17"/>
              </w:rPr>
              <w:t>Role / Meaning</w:t>
            </w:r>
          </w:p>
        </w:tc>
        <w:tc>
          <w:tcPr>
            <w:tcW w:type="dxa" w:w="1656"/>
            <w:shd w:fill="1E3A8A"/>
            <w:tcMar>
              <w:top w:w="70" w:type="dxa"/>
              <w:bottom w:w="70" w:type="dxa"/>
              <w:left w:w="90" w:type="dxa"/>
              <w:right w:w="90" w:type="dxa"/>
            </w:tcMar>
          </w:tcPr>
          <w:p>
            <w:pPr>
              <w:spacing w:after="0"/>
            </w:pPr>
            <w:r>
              <w:rPr>
                <w:b/>
                <w:color w:val="FFFFFF"/>
                <w:sz w:val="17"/>
              </w:rPr>
              <w:t>Full Model beta</w:t>
            </w:r>
          </w:p>
        </w:tc>
        <w:tc>
          <w:tcPr>
            <w:tcW w:type="dxa" w:w="1656"/>
            <w:shd w:fill="1E3A8A"/>
            <w:tcMar>
              <w:top w:w="70" w:type="dxa"/>
              <w:bottom w:w="70" w:type="dxa"/>
              <w:left w:w="90" w:type="dxa"/>
              <w:right w:w="90" w:type="dxa"/>
            </w:tcMar>
          </w:tcPr>
          <w:p>
            <w:pPr>
              <w:spacing w:after="0"/>
            </w:pPr>
            <w:r>
              <w:rPr>
                <w:b/>
                <w:color w:val="FFFFFF"/>
                <w:sz w:val="17"/>
              </w:rPr>
              <w:t>Reduced Model beta</w:t>
            </w:r>
          </w:p>
        </w:tc>
        <w:tc>
          <w:tcPr>
            <w:tcW w:type="dxa" w:w="1656"/>
            <w:shd w:fill="1E3A8A"/>
            <w:tcMar>
              <w:top w:w="70" w:type="dxa"/>
              <w:bottom w:w="70" w:type="dxa"/>
              <w:left w:w="90" w:type="dxa"/>
              <w:right w:w="90" w:type="dxa"/>
            </w:tcMar>
          </w:tcPr>
          <w:p>
            <w:pPr>
              <w:spacing w:after="0"/>
            </w:pPr>
            <w:r>
              <w:rPr>
                <w:b/>
                <w:color w:val="FFFFFF"/>
                <w:sz w:val="17"/>
              </w:rPr>
              <w:t>Absolute Shift</w:t>
            </w:r>
          </w:p>
        </w:tc>
        <w:tc>
          <w:tcPr>
            <w:tcW w:type="dxa" w:w="1656"/>
            <w:shd w:fill="1E3A8A"/>
            <w:tcMar>
              <w:top w:w="70" w:type="dxa"/>
              <w:bottom w:w="70" w:type="dxa"/>
              <w:left w:w="90" w:type="dxa"/>
              <w:right w:w="90" w:type="dxa"/>
            </w:tcMar>
          </w:tcPr>
          <w:p>
            <w:pPr>
              <w:spacing w:after="0"/>
            </w:pPr>
            <w:r>
              <w:rPr>
                <w:b/>
                <w:color w:val="FFFFFF"/>
                <w:sz w:val="17"/>
              </w:rPr>
              <w:t>% Change</w:t>
            </w:r>
          </w:p>
        </w:tc>
      </w:tr>
      <w:tr>
        <w:tc>
          <w:tcPr>
            <w:tcW w:type="dxa" w:w="1656"/>
            <w:tcMar>
              <w:top w:w="50" w:type="dxa"/>
              <w:bottom w:w="50" w:type="dxa"/>
              <w:left w:w="90" w:type="dxa"/>
              <w:right w:w="90" w:type="dxa"/>
            </w:tcMar>
          </w:tcPr>
          <w:p>
            <w:pPr>
              <w:spacing w:after="0"/>
            </w:pPr>
            <w:r>
              <w:rPr>
                <w:sz w:val="17"/>
              </w:rPr>
              <w:t>savings_status_A63</w:t>
            </w:r>
          </w:p>
        </w:tc>
        <w:tc>
          <w:tcPr>
            <w:tcW w:type="dxa" w:w="1656"/>
            <w:tcMar>
              <w:top w:w="50" w:type="dxa"/>
              <w:bottom w:w="50" w:type="dxa"/>
              <w:left w:w="90" w:type="dxa"/>
              <w:right w:w="90" w:type="dxa"/>
            </w:tcMar>
          </w:tcPr>
          <w:p>
            <w:pPr>
              <w:spacing w:after="0"/>
            </w:pPr>
            <w:r>
              <w:rPr>
                <w:sz w:val="17"/>
              </w:rPr>
              <w:t>Moderate Savings (500–1000 DM)</w:t>
            </w:r>
          </w:p>
        </w:tc>
        <w:tc>
          <w:tcPr>
            <w:tcW w:type="dxa" w:w="1656"/>
            <w:tcMar>
              <w:top w:w="50" w:type="dxa"/>
              <w:bottom w:w="50" w:type="dxa"/>
              <w:left w:w="90" w:type="dxa"/>
              <w:right w:w="90" w:type="dxa"/>
            </w:tcMar>
          </w:tcPr>
          <w:p>
            <w:pPr>
              <w:spacing w:after="0"/>
            </w:pPr>
            <w:r>
              <w:rPr>
                <w:sz w:val="17"/>
              </w:rPr>
              <w:t>+0.3720</w:t>
            </w:r>
          </w:p>
        </w:tc>
        <w:tc>
          <w:tcPr>
            <w:tcW w:type="dxa" w:w="1656"/>
            <w:tcMar>
              <w:top w:w="50" w:type="dxa"/>
              <w:bottom w:w="50" w:type="dxa"/>
              <w:left w:w="90" w:type="dxa"/>
              <w:right w:w="90" w:type="dxa"/>
            </w:tcMar>
          </w:tcPr>
          <w:p>
            <w:pPr>
              <w:spacing w:after="0"/>
            </w:pPr>
            <w:r>
              <w:rPr>
                <w:sz w:val="17"/>
              </w:rPr>
              <w:t>+0.7812</w:t>
            </w:r>
          </w:p>
        </w:tc>
        <w:tc>
          <w:tcPr>
            <w:tcW w:type="dxa" w:w="1656"/>
            <w:tcMar>
              <w:top w:w="50" w:type="dxa"/>
              <w:bottom w:w="50" w:type="dxa"/>
              <w:left w:w="90" w:type="dxa"/>
              <w:right w:w="90" w:type="dxa"/>
            </w:tcMar>
          </w:tcPr>
          <w:p>
            <w:pPr>
              <w:spacing w:after="0"/>
            </w:pPr>
            <w:r>
              <w:rPr>
                <w:sz w:val="17"/>
              </w:rPr>
              <w:t>+0.4092</w:t>
            </w:r>
          </w:p>
        </w:tc>
        <w:tc>
          <w:tcPr>
            <w:tcW w:type="dxa" w:w="1656"/>
            <w:shd w:fill="DBEAFE"/>
            <w:tcMar>
              <w:top w:w="50" w:type="dxa"/>
              <w:bottom w:w="50" w:type="dxa"/>
              <w:left w:w="90" w:type="dxa"/>
              <w:right w:w="90" w:type="dxa"/>
            </w:tcMar>
          </w:tcPr>
          <w:p>
            <w:pPr>
              <w:spacing w:after="0"/>
            </w:pPr>
            <w:r>
              <w:rPr>
                <w:b/>
                <w:sz w:val="17"/>
              </w:rPr>
              <w:t>+110.00%</w:t>
            </w:r>
          </w:p>
        </w:tc>
      </w:tr>
      <w:tr>
        <w:tc>
          <w:tcPr>
            <w:tcW w:type="dxa" w:w="1656"/>
            <w:shd w:fill="F8FAFC"/>
            <w:tcMar>
              <w:top w:w="50" w:type="dxa"/>
              <w:bottom w:w="50" w:type="dxa"/>
              <w:left w:w="90" w:type="dxa"/>
              <w:right w:w="90" w:type="dxa"/>
            </w:tcMar>
          </w:tcPr>
          <w:p>
            <w:pPr>
              <w:spacing w:after="0"/>
            </w:pPr>
            <w:r>
              <w:rPr>
                <w:sz w:val="17"/>
              </w:rPr>
              <w:t>employment_A73</w:t>
            </w:r>
          </w:p>
        </w:tc>
        <w:tc>
          <w:tcPr>
            <w:tcW w:type="dxa" w:w="1656"/>
            <w:shd w:fill="F8FAFC"/>
            <w:tcMar>
              <w:top w:w="50" w:type="dxa"/>
              <w:bottom w:w="50" w:type="dxa"/>
              <w:left w:w="90" w:type="dxa"/>
              <w:right w:w="90" w:type="dxa"/>
            </w:tcMar>
          </w:tcPr>
          <w:p>
            <w:pPr>
              <w:spacing w:after="0"/>
            </w:pPr>
            <w:r>
              <w:rPr>
                <w:sz w:val="17"/>
              </w:rPr>
              <w:t>Employment Tenure (1–4 Years)</w:t>
            </w:r>
          </w:p>
        </w:tc>
        <w:tc>
          <w:tcPr>
            <w:tcW w:type="dxa" w:w="1656"/>
            <w:shd w:fill="F8FAFC"/>
            <w:tcMar>
              <w:top w:w="50" w:type="dxa"/>
              <w:bottom w:w="50" w:type="dxa"/>
              <w:left w:w="90" w:type="dxa"/>
              <w:right w:w="90" w:type="dxa"/>
            </w:tcMar>
          </w:tcPr>
          <w:p>
            <w:pPr>
              <w:spacing w:after="0"/>
            </w:pPr>
            <w:r>
              <w:rPr>
                <w:sz w:val="17"/>
              </w:rPr>
              <w:t>+0.1278</w:t>
            </w:r>
          </w:p>
        </w:tc>
        <w:tc>
          <w:tcPr>
            <w:tcW w:type="dxa" w:w="1656"/>
            <w:shd w:fill="F8FAFC"/>
            <w:tcMar>
              <w:top w:w="50" w:type="dxa"/>
              <w:bottom w:w="50" w:type="dxa"/>
              <w:left w:w="90" w:type="dxa"/>
              <w:right w:w="90" w:type="dxa"/>
            </w:tcMar>
          </w:tcPr>
          <w:p>
            <w:pPr>
              <w:spacing w:after="0"/>
            </w:pPr>
            <w:r>
              <w:rPr>
                <w:sz w:val="17"/>
              </w:rPr>
              <w:t>+0.2560</w:t>
            </w:r>
          </w:p>
        </w:tc>
        <w:tc>
          <w:tcPr>
            <w:tcW w:type="dxa" w:w="1656"/>
            <w:shd w:fill="F8FAFC"/>
            <w:tcMar>
              <w:top w:w="50" w:type="dxa"/>
              <w:bottom w:w="50" w:type="dxa"/>
              <w:left w:w="90" w:type="dxa"/>
              <w:right w:w="90" w:type="dxa"/>
            </w:tcMar>
          </w:tcPr>
          <w:p>
            <w:pPr>
              <w:spacing w:after="0"/>
            </w:pPr>
            <w:r>
              <w:rPr>
                <w:sz w:val="17"/>
              </w:rPr>
              <w:t>+0.1282</w:t>
            </w:r>
          </w:p>
        </w:tc>
        <w:tc>
          <w:tcPr>
            <w:tcW w:type="dxa" w:w="1656"/>
            <w:shd w:fill="DBEAFE"/>
            <w:tcMar>
              <w:top w:w="50" w:type="dxa"/>
              <w:bottom w:w="50" w:type="dxa"/>
              <w:left w:w="90" w:type="dxa"/>
              <w:right w:w="90" w:type="dxa"/>
            </w:tcMar>
          </w:tcPr>
          <w:p>
            <w:pPr>
              <w:spacing w:after="0"/>
            </w:pPr>
            <w:r>
              <w:rPr>
                <w:b/>
                <w:sz w:val="17"/>
              </w:rPr>
              <w:t>+100.31%</w:t>
            </w:r>
          </w:p>
        </w:tc>
      </w:tr>
      <w:tr>
        <w:tc>
          <w:tcPr>
            <w:tcW w:type="dxa" w:w="1656"/>
            <w:tcMar>
              <w:top w:w="50" w:type="dxa"/>
              <w:bottom w:w="50" w:type="dxa"/>
              <w:left w:w="90" w:type="dxa"/>
              <w:right w:w="90" w:type="dxa"/>
            </w:tcMar>
          </w:tcPr>
          <w:p>
            <w:pPr>
              <w:spacing w:after="0"/>
            </w:pPr>
            <w:r>
              <w:rPr>
                <w:sz w:val="17"/>
              </w:rPr>
              <w:t>credit_history_A33</w:t>
            </w:r>
          </w:p>
        </w:tc>
        <w:tc>
          <w:tcPr>
            <w:tcW w:type="dxa" w:w="1656"/>
            <w:tcMar>
              <w:top w:w="50" w:type="dxa"/>
              <w:bottom w:w="50" w:type="dxa"/>
              <w:left w:w="90" w:type="dxa"/>
              <w:right w:w="90" w:type="dxa"/>
            </w:tcMar>
          </w:tcPr>
          <w:p>
            <w:pPr>
              <w:spacing w:after="0"/>
            </w:pPr>
            <w:r>
              <w:rPr>
                <w:sz w:val="17"/>
              </w:rPr>
              <w:t>Past Payment Delay</w:t>
            </w:r>
          </w:p>
        </w:tc>
        <w:tc>
          <w:tcPr>
            <w:tcW w:type="dxa" w:w="1656"/>
            <w:tcMar>
              <w:top w:w="50" w:type="dxa"/>
              <w:bottom w:w="50" w:type="dxa"/>
              <w:left w:w="90" w:type="dxa"/>
              <w:right w:w="90" w:type="dxa"/>
            </w:tcMar>
          </w:tcPr>
          <w:p>
            <w:pPr>
              <w:spacing w:after="0"/>
            </w:pPr>
            <w:r>
              <w:rPr>
                <w:sz w:val="17"/>
              </w:rPr>
              <w:t>+0.3941</w:t>
            </w:r>
          </w:p>
        </w:tc>
        <w:tc>
          <w:tcPr>
            <w:tcW w:type="dxa" w:w="1656"/>
            <w:tcMar>
              <w:top w:w="50" w:type="dxa"/>
              <w:bottom w:w="50" w:type="dxa"/>
              <w:left w:w="90" w:type="dxa"/>
              <w:right w:w="90" w:type="dxa"/>
            </w:tcMar>
          </w:tcPr>
          <w:p>
            <w:pPr>
              <w:spacing w:after="0"/>
            </w:pPr>
            <w:r>
              <w:rPr>
                <w:sz w:val="17"/>
              </w:rPr>
              <w:t>+0.5956</w:t>
            </w:r>
          </w:p>
        </w:tc>
        <w:tc>
          <w:tcPr>
            <w:tcW w:type="dxa" w:w="1656"/>
            <w:tcMar>
              <w:top w:w="50" w:type="dxa"/>
              <w:bottom w:w="50" w:type="dxa"/>
              <w:left w:w="90" w:type="dxa"/>
              <w:right w:w="90" w:type="dxa"/>
            </w:tcMar>
          </w:tcPr>
          <w:p>
            <w:pPr>
              <w:spacing w:after="0"/>
            </w:pPr>
            <w:r>
              <w:rPr>
                <w:sz w:val="17"/>
              </w:rPr>
              <w:t>+0.2015</w:t>
            </w:r>
          </w:p>
        </w:tc>
        <w:tc>
          <w:tcPr>
            <w:tcW w:type="dxa" w:w="1656"/>
            <w:tcMar>
              <w:top w:w="50" w:type="dxa"/>
              <w:bottom w:w="50" w:type="dxa"/>
              <w:left w:w="90" w:type="dxa"/>
              <w:right w:w="90" w:type="dxa"/>
            </w:tcMar>
          </w:tcPr>
          <w:p>
            <w:pPr>
              <w:spacing w:after="0"/>
            </w:pPr>
            <w:r>
              <w:rPr>
                <w:sz w:val="17"/>
              </w:rPr>
              <w:t>+51.14%</w:t>
            </w:r>
          </w:p>
        </w:tc>
      </w:tr>
      <w:tr>
        <w:tc>
          <w:tcPr>
            <w:tcW w:type="dxa" w:w="1656"/>
            <w:shd w:fill="F8FAFC"/>
            <w:tcMar>
              <w:top w:w="50" w:type="dxa"/>
              <w:bottom w:w="50" w:type="dxa"/>
              <w:left w:w="90" w:type="dxa"/>
              <w:right w:w="90" w:type="dxa"/>
            </w:tcMar>
          </w:tcPr>
          <w:p>
            <w:pPr>
              <w:spacing w:after="0"/>
            </w:pPr>
            <w:r>
              <w:rPr>
                <w:sz w:val="17"/>
              </w:rPr>
              <w:t>existing_credits</w:t>
            </w:r>
          </w:p>
        </w:tc>
        <w:tc>
          <w:tcPr>
            <w:tcW w:type="dxa" w:w="1656"/>
            <w:shd w:fill="F8FAFC"/>
            <w:tcMar>
              <w:top w:w="50" w:type="dxa"/>
              <w:bottom w:w="50" w:type="dxa"/>
              <w:left w:w="90" w:type="dxa"/>
              <w:right w:w="90" w:type="dxa"/>
            </w:tcMar>
          </w:tcPr>
          <w:p>
            <w:pPr>
              <w:spacing w:after="0"/>
            </w:pPr>
            <w:r>
              <w:rPr>
                <w:sz w:val="17"/>
              </w:rPr>
              <w:t>Existing Credits Count</w:t>
            </w:r>
          </w:p>
        </w:tc>
        <w:tc>
          <w:tcPr>
            <w:tcW w:type="dxa" w:w="1656"/>
            <w:shd w:fill="F8FAFC"/>
            <w:tcMar>
              <w:top w:w="50" w:type="dxa"/>
              <w:bottom w:w="50" w:type="dxa"/>
              <w:left w:w="90" w:type="dxa"/>
              <w:right w:w="90" w:type="dxa"/>
            </w:tcMar>
          </w:tcPr>
          <w:p>
            <w:pPr>
              <w:spacing w:after="0"/>
            </w:pPr>
            <w:r>
              <w:rPr>
                <w:sz w:val="17"/>
              </w:rPr>
              <w:t>-0.0983</w:t>
            </w:r>
          </w:p>
        </w:tc>
        <w:tc>
          <w:tcPr>
            <w:tcW w:type="dxa" w:w="1656"/>
            <w:shd w:fill="F8FAFC"/>
            <w:tcMar>
              <w:top w:w="50" w:type="dxa"/>
              <w:bottom w:w="50" w:type="dxa"/>
              <w:left w:w="90" w:type="dxa"/>
              <w:right w:w="90" w:type="dxa"/>
            </w:tcMar>
          </w:tcPr>
          <w:p>
            <w:pPr>
              <w:spacing w:after="0"/>
            </w:pPr>
            <w:r>
              <w:rPr>
                <w:sz w:val="17"/>
              </w:rPr>
              <w:t>-0.0656</w:t>
            </w:r>
          </w:p>
        </w:tc>
        <w:tc>
          <w:tcPr>
            <w:tcW w:type="dxa" w:w="1656"/>
            <w:shd w:fill="F8FAFC"/>
            <w:tcMar>
              <w:top w:w="50" w:type="dxa"/>
              <w:bottom w:w="50" w:type="dxa"/>
              <w:left w:w="90" w:type="dxa"/>
              <w:right w:w="90" w:type="dxa"/>
            </w:tcMar>
          </w:tcPr>
          <w:p>
            <w:pPr>
              <w:spacing w:after="0"/>
            </w:pPr>
            <w:r>
              <w:rPr>
                <w:sz w:val="17"/>
              </w:rPr>
              <w:t>+0.0328</w:t>
            </w:r>
          </w:p>
        </w:tc>
        <w:tc>
          <w:tcPr>
            <w:tcW w:type="dxa" w:w="1656"/>
            <w:shd w:fill="F8FAFC"/>
            <w:tcMar>
              <w:top w:w="50" w:type="dxa"/>
              <w:bottom w:w="50" w:type="dxa"/>
              <w:left w:w="90" w:type="dxa"/>
              <w:right w:w="90" w:type="dxa"/>
            </w:tcMar>
          </w:tcPr>
          <w:p>
            <w:pPr>
              <w:spacing w:after="0"/>
            </w:pPr>
            <w:r>
              <w:rPr>
                <w:sz w:val="17"/>
              </w:rPr>
              <w:t>+33.31%</w:t>
            </w:r>
          </w:p>
        </w:tc>
      </w:tr>
      <w:tr>
        <w:tc>
          <w:tcPr>
            <w:tcW w:type="dxa" w:w="1656"/>
            <w:tcMar>
              <w:top w:w="50" w:type="dxa"/>
              <w:bottom w:w="50" w:type="dxa"/>
              <w:left w:w="90" w:type="dxa"/>
              <w:right w:w="90" w:type="dxa"/>
            </w:tcMar>
          </w:tcPr>
          <w:p>
            <w:pPr>
              <w:spacing w:after="0"/>
            </w:pPr>
            <w:r>
              <w:rPr>
                <w:sz w:val="17"/>
              </w:rPr>
              <w:t>age</w:t>
            </w:r>
          </w:p>
        </w:tc>
        <w:tc>
          <w:tcPr>
            <w:tcW w:type="dxa" w:w="1656"/>
            <w:tcMar>
              <w:top w:w="50" w:type="dxa"/>
              <w:bottom w:w="50" w:type="dxa"/>
              <w:left w:w="90" w:type="dxa"/>
              <w:right w:w="90" w:type="dxa"/>
            </w:tcMar>
          </w:tcPr>
          <w:p>
            <w:pPr>
              <w:spacing w:after="0"/>
            </w:pPr>
            <w:r>
              <w:rPr>
                <w:sz w:val="17"/>
              </w:rPr>
              <w:t>Standardized Applicant Age</w:t>
            </w:r>
          </w:p>
        </w:tc>
        <w:tc>
          <w:tcPr>
            <w:tcW w:type="dxa" w:w="1656"/>
            <w:tcMar>
              <w:top w:w="50" w:type="dxa"/>
              <w:bottom w:w="50" w:type="dxa"/>
              <w:left w:w="90" w:type="dxa"/>
              <w:right w:w="90" w:type="dxa"/>
            </w:tcMar>
          </w:tcPr>
          <w:p>
            <w:pPr>
              <w:spacing w:after="0"/>
            </w:pPr>
            <w:r>
              <w:rPr>
                <w:sz w:val="17"/>
              </w:rPr>
              <w:t>+0.1543</w:t>
            </w:r>
          </w:p>
        </w:tc>
        <w:tc>
          <w:tcPr>
            <w:tcW w:type="dxa" w:w="1656"/>
            <w:tcMar>
              <w:top w:w="50" w:type="dxa"/>
              <w:bottom w:w="50" w:type="dxa"/>
              <w:left w:w="90" w:type="dxa"/>
              <w:right w:w="90" w:type="dxa"/>
            </w:tcMar>
          </w:tcPr>
          <w:p>
            <w:pPr>
              <w:spacing w:after="0"/>
            </w:pPr>
            <w:r>
              <w:rPr>
                <w:sz w:val="17"/>
              </w:rPr>
              <w:t>+0.1869</w:t>
            </w:r>
          </w:p>
        </w:tc>
        <w:tc>
          <w:tcPr>
            <w:tcW w:type="dxa" w:w="1656"/>
            <w:tcMar>
              <w:top w:w="50" w:type="dxa"/>
              <w:bottom w:w="50" w:type="dxa"/>
              <w:left w:w="90" w:type="dxa"/>
              <w:right w:w="90" w:type="dxa"/>
            </w:tcMar>
          </w:tcPr>
          <w:p>
            <w:pPr>
              <w:spacing w:after="0"/>
            </w:pPr>
            <w:r>
              <w:rPr>
                <w:sz w:val="17"/>
              </w:rPr>
              <w:t>+0.0326</w:t>
            </w:r>
          </w:p>
        </w:tc>
        <w:tc>
          <w:tcPr>
            <w:tcW w:type="dxa" w:w="1656"/>
            <w:tcMar>
              <w:top w:w="50" w:type="dxa"/>
              <w:bottom w:w="50" w:type="dxa"/>
              <w:left w:w="90" w:type="dxa"/>
              <w:right w:w="90" w:type="dxa"/>
            </w:tcMar>
          </w:tcPr>
          <w:p>
            <w:pPr>
              <w:spacing w:after="0"/>
            </w:pPr>
            <w:r>
              <w:rPr>
                <w:sz w:val="17"/>
              </w:rPr>
              <w:t>+21.16%</w:t>
            </w:r>
          </w:p>
        </w:tc>
      </w:tr>
      <w:tr>
        <w:tc>
          <w:tcPr>
            <w:tcW w:type="dxa" w:w="1656"/>
            <w:shd w:fill="F8FAFC"/>
            <w:tcMar>
              <w:top w:w="50" w:type="dxa"/>
              <w:bottom w:w="50" w:type="dxa"/>
              <w:left w:w="90" w:type="dxa"/>
              <w:right w:w="90" w:type="dxa"/>
            </w:tcMar>
          </w:tcPr>
          <w:p>
            <w:pPr>
              <w:spacing w:after="0"/>
            </w:pPr>
            <w:r>
              <w:rPr>
                <w:sz w:val="17"/>
              </w:rPr>
              <w:t>duration</w:t>
            </w:r>
          </w:p>
        </w:tc>
        <w:tc>
          <w:tcPr>
            <w:tcW w:type="dxa" w:w="1656"/>
            <w:shd w:fill="F8FAFC"/>
            <w:tcMar>
              <w:top w:w="50" w:type="dxa"/>
              <w:bottom w:w="50" w:type="dxa"/>
              <w:left w:w="90" w:type="dxa"/>
              <w:right w:w="90" w:type="dxa"/>
            </w:tcMar>
          </w:tcPr>
          <w:p>
            <w:pPr>
              <w:spacing w:after="0"/>
            </w:pPr>
            <w:r>
              <w:rPr>
                <w:sz w:val="17"/>
              </w:rPr>
              <w:t>Standardized Loan Duration</w:t>
            </w:r>
          </w:p>
        </w:tc>
        <w:tc>
          <w:tcPr>
            <w:tcW w:type="dxa" w:w="1656"/>
            <w:shd w:fill="F8FAFC"/>
            <w:tcMar>
              <w:top w:w="50" w:type="dxa"/>
              <w:bottom w:w="50" w:type="dxa"/>
              <w:left w:w="90" w:type="dxa"/>
              <w:right w:w="90" w:type="dxa"/>
            </w:tcMar>
          </w:tcPr>
          <w:p>
            <w:pPr>
              <w:spacing w:after="0"/>
            </w:pPr>
            <w:r>
              <w:rPr>
                <w:sz w:val="17"/>
              </w:rPr>
              <w:t>-0.4273</w:t>
            </w:r>
          </w:p>
        </w:tc>
        <w:tc>
          <w:tcPr>
            <w:tcW w:type="dxa" w:w="1656"/>
            <w:shd w:fill="F8FAFC"/>
            <w:tcMar>
              <w:top w:w="50" w:type="dxa"/>
              <w:bottom w:w="50" w:type="dxa"/>
              <w:left w:w="90" w:type="dxa"/>
              <w:right w:w="90" w:type="dxa"/>
            </w:tcMar>
          </w:tcPr>
          <w:p>
            <w:pPr>
              <w:spacing w:after="0"/>
            </w:pPr>
            <w:r>
              <w:rPr>
                <w:sz w:val="17"/>
              </w:rPr>
              <w:t>-0.4325</w:t>
            </w:r>
          </w:p>
        </w:tc>
        <w:tc>
          <w:tcPr>
            <w:tcW w:type="dxa" w:w="1656"/>
            <w:shd w:fill="F8FAFC"/>
            <w:tcMar>
              <w:top w:w="50" w:type="dxa"/>
              <w:bottom w:w="50" w:type="dxa"/>
              <w:left w:w="90" w:type="dxa"/>
              <w:right w:w="90" w:type="dxa"/>
            </w:tcMar>
          </w:tcPr>
          <w:p>
            <w:pPr>
              <w:spacing w:after="0"/>
            </w:pPr>
            <w:r>
              <w:rPr>
                <w:sz w:val="17"/>
              </w:rPr>
              <w:t>-0.0052</w:t>
            </w:r>
          </w:p>
        </w:tc>
        <w:tc>
          <w:tcPr>
            <w:tcW w:type="dxa" w:w="1656"/>
            <w:shd w:fill="F8FAFC"/>
            <w:tcMar>
              <w:top w:w="50" w:type="dxa"/>
              <w:bottom w:w="50" w:type="dxa"/>
              <w:left w:w="90" w:type="dxa"/>
              <w:right w:w="90" w:type="dxa"/>
            </w:tcMar>
          </w:tcPr>
          <w:p>
            <w:pPr>
              <w:spacing w:after="0"/>
            </w:pPr>
            <w:r>
              <w:rPr>
                <w:sz w:val="17"/>
              </w:rPr>
              <w:t>-1.21%</w:t>
            </w:r>
          </w:p>
        </w:tc>
      </w:tr>
    </w:tbl>
    <w:p>
      <w:pPr>
        <w:spacing w:after="80"/>
      </w:pP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part2_2_ovb_shifts.png"/>
                    <pic:cNvPicPr/>
                  </pic:nvPicPr>
                  <pic:blipFill>
                    <a:blip r:embed="rId13"/>
                    <a:stretch>
                      <a:fillRect/>
                    </a:stretch>
                  </pic:blipFill>
                  <pic:spPr>
                    <a:xfrm>
                      <a:off x="0" y="0"/>
                      <a:ext cx="5669280" cy="2834640"/>
                    </a:xfrm>
                    <a:prstGeom prst="rect"/>
                  </pic:spPr>
                </pic:pic>
              </a:graphicData>
            </a:graphic>
          </wp:inline>
        </w:drawing>
      </w:r>
    </w:p>
    <w:p>
      <w:pPr>
        <w:spacing w:after="160"/>
        <w:jc w:val="center"/>
      </w:pPr>
      <w:r>
        <w:rPr>
          <w:i/>
          <w:color w:val="64748B"/>
          <w:sz w:val="16"/>
        </w:rPr>
        <w:t>Figure 3: Percentage shifts in logistic regression coefficients following omission of checking account liquidity.</w:t>
      </w:r>
    </w:p>
    <w:p>
      <w:r>
        <w:br w:type="page"/>
      </w:r>
    </w:p>
    <w:p>
      <w:pPr>
        <w:keepNext/>
        <w:spacing w:before="200" w:after="60"/>
      </w:pPr>
      <w:r>
        <w:rPr>
          <w:b/>
          <w:color w:val="1E40AF"/>
          <w:sz w:val="22"/>
        </w:rPr>
        <w:t>2.3: Adversarial Subset Construction</w:t>
      </w:r>
    </w:p>
    <w:p>
      <w:r>
        <w:t>We audited test instances where Model B made high-confidence erroneous classifications (P_hat &gt;= 0.75 with true default Y=0, or P_hat &lt;= 0.25 with true approval Y=1). Exactly 24 instances (8.00% of the test cohort) satisfied this condition: 21 high-confidence false positives and 3 high-confidence false negatives.</w:t>
      </w:r>
    </w:p>
    <w:p>
      <w:r>
        <w:rPr>
          <w:b/>
          <w:color w:val="1E3A8A"/>
          <w:sz w:val="19"/>
        </w:rPr>
        <w:t>Table 4: Adversarial Subset Profile Disparities vs. Test Set Baseline</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70" w:type="dxa"/>
              <w:bottom w:w="70" w:type="dxa"/>
              <w:left w:w="90" w:type="dxa"/>
              <w:right w:w="90" w:type="dxa"/>
            </w:tcMar>
          </w:tcPr>
          <w:p>
            <w:pPr>
              <w:spacing w:after="0"/>
            </w:pPr>
            <w:r>
              <w:rPr>
                <w:b/>
                <w:color w:val="FFFFFF"/>
                <w:sz w:val="17"/>
              </w:rPr>
              <w:t>Attribute / Demographic Metric</w:t>
            </w:r>
          </w:p>
        </w:tc>
        <w:tc>
          <w:tcPr>
            <w:tcW w:type="dxa" w:w="2484"/>
            <w:shd w:fill="1E3A8A"/>
            <w:tcMar>
              <w:top w:w="70" w:type="dxa"/>
              <w:bottom w:w="70" w:type="dxa"/>
              <w:left w:w="90" w:type="dxa"/>
              <w:right w:w="90" w:type="dxa"/>
            </w:tcMar>
          </w:tcPr>
          <w:p>
            <w:pPr>
              <w:spacing w:after="0"/>
            </w:pPr>
            <w:r>
              <w:rPr>
                <w:b/>
                <w:color w:val="FFFFFF"/>
                <w:sz w:val="17"/>
              </w:rPr>
              <w:t>Test Set Baseline (N=300)</w:t>
            </w:r>
          </w:p>
        </w:tc>
        <w:tc>
          <w:tcPr>
            <w:tcW w:type="dxa" w:w="2484"/>
            <w:shd w:fill="1E3A8A"/>
            <w:tcMar>
              <w:top w:w="70" w:type="dxa"/>
              <w:bottom w:w="70" w:type="dxa"/>
              <w:left w:w="90" w:type="dxa"/>
              <w:right w:w="90" w:type="dxa"/>
            </w:tcMar>
          </w:tcPr>
          <w:p>
            <w:pPr>
              <w:spacing w:after="0"/>
            </w:pPr>
            <w:r>
              <w:rPr>
                <w:b/>
                <w:color w:val="FFFFFF"/>
                <w:sz w:val="17"/>
              </w:rPr>
              <w:t>Adversarial Subset (N=24)</w:t>
            </w:r>
          </w:p>
        </w:tc>
        <w:tc>
          <w:tcPr>
            <w:tcW w:type="dxa" w:w="2484"/>
            <w:shd w:fill="1E3A8A"/>
            <w:tcMar>
              <w:top w:w="70" w:type="dxa"/>
              <w:bottom w:w="70" w:type="dxa"/>
              <w:left w:w="90" w:type="dxa"/>
              <w:right w:w="90" w:type="dxa"/>
            </w:tcMar>
          </w:tcPr>
          <w:p>
            <w:pPr>
              <w:spacing w:after="0"/>
            </w:pPr>
            <w:r>
              <w:rPr>
                <w:b/>
                <w:color w:val="FFFFFF"/>
                <w:sz w:val="17"/>
              </w:rPr>
              <w:t>Disparity / Signature</w:t>
            </w:r>
          </w:p>
        </w:tc>
      </w:tr>
      <w:tr>
        <w:tc>
          <w:tcPr>
            <w:tcW w:type="dxa" w:w="2484"/>
            <w:tcMar>
              <w:top w:w="50" w:type="dxa"/>
              <w:bottom w:w="50" w:type="dxa"/>
              <w:left w:w="90" w:type="dxa"/>
              <w:right w:w="90" w:type="dxa"/>
            </w:tcMar>
          </w:tcPr>
          <w:p>
            <w:pPr>
              <w:spacing w:after="0"/>
            </w:pPr>
            <w:r>
              <w:rPr>
                <w:sz w:val="17"/>
              </w:rPr>
              <w:t>Homeownership Rate (housing = A152)</w:t>
            </w:r>
          </w:p>
        </w:tc>
        <w:tc>
          <w:tcPr>
            <w:tcW w:type="dxa" w:w="2484"/>
            <w:tcMar>
              <w:top w:w="50" w:type="dxa"/>
              <w:bottom w:w="50" w:type="dxa"/>
              <w:left w:w="90" w:type="dxa"/>
              <w:right w:w="90" w:type="dxa"/>
            </w:tcMar>
          </w:tcPr>
          <w:p>
            <w:pPr>
              <w:spacing w:after="0"/>
            </w:pPr>
            <w:r>
              <w:rPr>
                <w:sz w:val="17"/>
              </w:rPr>
              <w:t>74.00%</w:t>
            </w:r>
          </w:p>
        </w:tc>
        <w:tc>
          <w:tcPr>
            <w:tcW w:type="dxa" w:w="2484"/>
            <w:tcMar>
              <w:top w:w="50" w:type="dxa"/>
              <w:bottom w:w="50" w:type="dxa"/>
              <w:left w:w="90" w:type="dxa"/>
              <w:right w:w="90" w:type="dxa"/>
            </w:tcMar>
          </w:tcPr>
          <w:p>
            <w:pPr>
              <w:spacing w:after="0"/>
            </w:pPr>
            <w:r>
              <w:rPr>
                <w:sz w:val="17"/>
              </w:rPr>
              <w:t>83.33%</w:t>
            </w:r>
          </w:p>
        </w:tc>
        <w:tc>
          <w:tcPr>
            <w:tcW w:type="dxa" w:w="2484"/>
            <w:tcMar>
              <w:top w:w="50" w:type="dxa"/>
              <w:bottom w:w="50" w:type="dxa"/>
              <w:left w:w="90" w:type="dxa"/>
              <w:right w:w="90" w:type="dxa"/>
            </w:tcMar>
          </w:tcPr>
          <w:p>
            <w:pPr>
              <w:spacing w:after="0"/>
            </w:pPr>
            <w:r>
              <w:rPr>
                <w:sz w:val="17"/>
              </w:rPr>
              <w:t>+9.33% Over-Represented</w:t>
            </w:r>
          </w:p>
        </w:tc>
      </w:tr>
      <w:tr>
        <w:tc>
          <w:tcPr>
            <w:tcW w:type="dxa" w:w="2484"/>
            <w:shd w:fill="F8FAFC"/>
            <w:tcMar>
              <w:top w:w="50" w:type="dxa"/>
              <w:bottom w:w="50" w:type="dxa"/>
              <w:left w:w="90" w:type="dxa"/>
              <w:right w:w="90" w:type="dxa"/>
            </w:tcMar>
          </w:tcPr>
          <w:p>
            <w:pPr>
              <w:spacing w:after="0"/>
            </w:pPr>
            <w:r>
              <w:rPr>
                <w:sz w:val="17"/>
              </w:rPr>
              <w:t>Moderate Checking Liquidity (checking = A12)</w:t>
            </w:r>
          </w:p>
        </w:tc>
        <w:tc>
          <w:tcPr>
            <w:tcW w:type="dxa" w:w="2484"/>
            <w:shd w:fill="F8FAFC"/>
            <w:tcMar>
              <w:top w:w="50" w:type="dxa"/>
              <w:bottom w:w="50" w:type="dxa"/>
              <w:left w:w="90" w:type="dxa"/>
              <w:right w:w="90" w:type="dxa"/>
            </w:tcMar>
          </w:tcPr>
          <w:p>
            <w:pPr>
              <w:spacing w:after="0"/>
            </w:pPr>
            <w:r>
              <w:rPr>
                <w:sz w:val="17"/>
              </w:rPr>
              <w:t>23.00%</w:t>
            </w:r>
          </w:p>
        </w:tc>
        <w:tc>
          <w:tcPr>
            <w:tcW w:type="dxa" w:w="2484"/>
            <w:shd w:fill="F8FAFC"/>
            <w:tcMar>
              <w:top w:w="50" w:type="dxa"/>
              <w:bottom w:w="50" w:type="dxa"/>
              <w:left w:w="90" w:type="dxa"/>
              <w:right w:w="90" w:type="dxa"/>
            </w:tcMar>
          </w:tcPr>
          <w:p>
            <w:pPr>
              <w:spacing w:after="0"/>
            </w:pPr>
            <w:r>
              <w:rPr>
                <w:sz w:val="17"/>
              </w:rPr>
              <w:t>45.83%</w:t>
            </w:r>
          </w:p>
        </w:tc>
        <w:tc>
          <w:tcPr>
            <w:tcW w:type="dxa" w:w="2484"/>
            <w:shd w:fill="FEE2E2"/>
            <w:tcMar>
              <w:top w:w="50" w:type="dxa"/>
              <w:bottom w:w="50" w:type="dxa"/>
              <w:left w:w="90" w:type="dxa"/>
              <w:right w:w="90" w:type="dxa"/>
            </w:tcMar>
          </w:tcPr>
          <w:p>
            <w:pPr>
              <w:spacing w:after="0"/>
            </w:pPr>
            <w:r>
              <w:rPr>
                <w:b/>
                <w:sz w:val="17"/>
              </w:rPr>
              <w:t>Nearly Double Baseline (+22.83%)</w:t>
            </w:r>
          </w:p>
        </w:tc>
      </w:tr>
      <w:tr>
        <w:tc>
          <w:tcPr>
            <w:tcW w:type="dxa" w:w="2484"/>
            <w:tcMar>
              <w:top w:w="50" w:type="dxa"/>
              <w:bottom w:w="50" w:type="dxa"/>
              <w:left w:w="90" w:type="dxa"/>
              <w:right w:w="90" w:type="dxa"/>
            </w:tcMar>
          </w:tcPr>
          <w:p>
            <w:pPr>
              <w:spacing w:after="0"/>
            </w:pPr>
            <w:r>
              <w:rPr>
                <w:sz w:val="17"/>
              </w:rPr>
              <w:t>Clean Existing Credit History (history = A32)</w:t>
            </w:r>
          </w:p>
        </w:tc>
        <w:tc>
          <w:tcPr>
            <w:tcW w:type="dxa" w:w="2484"/>
            <w:tcMar>
              <w:top w:w="50" w:type="dxa"/>
              <w:bottom w:w="50" w:type="dxa"/>
              <w:left w:w="90" w:type="dxa"/>
              <w:right w:w="90" w:type="dxa"/>
            </w:tcMar>
          </w:tcPr>
          <w:p>
            <w:pPr>
              <w:spacing w:after="0"/>
            </w:pPr>
            <w:r>
              <w:rPr>
                <w:sz w:val="17"/>
              </w:rPr>
              <w:t>53.67%</w:t>
            </w:r>
          </w:p>
        </w:tc>
        <w:tc>
          <w:tcPr>
            <w:tcW w:type="dxa" w:w="2484"/>
            <w:tcMar>
              <w:top w:w="50" w:type="dxa"/>
              <w:bottom w:w="50" w:type="dxa"/>
              <w:left w:w="90" w:type="dxa"/>
              <w:right w:w="90" w:type="dxa"/>
            </w:tcMar>
          </w:tcPr>
          <w:p>
            <w:pPr>
              <w:spacing w:after="0"/>
            </w:pPr>
            <w:r>
              <w:rPr>
                <w:sz w:val="17"/>
              </w:rPr>
              <w:t>54.17%</w:t>
            </w:r>
          </w:p>
        </w:tc>
        <w:tc>
          <w:tcPr>
            <w:tcW w:type="dxa" w:w="2484"/>
            <w:tcMar>
              <w:top w:w="50" w:type="dxa"/>
              <w:bottom w:w="50" w:type="dxa"/>
              <w:left w:w="90" w:type="dxa"/>
              <w:right w:w="90" w:type="dxa"/>
            </w:tcMar>
          </w:tcPr>
          <w:p>
            <w:pPr>
              <w:spacing w:after="0"/>
            </w:pPr>
            <w:r>
              <w:rPr>
                <w:sz w:val="17"/>
              </w:rPr>
              <w:t>Parity with Clean Baseline</w:t>
            </w:r>
          </w:p>
        </w:tc>
      </w:tr>
      <w:tr>
        <w:tc>
          <w:tcPr>
            <w:tcW w:type="dxa" w:w="2484"/>
            <w:shd w:fill="F8FAFC"/>
            <w:tcMar>
              <w:top w:w="50" w:type="dxa"/>
              <w:bottom w:w="50" w:type="dxa"/>
              <w:left w:w="90" w:type="dxa"/>
              <w:right w:w="90" w:type="dxa"/>
            </w:tcMar>
          </w:tcPr>
          <w:p>
            <w:pPr>
              <w:spacing w:after="0"/>
            </w:pPr>
            <w:r>
              <w:rPr>
                <w:sz w:val="17"/>
              </w:rPr>
              <w:t>Mean Requested Credit Obligation</w:t>
            </w:r>
          </w:p>
        </w:tc>
        <w:tc>
          <w:tcPr>
            <w:tcW w:type="dxa" w:w="2484"/>
            <w:shd w:fill="F8FAFC"/>
            <w:tcMar>
              <w:top w:w="50" w:type="dxa"/>
              <w:bottom w:w="50" w:type="dxa"/>
              <w:left w:w="90" w:type="dxa"/>
              <w:right w:w="90" w:type="dxa"/>
            </w:tcMar>
          </w:tcPr>
          <w:p>
            <w:pPr>
              <w:spacing w:after="0"/>
            </w:pPr>
            <w:r>
              <w:rPr>
                <w:sz w:val="17"/>
              </w:rPr>
              <w:t>3,040.18 DM</w:t>
            </w:r>
          </w:p>
        </w:tc>
        <w:tc>
          <w:tcPr>
            <w:tcW w:type="dxa" w:w="2484"/>
            <w:shd w:fill="F8FAFC"/>
            <w:tcMar>
              <w:top w:w="50" w:type="dxa"/>
              <w:bottom w:w="50" w:type="dxa"/>
              <w:left w:w="90" w:type="dxa"/>
              <w:right w:w="90" w:type="dxa"/>
            </w:tcMar>
          </w:tcPr>
          <w:p>
            <w:pPr>
              <w:spacing w:after="0"/>
            </w:pPr>
            <w:r>
              <w:rPr>
                <w:sz w:val="17"/>
              </w:rPr>
              <w:t>3,337.50 DM</w:t>
            </w:r>
          </w:p>
        </w:tc>
        <w:tc>
          <w:tcPr>
            <w:tcW w:type="dxa" w:w="2484"/>
            <w:shd w:fill="F8FAFC"/>
            <w:tcMar>
              <w:top w:w="50" w:type="dxa"/>
              <w:bottom w:w="50" w:type="dxa"/>
              <w:left w:w="90" w:type="dxa"/>
              <w:right w:w="90" w:type="dxa"/>
            </w:tcMar>
          </w:tcPr>
          <w:p>
            <w:pPr>
              <w:spacing w:after="0"/>
            </w:pPr>
            <w:r>
              <w:rPr>
                <w:b/>
                <w:sz w:val="17"/>
              </w:rPr>
              <w:t>+$297.32 DM Heavier Debt Burden</w:t>
            </w:r>
          </w:p>
        </w:tc>
      </w:tr>
      <w:tr>
        <w:tc>
          <w:tcPr>
            <w:tcW w:type="dxa" w:w="2484"/>
            <w:tcMar>
              <w:top w:w="50" w:type="dxa"/>
              <w:bottom w:w="50" w:type="dxa"/>
              <w:left w:w="90" w:type="dxa"/>
              <w:right w:w="90" w:type="dxa"/>
            </w:tcMar>
          </w:tcPr>
          <w:p>
            <w:pPr>
              <w:spacing w:after="0"/>
            </w:pPr>
            <w:r>
              <w:rPr>
                <w:sz w:val="17"/>
              </w:rPr>
              <w:t>Female Representation</w:t>
            </w:r>
          </w:p>
        </w:tc>
        <w:tc>
          <w:tcPr>
            <w:tcW w:type="dxa" w:w="2484"/>
            <w:tcMar>
              <w:top w:w="50" w:type="dxa"/>
              <w:bottom w:w="50" w:type="dxa"/>
              <w:left w:w="90" w:type="dxa"/>
              <w:right w:w="90" w:type="dxa"/>
            </w:tcMar>
          </w:tcPr>
          <w:p>
            <w:pPr>
              <w:spacing w:after="0"/>
            </w:pPr>
            <w:r>
              <w:rPr>
                <w:sz w:val="17"/>
              </w:rPr>
              <w:t>28.33%</w:t>
            </w:r>
          </w:p>
        </w:tc>
        <w:tc>
          <w:tcPr>
            <w:tcW w:type="dxa" w:w="2484"/>
            <w:tcMar>
              <w:top w:w="50" w:type="dxa"/>
              <w:bottom w:w="50" w:type="dxa"/>
              <w:left w:w="90" w:type="dxa"/>
              <w:right w:w="90" w:type="dxa"/>
            </w:tcMar>
          </w:tcPr>
          <w:p>
            <w:pPr>
              <w:spacing w:after="0"/>
            </w:pPr>
            <w:r>
              <w:rPr>
                <w:sz w:val="17"/>
              </w:rPr>
              <w:t>20.83%</w:t>
            </w:r>
          </w:p>
        </w:tc>
        <w:tc>
          <w:tcPr>
            <w:tcW w:type="dxa" w:w="2484"/>
            <w:tcMar>
              <w:top w:w="50" w:type="dxa"/>
              <w:bottom w:w="50" w:type="dxa"/>
              <w:left w:w="90" w:type="dxa"/>
              <w:right w:w="90" w:type="dxa"/>
            </w:tcMar>
          </w:tcPr>
          <w:p>
            <w:pPr>
              <w:spacing w:after="0"/>
            </w:pPr>
            <w:r>
              <w:rPr>
                <w:sz w:val="17"/>
              </w:rPr>
              <w:t>-7.50% Under-Represented</w:t>
            </w:r>
          </w:p>
        </w:tc>
      </w:tr>
    </w:tbl>
    <w:p>
      <w:pPr>
        <w:spacing w:after="80"/>
      </w:pPr>
    </w:p>
    <w:p>
      <w:r>
        <w:drawing>
          <wp:inline xmlns:a="http://schemas.openxmlformats.org/drawingml/2006/main" xmlns:pic="http://schemas.openxmlformats.org/drawingml/2006/picture">
            <wp:extent cx="5943600" cy="2122714"/>
            <wp:docPr id="4" name="Picture 4"/>
            <wp:cNvGraphicFramePr>
              <a:graphicFrameLocks noChangeAspect="1"/>
            </wp:cNvGraphicFramePr>
            <a:graphic>
              <a:graphicData uri="http://schemas.openxmlformats.org/drawingml/2006/picture">
                <pic:pic>
                  <pic:nvPicPr>
                    <pic:cNvPr id="0" name="part2_3_adversarial_subset.png"/>
                    <pic:cNvPicPr/>
                  </pic:nvPicPr>
                  <pic:blipFill>
                    <a:blip r:embed="rId14"/>
                    <a:stretch>
                      <a:fillRect/>
                    </a:stretch>
                  </pic:blipFill>
                  <pic:spPr>
                    <a:xfrm>
                      <a:off x="0" y="0"/>
                      <a:ext cx="5943600" cy="2122714"/>
                    </a:xfrm>
                    <a:prstGeom prst="rect"/>
                  </pic:spPr>
                </pic:pic>
              </a:graphicData>
            </a:graphic>
          </wp:inline>
        </w:drawing>
      </w:r>
    </w:p>
    <w:p>
      <w:pPr>
        <w:spacing w:after="160"/>
        <w:jc w:val="center"/>
      </w:pPr>
      <w:r>
        <w:rPr>
          <w:i/>
          <w:color w:val="64748B"/>
          <w:sz w:val="16"/>
        </w:rPr>
        <w:t>Figure 4: Confident adversarial errors across test set (left); Profiling disparities between baseline and failures (right).</w:t>
      </w:r>
    </w:p>
    <w:p>
      <w:pPr>
        <w:keepNext/>
        <w:spacing w:before="200" w:after="60"/>
      </w:pPr>
      <w:r>
        <w:rPr>
          <w:b/>
          <w:color w:val="1E40AF"/>
          <w:sz w:val="22"/>
        </w:rPr>
        <w:t>2.4: Parametric Fairness Trade-Off Analysis</w:t>
      </w:r>
    </w:p>
    <w:p>
      <w:r>
        <w:t>We swept the decision threshold from t = 0.05 to t = 0.95 across sensitive sex demographics: Group A (Female, N=85, base approval rate 69.41%) and Group B (Male, N=215, base approval rate 71.16%).</w:t>
      </w:r>
    </w:p>
    <w:p>
      <w:r>
        <w:rPr>
          <w:b/>
          <w:color w:val="1E3A8A"/>
          <w:sz w:val="19"/>
        </w:rPr>
        <w:t>Table 5: Parametric Fairness Sweep Across Decision Thresholds (Female vs. Male)</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60" w:type="dxa"/>
              <w:bottom w:w="60" w:type="dxa"/>
              <w:left w:w="60" w:type="dxa"/>
              <w:right w:w="60" w:type="dxa"/>
            </w:tcMar>
          </w:tcPr>
          <w:p>
            <w:pPr>
              <w:spacing w:after="0"/>
            </w:pPr>
            <w:r>
              <w:rPr>
                <w:b/>
                <w:color w:val="FFFFFF"/>
                <w:sz w:val="16"/>
              </w:rPr>
              <w:t>Threshold (t)</w:t>
            </w:r>
          </w:p>
        </w:tc>
        <w:tc>
          <w:tcPr>
            <w:tcW w:type="dxa" w:w="1104"/>
            <w:shd w:fill="1E3A8A"/>
            <w:tcMar>
              <w:top w:w="60" w:type="dxa"/>
              <w:bottom w:w="60" w:type="dxa"/>
              <w:left w:w="60" w:type="dxa"/>
              <w:right w:w="60" w:type="dxa"/>
            </w:tcMar>
          </w:tcPr>
          <w:p>
            <w:pPr>
              <w:spacing w:after="0"/>
            </w:pPr>
            <w:r>
              <w:rPr>
                <w:b/>
                <w:color w:val="FFFFFF"/>
                <w:sz w:val="16"/>
              </w:rPr>
              <w:t>P(App|F)</w:t>
            </w:r>
          </w:p>
        </w:tc>
        <w:tc>
          <w:tcPr>
            <w:tcW w:type="dxa" w:w="1104"/>
            <w:shd w:fill="1E3A8A"/>
            <w:tcMar>
              <w:top w:w="60" w:type="dxa"/>
              <w:bottom w:w="60" w:type="dxa"/>
              <w:left w:w="60" w:type="dxa"/>
              <w:right w:w="60" w:type="dxa"/>
            </w:tcMar>
          </w:tcPr>
          <w:p>
            <w:pPr>
              <w:spacing w:after="0"/>
            </w:pPr>
            <w:r>
              <w:rPr>
                <w:b/>
                <w:color w:val="FFFFFF"/>
                <w:sz w:val="16"/>
              </w:rPr>
              <w:t>P(App|M)</w:t>
            </w:r>
          </w:p>
        </w:tc>
        <w:tc>
          <w:tcPr>
            <w:tcW w:type="dxa" w:w="1104"/>
            <w:shd w:fill="1E3A8A"/>
            <w:tcMar>
              <w:top w:w="60" w:type="dxa"/>
              <w:bottom w:w="60" w:type="dxa"/>
              <w:left w:w="60" w:type="dxa"/>
              <w:right w:w="60" w:type="dxa"/>
            </w:tcMar>
          </w:tcPr>
          <w:p>
            <w:pPr>
              <w:spacing w:after="0"/>
            </w:pPr>
            <w:r>
              <w:rPr>
                <w:b/>
                <w:color w:val="FFFFFF"/>
                <w:sz w:val="16"/>
              </w:rPr>
              <w:t>DP</w:t>
            </w:r>
          </w:p>
        </w:tc>
        <w:tc>
          <w:tcPr>
            <w:tcW w:type="dxa" w:w="1104"/>
            <w:shd w:fill="1E3A8A"/>
            <w:tcMar>
              <w:top w:w="60" w:type="dxa"/>
              <w:bottom w:w="60" w:type="dxa"/>
              <w:left w:w="60" w:type="dxa"/>
              <w:right w:w="60" w:type="dxa"/>
            </w:tcMar>
          </w:tcPr>
          <w:p>
            <w:pPr>
              <w:spacing w:after="0"/>
            </w:pPr>
            <w:r>
              <w:rPr>
                <w:b/>
                <w:color w:val="FFFFFF"/>
                <w:sz w:val="16"/>
              </w:rPr>
              <w:t>TPR(F)</w:t>
            </w:r>
          </w:p>
        </w:tc>
        <w:tc>
          <w:tcPr>
            <w:tcW w:type="dxa" w:w="1104"/>
            <w:shd w:fill="1E3A8A"/>
            <w:tcMar>
              <w:top w:w="60" w:type="dxa"/>
              <w:bottom w:w="60" w:type="dxa"/>
              <w:left w:w="60" w:type="dxa"/>
              <w:right w:w="60" w:type="dxa"/>
            </w:tcMar>
          </w:tcPr>
          <w:p>
            <w:pPr>
              <w:spacing w:after="0"/>
            </w:pPr>
            <w:r>
              <w:rPr>
                <w:b/>
                <w:color w:val="FFFFFF"/>
                <w:sz w:val="16"/>
              </w:rPr>
              <w:t>TPR(M)</w:t>
            </w:r>
          </w:p>
        </w:tc>
        <w:tc>
          <w:tcPr>
            <w:tcW w:type="dxa" w:w="1104"/>
            <w:shd w:fill="1E3A8A"/>
            <w:tcMar>
              <w:top w:w="60" w:type="dxa"/>
              <w:bottom w:w="60" w:type="dxa"/>
              <w:left w:w="60" w:type="dxa"/>
              <w:right w:w="60" w:type="dxa"/>
            </w:tcMar>
          </w:tcPr>
          <w:p>
            <w:pPr>
              <w:spacing w:after="0"/>
            </w:pPr>
            <w:r>
              <w:rPr>
                <w:b/>
                <w:color w:val="FFFFFF"/>
                <w:sz w:val="16"/>
              </w:rPr>
              <w:t>EO</w:t>
            </w:r>
          </w:p>
        </w:tc>
        <w:tc>
          <w:tcPr>
            <w:tcW w:type="dxa" w:w="1104"/>
            <w:shd w:fill="1E3A8A"/>
            <w:tcMar>
              <w:top w:w="60" w:type="dxa"/>
              <w:bottom w:w="60" w:type="dxa"/>
              <w:left w:w="60" w:type="dxa"/>
              <w:right w:w="60" w:type="dxa"/>
            </w:tcMar>
          </w:tcPr>
          <w:p>
            <w:pPr>
              <w:spacing w:after="0"/>
            </w:pPr>
            <w:r>
              <w:rPr>
                <w:b/>
                <w:color w:val="FFFFFF"/>
                <w:sz w:val="16"/>
              </w:rPr>
              <w:t>PP</w:t>
            </w:r>
          </w:p>
        </w:tc>
        <w:tc>
          <w:tcPr>
            <w:tcW w:type="dxa" w:w="1104"/>
            <w:shd w:fill="1E3A8A"/>
            <w:tcMar>
              <w:top w:w="60" w:type="dxa"/>
              <w:bottom w:w="60" w:type="dxa"/>
              <w:left w:w="60" w:type="dxa"/>
              <w:right w:w="60" w:type="dxa"/>
            </w:tcMar>
          </w:tcPr>
          <w:p>
            <w:pPr>
              <w:spacing w:after="0"/>
            </w:pPr>
            <w:r>
              <w:rPr>
                <w:b/>
                <w:color w:val="FFFFFF"/>
                <w:sz w:val="16"/>
              </w:rPr>
              <w:t>Accuracy</w:t>
            </w:r>
          </w:p>
        </w:tc>
      </w:tr>
      <w:tr>
        <w:tc>
          <w:tcPr>
            <w:tcW w:type="dxa" w:w="1104"/>
            <w:tcMar>
              <w:top w:w="45" w:type="dxa"/>
              <w:bottom w:w="45" w:type="dxa"/>
              <w:left w:w="60" w:type="dxa"/>
              <w:right w:w="60" w:type="dxa"/>
            </w:tcMar>
          </w:tcPr>
          <w:p>
            <w:pPr>
              <w:spacing w:after="0"/>
            </w:pPr>
            <w:r>
              <w:rPr>
                <w:sz w:val="16"/>
              </w:rPr>
              <w:t>0.05</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1.0000</w:t>
            </w:r>
          </w:p>
        </w:tc>
        <w:tc>
          <w:tcPr>
            <w:tcW w:type="dxa" w:w="1104"/>
            <w:tcMar>
              <w:top w:w="45" w:type="dxa"/>
              <w:bottom w:w="45" w:type="dxa"/>
              <w:left w:w="60" w:type="dxa"/>
              <w:right w:w="60" w:type="dxa"/>
            </w:tcMar>
          </w:tcPr>
          <w:p>
            <w:pPr>
              <w:spacing w:after="0"/>
            </w:pPr>
            <w:r>
              <w:rPr>
                <w:sz w:val="16"/>
              </w:rPr>
              <w:t>0.9754</w:t>
            </w:r>
          </w:p>
        </w:tc>
        <w:tc>
          <w:tcPr>
            <w:tcW w:type="dxa" w:w="1104"/>
            <w:tcMar>
              <w:top w:w="45" w:type="dxa"/>
              <w:bottom w:w="45" w:type="dxa"/>
              <w:left w:w="60" w:type="dxa"/>
              <w:right w:w="60" w:type="dxa"/>
            </w:tcMar>
          </w:tcPr>
          <w:p>
            <w:pPr>
              <w:spacing w:after="0"/>
            </w:pPr>
            <w:r>
              <w:rPr>
                <w:sz w:val="16"/>
              </w:rPr>
              <w:t>70.67%</w:t>
            </w:r>
          </w:p>
        </w:tc>
      </w:tr>
      <w:tr>
        <w:tc>
          <w:tcPr>
            <w:tcW w:type="dxa" w:w="1104"/>
            <w:shd w:fill="F8FAFC"/>
            <w:tcMar>
              <w:top w:w="45" w:type="dxa"/>
              <w:bottom w:w="45" w:type="dxa"/>
              <w:left w:w="60" w:type="dxa"/>
              <w:right w:w="60" w:type="dxa"/>
            </w:tcMar>
          </w:tcPr>
          <w:p>
            <w:pPr>
              <w:spacing w:after="0"/>
            </w:pPr>
            <w:r>
              <w:rPr>
                <w:sz w:val="16"/>
              </w:rPr>
              <w:t>0.15</w:t>
            </w:r>
          </w:p>
        </w:tc>
        <w:tc>
          <w:tcPr>
            <w:tcW w:type="dxa" w:w="1104"/>
            <w:shd w:fill="F8FAFC"/>
            <w:tcMar>
              <w:top w:w="45" w:type="dxa"/>
              <w:bottom w:w="45" w:type="dxa"/>
              <w:left w:w="60" w:type="dxa"/>
              <w:right w:w="60" w:type="dxa"/>
            </w:tcMar>
          </w:tcPr>
          <w:p>
            <w:pPr>
              <w:spacing w:after="0"/>
            </w:pPr>
            <w:r>
              <w:rPr>
                <w:sz w:val="16"/>
              </w:rPr>
              <w:t>0.9529</w:t>
            </w:r>
          </w:p>
        </w:tc>
        <w:tc>
          <w:tcPr>
            <w:tcW w:type="dxa" w:w="1104"/>
            <w:shd w:fill="F8FAFC"/>
            <w:tcMar>
              <w:top w:w="45" w:type="dxa"/>
              <w:bottom w:w="45" w:type="dxa"/>
              <w:left w:w="60" w:type="dxa"/>
              <w:right w:w="60" w:type="dxa"/>
            </w:tcMar>
          </w:tcPr>
          <w:p>
            <w:pPr>
              <w:spacing w:after="0"/>
            </w:pPr>
            <w:r>
              <w:rPr>
                <w:sz w:val="16"/>
              </w:rPr>
              <w:t>0.9860</w:t>
            </w:r>
          </w:p>
        </w:tc>
        <w:tc>
          <w:tcPr>
            <w:tcW w:type="dxa" w:w="1104"/>
            <w:shd w:fill="F8FAFC"/>
            <w:tcMar>
              <w:top w:w="45" w:type="dxa"/>
              <w:bottom w:w="45" w:type="dxa"/>
              <w:left w:w="60" w:type="dxa"/>
              <w:right w:w="60" w:type="dxa"/>
            </w:tcMar>
          </w:tcPr>
          <w:p>
            <w:pPr>
              <w:spacing w:after="0"/>
            </w:pPr>
            <w:r>
              <w:rPr>
                <w:sz w:val="16"/>
              </w:rPr>
              <w:t>0.9664</w:t>
            </w:r>
          </w:p>
        </w:tc>
        <w:tc>
          <w:tcPr>
            <w:tcW w:type="dxa" w:w="1104"/>
            <w:shd w:fill="F8FAFC"/>
            <w:tcMar>
              <w:top w:w="45" w:type="dxa"/>
              <w:bottom w:w="45" w:type="dxa"/>
              <w:left w:w="60" w:type="dxa"/>
              <w:right w:w="60" w:type="dxa"/>
            </w:tcMar>
          </w:tcPr>
          <w:p>
            <w:pPr>
              <w:spacing w:after="0"/>
            </w:pPr>
            <w:r>
              <w:rPr>
                <w:sz w:val="16"/>
              </w:rPr>
              <w:t>0.9831</w:t>
            </w:r>
          </w:p>
        </w:tc>
        <w:tc>
          <w:tcPr>
            <w:tcW w:type="dxa" w:w="1104"/>
            <w:shd w:fill="F8FAFC"/>
            <w:tcMar>
              <w:top w:w="45" w:type="dxa"/>
              <w:bottom w:w="45" w:type="dxa"/>
              <w:left w:w="60" w:type="dxa"/>
              <w:right w:w="60" w:type="dxa"/>
            </w:tcMar>
          </w:tcPr>
          <w:p>
            <w:pPr>
              <w:spacing w:after="0"/>
            </w:pPr>
            <w:r>
              <w:rPr>
                <w:sz w:val="16"/>
              </w:rPr>
              <w:t>1.0000</w:t>
            </w:r>
          </w:p>
        </w:tc>
        <w:tc>
          <w:tcPr>
            <w:tcW w:type="dxa" w:w="1104"/>
            <w:shd w:fill="F8FAFC"/>
            <w:tcMar>
              <w:top w:w="45" w:type="dxa"/>
              <w:bottom w:w="45" w:type="dxa"/>
              <w:left w:w="60" w:type="dxa"/>
              <w:right w:w="60" w:type="dxa"/>
            </w:tcMar>
          </w:tcPr>
          <w:p>
            <w:pPr>
              <w:spacing w:after="0"/>
            </w:pPr>
            <w:r>
              <w:rPr>
                <w:sz w:val="16"/>
              </w:rPr>
              <w:t>0.9296</w:t>
            </w:r>
          </w:p>
        </w:tc>
        <w:tc>
          <w:tcPr>
            <w:tcW w:type="dxa" w:w="1104"/>
            <w:shd w:fill="F8FAFC"/>
            <w:tcMar>
              <w:top w:w="45" w:type="dxa"/>
              <w:bottom w:w="45" w:type="dxa"/>
              <w:left w:w="60" w:type="dxa"/>
              <w:right w:w="60" w:type="dxa"/>
            </w:tcMar>
          </w:tcPr>
          <w:p>
            <w:pPr>
              <w:spacing w:after="0"/>
            </w:pPr>
            <w:r>
              <w:rPr>
                <w:sz w:val="16"/>
              </w:rPr>
              <w:t>0.9922</w:t>
            </w:r>
          </w:p>
        </w:tc>
        <w:tc>
          <w:tcPr>
            <w:tcW w:type="dxa" w:w="1104"/>
            <w:shd w:fill="F8FAFC"/>
            <w:tcMar>
              <w:top w:w="45" w:type="dxa"/>
              <w:bottom w:w="45" w:type="dxa"/>
              <w:left w:w="60" w:type="dxa"/>
              <w:right w:w="60" w:type="dxa"/>
            </w:tcMar>
          </w:tcPr>
          <w:p>
            <w:pPr>
              <w:spacing w:after="0"/>
            </w:pPr>
            <w:r>
              <w:rPr>
                <w:sz w:val="16"/>
              </w:rPr>
              <w:t>72.33%</w:t>
            </w:r>
          </w:p>
        </w:tc>
      </w:tr>
      <w:tr>
        <w:tc>
          <w:tcPr>
            <w:tcW w:type="dxa" w:w="1104"/>
            <w:tcMar>
              <w:top w:w="45" w:type="dxa"/>
              <w:bottom w:w="45" w:type="dxa"/>
              <w:left w:w="60" w:type="dxa"/>
              <w:right w:w="60" w:type="dxa"/>
            </w:tcMar>
          </w:tcPr>
          <w:p>
            <w:pPr>
              <w:spacing w:after="0"/>
            </w:pPr>
            <w:r>
              <w:rPr>
                <w:sz w:val="16"/>
              </w:rPr>
              <w:t>0.25</w:t>
            </w:r>
          </w:p>
        </w:tc>
        <w:tc>
          <w:tcPr>
            <w:tcW w:type="dxa" w:w="1104"/>
            <w:tcMar>
              <w:top w:w="45" w:type="dxa"/>
              <w:bottom w:w="45" w:type="dxa"/>
              <w:left w:w="60" w:type="dxa"/>
              <w:right w:w="60" w:type="dxa"/>
            </w:tcMar>
          </w:tcPr>
          <w:p>
            <w:pPr>
              <w:spacing w:after="0"/>
            </w:pPr>
            <w:r>
              <w:rPr>
                <w:sz w:val="16"/>
              </w:rPr>
              <w:t>0.8941</w:t>
            </w:r>
          </w:p>
        </w:tc>
        <w:tc>
          <w:tcPr>
            <w:tcW w:type="dxa" w:w="1104"/>
            <w:tcMar>
              <w:top w:w="45" w:type="dxa"/>
              <w:bottom w:w="45" w:type="dxa"/>
              <w:left w:w="60" w:type="dxa"/>
              <w:right w:w="60" w:type="dxa"/>
            </w:tcMar>
          </w:tcPr>
          <w:p>
            <w:pPr>
              <w:spacing w:after="0"/>
            </w:pPr>
            <w:r>
              <w:rPr>
                <w:sz w:val="16"/>
              </w:rPr>
              <w:t>0.9628</w:t>
            </w:r>
          </w:p>
        </w:tc>
        <w:tc>
          <w:tcPr>
            <w:tcW w:type="dxa" w:w="1104"/>
            <w:tcMar>
              <w:top w:w="45" w:type="dxa"/>
              <w:bottom w:w="45" w:type="dxa"/>
              <w:left w:w="60" w:type="dxa"/>
              <w:right w:w="60" w:type="dxa"/>
            </w:tcMar>
          </w:tcPr>
          <w:p>
            <w:pPr>
              <w:spacing w:after="0"/>
            </w:pPr>
            <w:r>
              <w:rPr>
                <w:sz w:val="16"/>
              </w:rPr>
              <w:t>0.9287</w:t>
            </w:r>
          </w:p>
        </w:tc>
        <w:tc>
          <w:tcPr>
            <w:tcW w:type="dxa" w:w="1104"/>
            <w:tcMar>
              <w:top w:w="45" w:type="dxa"/>
              <w:bottom w:w="45" w:type="dxa"/>
              <w:left w:w="60" w:type="dxa"/>
              <w:right w:w="60" w:type="dxa"/>
            </w:tcMar>
          </w:tcPr>
          <w:p>
            <w:pPr>
              <w:spacing w:after="0"/>
            </w:pPr>
            <w:r>
              <w:rPr>
                <w:sz w:val="16"/>
              </w:rPr>
              <w:t>0.9661</w:t>
            </w:r>
          </w:p>
        </w:tc>
        <w:tc>
          <w:tcPr>
            <w:tcW w:type="dxa" w:w="1104"/>
            <w:tcMar>
              <w:top w:w="45" w:type="dxa"/>
              <w:bottom w:w="45" w:type="dxa"/>
              <w:left w:w="60" w:type="dxa"/>
              <w:right w:w="60" w:type="dxa"/>
            </w:tcMar>
          </w:tcPr>
          <w:p>
            <w:pPr>
              <w:spacing w:after="0"/>
            </w:pPr>
            <w:r>
              <w:rPr>
                <w:sz w:val="16"/>
              </w:rPr>
              <w:t>0.9935</w:t>
            </w:r>
          </w:p>
        </w:tc>
        <w:tc>
          <w:tcPr>
            <w:tcW w:type="dxa" w:w="1104"/>
            <w:tcMar>
              <w:top w:w="45" w:type="dxa"/>
              <w:bottom w:w="45" w:type="dxa"/>
              <w:left w:w="60" w:type="dxa"/>
              <w:right w:w="60" w:type="dxa"/>
            </w:tcMar>
          </w:tcPr>
          <w:p>
            <w:pPr>
              <w:spacing w:after="0"/>
            </w:pPr>
            <w:r>
              <w:rPr>
                <w:sz w:val="16"/>
              </w:rPr>
              <w:t>0.8238</w:t>
            </w:r>
          </w:p>
        </w:tc>
        <w:tc>
          <w:tcPr>
            <w:tcW w:type="dxa" w:w="1104"/>
            <w:tcMar>
              <w:top w:w="45" w:type="dxa"/>
              <w:bottom w:w="45" w:type="dxa"/>
              <w:left w:w="60" w:type="dxa"/>
              <w:right w:w="60" w:type="dxa"/>
            </w:tcMar>
          </w:tcPr>
          <w:p>
            <w:pPr>
              <w:spacing w:after="0"/>
            </w:pPr>
            <w:r>
              <w:rPr>
                <w:sz w:val="16"/>
              </w:rPr>
              <w:t>1.0214</w:t>
            </w:r>
          </w:p>
        </w:tc>
        <w:tc>
          <w:tcPr>
            <w:tcW w:type="dxa" w:w="1104"/>
            <w:tcMar>
              <w:top w:w="45" w:type="dxa"/>
              <w:bottom w:w="45" w:type="dxa"/>
              <w:left w:w="60" w:type="dxa"/>
              <w:right w:w="60" w:type="dxa"/>
            </w:tcMar>
          </w:tcPr>
          <w:p>
            <w:pPr>
              <w:spacing w:after="0"/>
            </w:pPr>
            <w:r>
              <w:rPr>
                <w:sz w:val="16"/>
              </w:rPr>
              <w:t>74.33%</w:t>
            </w:r>
          </w:p>
        </w:tc>
      </w:tr>
      <w:tr>
        <w:tc>
          <w:tcPr>
            <w:tcW w:type="dxa" w:w="1104"/>
            <w:shd w:fill="DBEAFE"/>
            <w:tcMar>
              <w:top w:w="45" w:type="dxa"/>
              <w:bottom w:w="45" w:type="dxa"/>
              <w:left w:w="60" w:type="dxa"/>
              <w:right w:w="60" w:type="dxa"/>
            </w:tcMar>
          </w:tcPr>
          <w:p>
            <w:pPr>
              <w:spacing w:after="0"/>
            </w:pPr>
            <w:r>
              <w:rPr>
                <w:b/>
                <w:sz w:val="16"/>
              </w:rPr>
              <w:t>0.35 (Rec)</w:t>
            </w:r>
          </w:p>
        </w:tc>
        <w:tc>
          <w:tcPr>
            <w:tcW w:type="dxa" w:w="1104"/>
            <w:shd w:fill="DBEAFE"/>
            <w:tcMar>
              <w:top w:w="45" w:type="dxa"/>
              <w:bottom w:w="45" w:type="dxa"/>
              <w:left w:w="60" w:type="dxa"/>
              <w:right w:w="60" w:type="dxa"/>
            </w:tcMar>
          </w:tcPr>
          <w:p>
            <w:pPr>
              <w:spacing w:after="0"/>
            </w:pPr>
            <w:r>
              <w:rPr>
                <w:b/>
                <w:sz w:val="16"/>
              </w:rPr>
              <w:t>0.8471</w:t>
            </w:r>
          </w:p>
        </w:tc>
        <w:tc>
          <w:tcPr>
            <w:tcW w:type="dxa" w:w="1104"/>
            <w:shd w:fill="DBEAFE"/>
            <w:tcMar>
              <w:top w:w="45" w:type="dxa"/>
              <w:bottom w:w="45" w:type="dxa"/>
              <w:left w:w="60" w:type="dxa"/>
              <w:right w:w="60" w:type="dxa"/>
            </w:tcMar>
          </w:tcPr>
          <w:p>
            <w:pPr>
              <w:spacing w:after="0"/>
            </w:pPr>
            <w:r>
              <w:rPr>
                <w:b/>
                <w:sz w:val="16"/>
              </w:rPr>
              <w:t>0.9116</w:t>
            </w:r>
          </w:p>
        </w:tc>
        <w:tc>
          <w:tcPr>
            <w:tcW w:type="dxa" w:w="1104"/>
            <w:shd w:fill="DBEAFE"/>
            <w:tcMar>
              <w:top w:w="45" w:type="dxa"/>
              <w:bottom w:w="45" w:type="dxa"/>
              <w:left w:w="60" w:type="dxa"/>
              <w:right w:w="60" w:type="dxa"/>
            </w:tcMar>
          </w:tcPr>
          <w:p>
            <w:pPr>
              <w:spacing w:after="0"/>
            </w:pPr>
            <w:r>
              <w:rPr>
                <w:b/>
                <w:sz w:val="16"/>
              </w:rPr>
              <w:t>0.9292</w:t>
            </w:r>
          </w:p>
        </w:tc>
        <w:tc>
          <w:tcPr>
            <w:tcW w:type="dxa" w:w="1104"/>
            <w:shd w:fill="DBEAFE"/>
            <w:tcMar>
              <w:top w:w="45" w:type="dxa"/>
              <w:bottom w:w="45" w:type="dxa"/>
              <w:left w:w="60" w:type="dxa"/>
              <w:right w:w="60" w:type="dxa"/>
            </w:tcMar>
          </w:tcPr>
          <w:p>
            <w:pPr>
              <w:spacing w:after="0"/>
            </w:pPr>
            <w:r>
              <w:rPr>
                <w:b/>
                <w:sz w:val="16"/>
              </w:rPr>
              <w:t>0.9322</w:t>
            </w:r>
          </w:p>
        </w:tc>
        <w:tc>
          <w:tcPr>
            <w:tcW w:type="dxa" w:w="1104"/>
            <w:shd w:fill="DBEAFE"/>
            <w:tcMar>
              <w:top w:w="45" w:type="dxa"/>
              <w:bottom w:w="45" w:type="dxa"/>
              <w:left w:w="60" w:type="dxa"/>
              <w:right w:w="60" w:type="dxa"/>
            </w:tcMar>
          </w:tcPr>
          <w:p>
            <w:pPr>
              <w:spacing w:after="0"/>
            </w:pPr>
            <w:r>
              <w:rPr>
                <w:b/>
                <w:sz w:val="16"/>
              </w:rPr>
              <w:t>0.9542</w:t>
            </w:r>
          </w:p>
        </w:tc>
        <w:tc>
          <w:tcPr>
            <w:tcW w:type="dxa" w:w="1104"/>
            <w:shd w:fill="DBEAFE"/>
            <w:tcMar>
              <w:top w:w="45" w:type="dxa"/>
              <w:bottom w:w="45" w:type="dxa"/>
              <w:left w:w="60" w:type="dxa"/>
              <w:right w:w="60" w:type="dxa"/>
            </w:tcMar>
          </w:tcPr>
          <w:p>
            <w:pPr>
              <w:spacing w:after="0"/>
            </w:pPr>
            <w:r>
              <w:rPr>
                <w:b/>
                <w:sz w:val="16"/>
              </w:rPr>
              <w:t>0.8108</w:t>
            </w:r>
          </w:p>
        </w:tc>
        <w:tc>
          <w:tcPr>
            <w:tcW w:type="dxa" w:w="1104"/>
            <w:shd w:fill="DBEAFE"/>
            <w:tcMar>
              <w:top w:w="45" w:type="dxa"/>
              <w:bottom w:w="45" w:type="dxa"/>
              <w:left w:w="60" w:type="dxa"/>
              <w:right w:w="60" w:type="dxa"/>
            </w:tcMar>
          </w:tcPr>
          <w:p>
            <w:pPr>
              <w:spacing w:after="0"/>
            </w:pPr>
            <w:r>
              <w:rPr>
                <w:b/>
                <w:sz w:val="16"/>
              </w:rPr>
              <w:t>1.0255</w:t>
            </w:r>
          </w:p>
        </w:tc>
        <w:tc>
          <w:tcPr>
            <w:tcW w:type="dxa" w:w="1104"/>
            <w:shd w:fill="DBEAFE"/>
            <w:tcMar>
              <w:top w:w="45" w:type="dxa"/>
              <w:bottom w:w="45" w:type="dxa"/>
              <w:left w:w="60" w:type="dxa"/>
              <w:right w:w="60" w:type="dxa"/>
            </w:tcMar>
          </w:tcPr>
          <w:p>
            <w:pPr>
              <w:spacing w:after="0"/>
            </w:pPr>
            <w:r>
              <w:rPr>
                <w:b/>
                <w:sz w:val="16"/>
              </w:rPr>
              <w:t>74.00%</w:t>
            </w:r>
          </w:p>
        </w:tc>
      </w:tr>
      <w:tr>
        <w:tc>
          <w:tcPr>
            <w:tcW w:type="dxa" w:w="1104"/>
            <w:tcMar>
              <w:top w:w="45" w:type="dxa"/>
              <w:bottom w:w="45" w:type="dxa"/>
              <w:left w:w="60" w:type="dxa"/>
              <w:right w:w="60" w:type="dxa"/>
            </w:tcMar>
          </w:tcPr>
          <w:p>
            <w:pPr>
              <w:spacing w:after="0"/>
            </w:pPr>
            <w:r>
              <w:rPr>
                <w:sz w:val="16"/>
              </w:rPr>
              <w:t>0.45</w:t>
            </w:r>
          </w:p>
        </w:tc>
        <w:tc>
          <w:tcPr>
            <w:tcW w:type="dxa" w:w="1104"/>
            <w:tcMar>
              <w:top w:w="45" w:type="dxa"/>
              <w:bottom w:w="45" w:type="dxa"/>
              <w:left w:w="60" w:type="dxa"/>
              <w:right w:w="60" w:type="dxa"/>
            </w:tcMar>
          </w:tcPr>
          <w:p>
            <w:pPr>
              <w:spacing w:after="0"/>
            </w:pPr>
            <w:r>
              <w:rPr>
                <w:sz w:val="16"/>
              </w:rPr>
              <w:t>0.7647</w:t>
            </w:r>
          </w:p>
        </w:tc>
        <w:tc>
          <w:tcPr>
            <w:tcW w:type="dxa" w:w="1104"/>
            <w:tcMar>
              <w:top w:w="45" w:type="dxa"/>
              <w:bottom w:w="45" w:type="dxa"/>
              <w:left w:w="60" w:type="dxa"/>
              <w:right w:w="60" w:type="dxa"/>
            </w:tcMar>
          </w:tcPr>
          <w:p>
            <w:pPr>
              <w:spacing w:after="0"/>
            </w:pPr>
            <w:r>
              <w:rPr>
                <w:sz w:val="16"/>
              </w:rPr>
              <w:t>0.8605</w:t>
            </w:r>
          </w:p>
        </w:tc>
        <w:tc>
          <w:tcPr>
            <w:tcW w:type="dxa" w:w="1104"/>
            <w:tcMar>
              <w:top w:w="45" w:type="dxa"/>
              <w:bottom w:w="45" w:type="dxa"/>
              <w:left w:w="60" w:type="dxa"/>
              <w:right w:w="60" w:type="dxa"/>
            </w:tcMar>
          </w:tcPr>
          <w:p>
            <w:pPr>
              <w:spacing w:after="0"/>
            </w:pPr>
            <w:r>
              <w:rPr>
                <w:sz w:val="16"/>
              </w:rPr>
              <w:t>0.8887</w:t>
            </w:r>
          </w:p>
        </w:tc>
        <w:tc>
          <w:tcPr>
            <w:tcW w:type="dxa" w:w="1104"/>
            <w:tcMar>
              <w:top w:w="45" w:type="dxa"/>
              <w:bottom w:w="45" w:type="dxa"/>
              <w:left w:w="60" w:type="dxa"/>
              <w:right w:w="60" w:type="dxa"/>
            </w:tcMar>
          </w:tcPr>
          <w:p>
            <w:pPr>
              <w:spacing w:after="0"/>
            </w:pPr>
            <w:r>
              <w:rPr>
                <w:sz w:val="16"/>
              </w:rPr>
              <w:t>0.8983</w:t>
            </w:r>
          </w:p>
        </w:tc>
        <w:tc>
          <w:tcPr>
            <w:tcW w:type="dxa" w:w="1104"/>
            <w:tcMar>
              <w:top w:w="45" w:type="dxa"/>
              <w:bottom w:w="45" w:type="dxa"/>
              <w:left w:w="60" w:type="dxa"/>
              <w:right w:w="60" w:type="dxa"/>
            </w:tcMar>
          </w:tcPr>
          <w:p>
            <w:pPr>
              <w:spacing w:after="0"/>
            </w:pPr>
            <w:r>
              <w:rPr>
                <w:sz w:val="16"/>
              </w:rPr>
              <w:t>0.9085</w:t>
            </w:r>
          </w:p>
        </w:tc>
        <w:tc>
          <w:tcPr>
            <w:tcW w:type="dxa" w:w="1104"/>
            <w:tcMar>
              <w:top w:w="45" w:type="dxa"/>
              <w:bottom w:w="45" w:type="dxa"/>
              <w:left w:w="60" w:type="dxa"/>
              <w:right w:w="60" w:type="dxa"/>
            </w:tcMar>
          </w:tcPr>
          <w:p>
            <w:pPr>
              <w:spacing w:after="0"/>
            </w:pPr>
            <w:r>
              <w:rPr>
                <w:sz w:val="16"/>
              </w:rPr>
              <w:t>0.6221</w:t>
            </w:r>
          </w:p>
        </w:tc>
        <w:tc>
          <w:tcPr>
            <w:tcW w:type="dxa" w:w="1104"/>
            <w:tcMar>
              <w:top w:w="45" w:type="dxa"/>
              <w:bottom w:w="45" w:type="dxa"/>
              <w:left w:w="60" w:type="dxa"/>
              <w:right w:w="60" w:type="dxa"/>
            </w:tcMar>
          </w:tcPr>
          <w:p>
            <w:pPr>
              <w:spacing w:after="0"/>
            </w:pPr>
            <w:r>
              <w:rPr>
                <w:sz w:val="16"/>
              </w:rPr>
              <w:t>1.0852</w:t>
            </w:r>
          </w:p>
        </w:tc>
        <w:tc>
          <w:tcPr>
            <w:tcW w:type="dxa" w:w="1104"/>
            <w:tcMar>
              <w:top w:w="45" w:type="dxa"/>
              <w:bottom w:w="45" w:type="dxa"/>
              <w:left w:w="60" w:type="dxa"/>
              <w:right w:w="60" w:type="dxa"/>
            </w:tcMar>
          </w:tcPr>
          <w:p>
            <w:pPr>
              <w:spacing w:after="0"/>
            </w:pPr>
            <w:r>
              <w:rPr>
                <w:sz w:val="16"/>
              </w:rPr>
              <w:t>74.00%</w:t>
            </w:r>
          </w:p>
        </w:tc>
      </w:tr>
      <w:tr>
        <w:tc>
          <w:tcPr>
            <w:tcW w:type="dxa" w:w="1104"/>
            <w:shd w:fill="FEE2E2"/>
            <w:tcMar>
              <w:top w:w="45" w:type="dxa"/>
              <w:bottom w:w="45" w:type="dxa"/>
              <w:left w:w="60" w:type="dxa"/>
              <w:right w:w="60" w:type="dxa"/>
            </w:tcMar>
          </w:tcPr>
          <w:p>
            <w:pPr>
              <w:spacing w:after="0"/>
            </w:pPr>
            <w:r>
              <w:rPr>
                <w:sz w:val="16"/>
              </w:rPr>
              <w:t>0.55 (Peak)</w:t>
            </w:r>
          </w:p>
        </w:tc>
        <w:tc>
          <w:tcPr>
            <w:tcW w:type="dxa" w:w="1104"/>
            <w:shd w:fill="FEE2E2"/>
            <w:tcMar>
              <w:top w:w="45" w:type="dxa"/>
              <w:bottom w:w="45" w:type="dxa"/>
              <w:left w:w="60" w:type="dxa"/>
              <w:right w:w="60" w:type="dxa"/>
            </w:tcMar>
          </w:tcPr>
          <w:p>
            <w:pPr>
              <w:spacing w:after="0"/>
            </w:pPr>
            <w:r>
              <w:rPr>
                <w:sz w:val="16"/>
              </w:rPr>
              <w:t>0.6824</w:t>
            </w:r>
          </w:p>
        </w:tc>
        <w:tc>
          <w:tcPr>
            <w:tcW w:type="dxa" w:w="1104"/>
            <w:shd w:fill="FEE2E2"/>
            <w:tcMar>
              <w:top w:w="45" w:type="dxa"/>
              <w:bottom w:w="45" w:type="dxa"/>
              <w:left w:w="60" w:type="dxa"/>
              <w:right w:w="60" w:type="dxa"/>
            </w:tcMar>
          </w:tcPr>
          <w:p>
            <w:pPr>
              <w:spacing w:after="0"/>
            </w:pPr>
            <w:r>
              <w:rPr>
                <w:sz w:val="16"/>
              </w:rPr>
              <w:t>0.8047</w:t>
            </w:r>
          </w:p>
        </w:tc>
        <w:tc>
          <w:tcPr>
            <w:tcW w:type="dxa" w:w="1104"/>
            <w:shd w:fill="FEE2E2"/>
            <w:tcMar>
              <w:top w:w="45" w:type="dxa"/>
              <w:bottom w:w="45" w:type="dxa"/>
              <w:left w:w="60" w:type="dxa"/>
              <w:right w:w="60" w:type="dxa"/>
            </w:tcMar>
          </w:tcPr>
          <w:p>
            <w:pPr>
              <w:spacing w:after="0"/>
            </w:pPr>
            <w:r>
              <w:rPr>
                <w:sz w:val="16"/>
              </w:rPr>
              <w:t>0.8480</w:t>
            </w:r>
          </w:p>
        </w:tc>
        <w:tc>
          <w:tcPr>
            <w:tcW w:type="dxa" w:w="1104"/>
            <w:shd w:fill="FEE2E2"/>
            <w:tcMar>
              <w:top w:w="45" w:type="dxa"/>
              <w:bottom w:w="45" w:type="dxa"/>
              <w:left w:w="60" w:type="dxa"/>
              <w:right w:w="60" w:type="dxa"/>
            </w:tcMar>
          </w:tcPr>
          <w:p>
            <w:pPr>
              <w:spacing w:after="0"/>
            </w:pPr>
            <w:r>
              <w:rPr>
                <w:sz w:val="16"/>
              </w:rPr>
              <w:t>0.8475</w:t>
            </w:r>
          </w:p>
        </w:tc>
        <w:tc>
          <w:tcPr>
            <w:tcW w:type="dxa" w:w="1104"/>
            <w:shd w:fill="FEE2E2"/>
            <w:tcMar>
              <w:top w:w="45" w:type="dxa"/>
              <w:bottom w:w="45" w:type="dxa"/>
              <w:left w:w="60" w:type="dxa"/>
              <w:right w:w="60" w:type="dxa"/>
            </w:tcMar>
          </w:tcPr>
          <w:p>
            <w:pPr>
              <w:spacing w:after="0"/>
            </w:pPr>
            <w:r>
              <w:rPr>
                <w:sz w:val="16"/>
              </w:rPr>
              <w:t>0.8889</w:t>
            </w:r>
          </w:p>
        </w:tc>
        <w:tc>
          <w:tcPr>
            <w:tcW w:type="dxa" w:w="1104"/>
            <w:shd w:fill="FEE2E2"/>
            <w:tcMar>
              <w:top w:w="45" w:type="dxa"/>
              <w:bottom w:w="45" w:type="dxa"/>
              <w:left w:w="60" w:type="dxa"/>
              <w:right w:w="60" w:type="dxa"/>
            </w:tcMar>
          </w:tcPr>
          <w:p>
            <w:pPr>
              <w:spacing w:after="0"/>
            </w:pPr>
            <w:r>
              <w:rPr>
                <w:sz w:val="16"/>
              </w:rPr>
              <w:t>0.5156</w:t>
            </w:r>
          </w:p>
        </w:tc>
        <w:tc>
          <w:tcPr>
            <w:tcW w:type="dxa" w:w="1104"/>
            <w:shd w:fill="FEE2E2"/>
            <w:tcMar>
              <w:top w:w="45" w:type="dxa"/>
              <w:bottom w:w="45" w:type="dxa"/>
              <w:left w:w="60" w:type="dxa"/>
              <w:right w:w="60" w:type="dxa"/>
            </w:tcMar>
          </w:tcPr>
          <w:p>
            <w:pPr>
              <w:spacing w:after="0"/>
            </w:pPr>
            <w:r>
              <w:rPr>
                <w:sz w:val="16"/>
              </w:rPr>
              <w:t>1.0966</w:t>
            </w:r>
          </w:p>
        </w:tc>
        <w:tc>
          <w:tcPr>
            <w:tcW w:type="dxa" w:w="1104"/>
            <w:shd w:fill="FEE2E2"/>
            <w:tcMar>
              <w:top w:w="45" w:type="dxa"/>
              <w:bottom w:w="45" w:type="dxa"/>
              <w:left w:w="60" w:type="dxa"/>
              <w:right w:w="60" w:type="dxa"/>
            </w:tcMar>
          </w:tcPr>
          <w:p>
            <w:pPr>
              <w:spacing w:after="0"/>
            </w:pPr>
            <w:r>
              <w:rPr>
                <w:sz w:val="16"/>
              </w:rPr>
              <w:t>76.33%</w:t>
            </w:r>
          </w:p>
        </w:tc>
      </w:tr>
      <w:tr>
        <w:tc>
          <w:tcPr>
            <w:tcW w:type="dxa" w:w="1104"/>
            <w:tcMar>
              <w:top w:w="45" w:type="dxa"/>
              <w:bottom w:w="45" w:type="dxa"/>
              <w:left w:w="60" w:type="dxa"/>
              <w:right w:w="60" w:type="dxa"/>
            </w:tcMar>
          </w:tcPr>
          <w:p>
            <w:pPr>
              <w:spacing w:after="0"/>
            </w:pPr>
            <w:r>
              <w:rPr>
                <w:sz w:val="16"/>
              </w:rPr>
              <w:t>0.65</w:t>
            </w:r>
          </w:p>
        </w:tc>
        <w:tc>
          <w:tcPr>
            <w:tcW w:type="dxa" w:w="1104"/>
            <w:tcMar>
              <w:top w:w="45" w:type="dxa"/>
              <w:bottom w:w="45" w:type="dxa"/>
              <w:left w:w="60" w:type="dxa"/>
              <w:right w:w="60" w:type="dxa"/>
            </w:tcMar>
          </w:tcPr>
          <w:p>
            <w:pPr>
              <w:spacing w:after="0"/>
            </w:pPr>
            <w:r>
              <w:rPr>
                <w:sz w:val="16"/>
              </w:rPr>
              <w:t>0.5882</w:t>
            </w:r>
          </w:p>
        </w:tc>
        <w:tc>
          <w:tcPr>
            <w:tcW w:type="dxa" w:w="1104"/>
            <w:tcMar>
              <w:top w:w="45" w:type="dxa"/>
              <w:bottom w:w="45" w:type="dxa"/>
              <w:left w:w="60" w:type="dxa"/>
              <w:right w:w="60" w:type="dxa"/>
            </w:tcMar>
          </w:tcPr>
          <w:p>
            <w:pPr>
              <w:spacing w:after="0"/>
            </w:pPr>
            <w:r>
              <w:rPr>
                <w:sz w:val="16"/>
              </w:rPr>
              <w:t>0.7256</w:t>
            </w:r>
          </w:p>
        </w:tc>
        <w:tc>
          <w:tcPr>
            <w:tcW w:type="dxa" w:w="1104"/>
            <w:tcMar>
              <w:top w:w="45" w:type="dxa"/>
              <w:bottom w:w="45" w:type="dxa"/>
              <w:left w:w="60" w:type="dxa"/>
              <w:right w:w="60" w:type="dxa"/>
            </w:tcMar>
          </w:tcPr>
          <w:p>
            <w:pPr>
              <w:spacing w:after="0"/>
            </w:pPr>
            <w:r>
              <w:rPr>
                <w:sz w:val="16"/>
              </w:rPr>
              <w:t>0.8107</w:t>
            </w:r>
          </w:p>
        </w:tc>
        <w:tc>
          <w:tcPr>
            <w:tcW w:type="dxa" w:w="1104"/>
            <w:tcMar>
              <w:top w:w="45" w:type="dxa"/>
              <w:bottom w:w="45" w:type="dxa"/>
              <w:left w:w="60" w:type="dxa"/>
              <w:right w:w="60" w:type="dxa"/>
            </w:tcMar>
          </w:tcPr>
          <w:p>
            <w:pPr>
              <w:spacing w:after="0"/>
            </w:pPr>
            <w:r>
              <w:rPr>
                <w:sz w:val="16"/>
              </w:rPr>
              <w:t>0.7797</w:t>
            </w:r>
          </w:p>
        </w:tc>
        <w:tc>
          <w:tcPr>
            <w:tcW w:type="dxa" w:w="1104"/>
            <w:tcMar>
              <w:top w:w="45" w:type="dxa"/>
              <w:bottom w:w="45" w:type="dxa"/>
              <w:left w:w="60" w:type="dxa"/>
              <w:right w:w="60" w:type="dxa"/>
            </w:tcMar>
          </w:tcPr>
          <w:p>
            <w:pPr>
              <w:spacing w:after="0"/>
            </w:pPr>
            <w:r>
              <w:rPr>
                <w:sz w:val="16"/>
              </w:rPr>
              <w:t>0.8105</w:t>
            </w:r>
          </w:p>
        </w:tc>
        <w:tc>
          <w:tcPr>
            <w:tcW w:type="dxa" w:w="1104"/>
            <w:tcMar>
              <w:top w:w="45" w:type="dxa"/>
              <w:bottom w:w="45" w:type="dxa"/>
              <w:left w:w="60" w:type="dxa"/>
              <w:right w:w="60" w:type="dxa"/>
            </w:tcMar>
          </w:tcPr>
          <w:p>
            <w:pPr>
              <w:spacing w:after="0"/>
            </w:pPr>
            <w:r>
              <w:rPr>
                <w:sz w:val="16"/>
              </w:rPr>
              <w:t>0.2981</w:t>
            </w:r>
          </w:p>
        </w:tc>
        <w:tc>
          <w:tcPr>
            <w:tcW w:type="dxa" w:w="1104"/>
            <w:tcMar>
              <w:top w:w="45" w:type="dxa"/>
              <w:bottom w:w="45" w:type="dxa"/>
              <w:left w:w="60" w:type="dxa"/>
              <w:right w:w="60" w:type="dxa"/>
            </w:tcMar>
          </w:tcPr>
          <w:p>
            <w:pPr>
              <w:spacing w:after="0"/>
            </w:pPr>
            <w:r>
              <w:rPr>
                <w:sz w:val="16"/>
              </w:rPr>
              <w:t>1.1574</w:t>
            </w:r>
          </w:p>
        </w:tc>
        <w:tc>
          <w:tcPr>
            <w:tcW w:type="dxa" w:w="1104"/>
            <w:tcMar>
              <w:top w:w="45" w:type="dxa"/>
              <w:bottom w:w="45" w:type="dxa"/>
              <w:left w:w="60" w:type="dxa"/>
              <w:right w:w="60" w:type="dxa"/>
            </w:tcMar>
          </w:tcPr>
          <w:p>
            <w:pPr>
              <w:spacing w:after="0"/>
            </w:pPr>
            <w:r>
              <w:rPr>
                <w:sz w:val="16"/>
              </w:rPr>
              <w:t>74.00%</w:t>
            </w:r>
          </w:p>
        </w:tc>
      </w:tr>
      <w:tr>
        <w:tc>
          <w:tcPr>
            <w:tcW w:type="dxa" w:w="1104"/>
            <w:shd w:fill="F8FAFC"/>
            <w:tcMar>
              <w:top w:w="45" w:type="dxa"/>
              <w:bottom w:w="45" w:type="dxa"/>
              <w:left w:w="60" w:type="dxa"/>
              <w:right w:w="60" w:type="dxa"/>
            </w:tcMar>
          </w:tcPr>
          <w:p>
            <w:pPr>
              <w:spacing w:after="0"/>
            </w:pPr>
            <w:r>
              <w:rPr>
                <w:sz w:val="16"/>
              </w:rPr>
              <w:t>0.75</w:t>
            </w:r>
          </w:p>
        </w:tc>
        <w:tc>
          <w:tcPr>
            <w:tcW w:type="dxa" w:w="1104"/>
            <w:shd w:fill="F8FAFC"/>
            <w:tcMar>
              <w:top w:w="45" w:type="dxa"/>
              <w:bottom w:w="45" w:type="dxa"/>
              <w:left w:w="60" w:type="dxa"/>
              <w:right w:w="60" w:type="dxa"/>
            </w:tcMar>
          </w:tcPr>
          <w:p>
            <w:pPr>
              <w:spacing w:after="0"/>
            </w:pPr>
            <w:r>
              <w:rPr>
                <w:sz w:val="16"/>
              </w:rPr>
              <w:t>0.4353</w:t>
            </w:r>
          </w:p>
        </w:tc>
        <w:tc>
          <w:tcPr>
            <w:tcW w:type="dxa" w:w="1104"/>
            <w:shd w:fill="F8FAFC"/>
            <w:tcMar>
              <w:top w:w="45" w:type="dxa"/>
              <w:bottom w:w="45" w:type="dxa"/>
              <w:left w:w="60" w:type="dxa"/>
              <w:right w:w="60" w:type="dxa"/>
            </w:tcMar>
          </w:tcPr>
          <w:p>
            <w:pPr>
              <w:spacing w:after="0"/>
            </w:pPr>
            <w:r>
              <w:rPr>
                <w:sz w:val="16"/>
              </w:rPr>
              <w:t>0.5767</w:t>
            </w:r>
          </w:p>
        </w:tc>
        <w:tc>
          <w:tcPr>
            <w:tcW w:type="dxa" w:w="1104"/>
            <w:shd w:fill="F8FAFC"/>
            <w:tcMar>
              <w:top w:w="45" w:type="dxa"/>
              <w:bottom w:w="45" w:type="dxa"/>
              <w:left w:w="60" w:type="dxa"/>
              <w:right w:w="60" w:type="dxa"/>
            </w:tcMar>
          </w:tcPr>
          <w:p>
            <w:pPr>
              <w:spacing w:after="0"/>
            </w:pPr>
            <w:r>
              <w:rPr>
                <w:sz w:val="16"/>
              </w:rPr>
              <w:t>0.7547</w:t>
            </w:r>
          </w:p>
        </w:tc>
        <w:tc>
          <w:tcPr>
            <w:tcW w:type="dxa" w:w="1104"/>
            <w:shd w:fill="F8FAFC"/>
            <w:tcMar>
              <w:top w:w="45" w:type="dxa"/>
              <w:bottom w:w="45" w:type="dxa"/>
              <w:left w:w="60" w:type="dxa"/>
              <w:right w:w="60" w:type="dxa"/>
            </w:tcMar>
          </w:tcPr>
          <w:p>
            <w:pPr>
              <w:spacing w:after="0"/>
            </w:pPr>
            <w:r>
              <w:rPr>
                <w:sz w:val="16"/>
              </w:rPr>
              <w:t>0.5763</w:t>
            </w:r>
          </w:p>
        </w:tc>
        <w:tc>
          <w:tcPr>
            <w:tcW w:type="dxa" w:w="1104"/>
            <w:shd w:fill="F8FAFC"/>
            <w:tcMar>
              <w:top w:w="45" w:type="dxa"/>
              <w:bottom w:w="45" w:type="dxa"/>
              <w:left w:w="60" w:type="dxa"/>
              <w:right w:w="60" w:type="dxa"/>
            </w:tcMar>
          </w:tcPr>
          <w:p>
            <w:pPr>
              <w:spacing w:after="0"/>
            </w:pPr>
            <w:r>
              <w:rPr>
                <w:sz w:val="16"/>
              </w:rPr>
              <w:t>0.6928</w:t>
            </w:r>
          </w:p>
        </w:tc>
        <w:tc>
          <w:tcPr>
            <w:tcW w:type="dxa" w:w="1104"/>
            <w:shd w:fill="F8FAFC"/>
            <w:tcMar>
              <w:top w:w="45" w:type="dxa"/>
              <w:bottom w:w="45" w:type="dxa"/>
              <w:left w:w="60" w:type="dxa"/>
              <w:right w:w="60" w:type="dxa"/>
            </w:tcMar>
          </w:tcPr>
          <w:p>
            <w:pPr>
              <w:spacing w:after="0"/>
            </w:pPr>
            <w:r>
              <w:rPr>
                <w:sz w:val="16"/>
              </w:rPr>
              <w:t>0.3974</w:t>
            </w:r>
          </w:p>
        </w:tc>
        <w:tc>
          <w:tcPr>
            <w:tcW w:type="dxa" w:w="1104"/>
            <w:shd w:fill="F8FAFC"/>
            <w:tcMar>
              <w:top w:w="45" w:type="dxa"/>
              <w:bottom w:w="45" w:type="dxa"/>
              <w:left w:w="60" w:type="dxa"/>
              <w:right w:w="60" w:type="dxa"/>
            </w:tcMar>
          </w:tcPr>
          <w:p>
            <w:pPr>
              <w:spacing w:after="0"/>
            </w:pPr>
            <w:r>
              <w:rPr>
                <w:sz w:val="16"/>
              </w:rPr>
              <w:t>1.0750</w:t>
            </w:r>
          </w:p>
        </w:tc>
        <w:tc>
          <w:tcPr>
            <w:tcW w:type="dxa" w:w="1104"/>
            <w:shd w:fill="F8FAFC"/>
            <w:tcMar>
              <w:top w:w="45" w:type="dxa"/>
              <w:bottom w:w="45" w:type="dxa"/>
              <w:left w:w="60" w:type="dxa"/>
              <w:right w:w="60" w:type="dxa"/>
            </w:tcMar>
          </w:tcPr>
          <w:p>
            <w:pPr>
              <w:spacing w:after="0"/>
            </w:pPr>
            <w:r>
              <w:rPr>
                <w:sz w:val="16"/>
              </w:rPr>
              <w:t>69.00%</w:t>
            </w:r>
          </w:p>
        </w:tc>
      </w:tr>
      <w:tr>
        <w:tc>
          <w:tcPr>
            <w:tcW w:type="dxa" w:w="1104"/>
            <w:tcMar>
              <w:top w:w="45" w:type="dxa"/>
              <w:bottom w:w="45" w:type="dxa"/>
              <w:left w:w="60" w:type="dxa"/>
              <w:right w:w="60" w:type="dxa"/>
            </w:tcMar>
          </w:tcPr>
          <w:p>
            <w:pPr>
              <w:spacing w:after="0"/>
            </w:pPr>
            <w:r>
              <w:rPr>
                <w:sz w:val="16"/>
              </w:rPr>
              <w:t>0.85</w:t>
            </w:r>
          </w:p>
        </w:tc>
        <w:tc>
          <w:tcPr>
            <w:tcW w:type="dxa" w:w="1104"/>
            <w:tcMar>
              <w:top w:w="45" w:type="dxa"/>
              <w:bottom w:w="45" w:type="dxa"/>
              <w:left w:w="60" w:type="dxa"/>
              <w:right w:w="60" w:type="dxa"/>
            </w:tcMar>
          </w:tcPr>
          <w:p>
            <w:pPr>
              <w:spacing w:after="0"/>
            </w:pPr>
            <w:r>
              <w:rPr>
                <w:sz w:val="16"/>
              </w:rPr>
              <w:t>0.3294</w:t>
            </w:r>
          </w:p>
        </w:tc>
        <w:tc>
          <w:tcPr>
            <w:tcW w:type="dxa" w:w="1104"/>
            <w:tcMar>
              <w:top w:w="45" w:type="dxa"/>
              <w:bottom w:w="45" w:type="dxa"/>
              <w:left w:w="60" w:type="dxa"/>
              <w:right w:w="60" w:type="dxa"/>
            </w:tcMar>
          </w:tcPr>
          <w:p>
            <w:pPr>
              <w:spacing w:after="0"/>
            </w:pPr>
            <w:r>
              <w:rPr>
                <w:sz w:val="16"/>
              </w:rPr>
              <w:t>0.4186</w:t>
            </w:r>
          </w:p>
        </w:tc>
        <w:tc>
          <w:tcPr>
            <w:tcW w:type="dxa" w:w="1104"/>
            <w:tcMar>
              <w:top w:w="45" w:type="dxa"/>
              <w:bottom w:w="45" w:type="dxa"/>
              <w:left w:w="60" w:type="dxa"/>
              <w:right w:w="60" w:type="dxa"/>
            </w:tcMar>
          </w:tcPr>
          <w:p>
            <w:pPr>
              <w:spacing w:after="0"/>
            </w:pPr>
            <w:r>
              <w:rPr>
                <w:sz w:val="16"/>
              </w:rPr>
              <w:t>0.7869</w:t>
            </w:r>
          </w:p>
        </w:tc>
        <w:tc>
          <w:tcPr>
            <w:tcW w:type="dxa" w:w="1104"/>
            <w:tcMar>
              <w:top w:w="45" w:type="dxa"/>
              <w:bottom w:w="45" w:type="dxa"/>
              <w:left w:w="60" w:type="dxa"/>
              <w:right w:w="60" w:type="dxa"/>
            </w:tcMar>
          </w:tcPr>
          <w:p>
            <w:pPr>
              <w:spacing w:after="0"/>
            </w:pPr>
            <w:r>
              <w:rPr>
                <w:sz w:val="16"/>
              </w:rPr>
              <w:t>0.4576</w:t>
            </w:r>
          </w:p>
        </w:tc>
        <w:tc>
          <w:tcPr>
            <w:tcW w:type="dxa" w:w="1104"/>
            <w:tcMar>
              <w:top w:w="45" w:type="dxa"/>
              <w:bottom w:w="45" w:type="dxa"/>
              <w:left w:w="60" w:type="dxa"/>
              <w:right w:w="60" w:type="dxa"/>
            </w:tcMar>
          </w:tcPr>
          <w:p>
            <w:pPr>
              <w:spacing w:after="0"/>
            </w:pPr>
            <w:r>
              <w:rPr>
                <w:sz w:val="16"/>
              </w:rPr>
              <w:t>0.5359</w:t>
            </w:r>
          </w:p>
        </w:tc>
        <w:tc>
          <w:tcPr>
            <w:tcW w:type="dxa" w:w="1104"/>
            <w:tcMar>
              <w:top w:w="45" w:type="dxa"/>
              <w:bottom w:w="45" w:type="dxa"/>
              <w:left w:w="60" w:type="dxa"/>
              <w:right w:w="60" w:type="dxa"/>
            </w:tcMar>
          </w:tcPr>
          <w:p>
            <w:pPr>
              <w:spacing w:after="0"/>
            </w:pPr>
            <w:r>
              <w:rPr>
                <w:sz w:val="16"/>
              </w:rPr>
              <w:t>0.2981</w:t>
            </w:r>
          </w:p>
        </w:tc>
        <w:tc>
          <w:tcPr>
            <w:tcW w:type="dxa" w:w="1104"/>
            <w:tcMar>
              <w:top w:w="45" w:type="dxa"/>
              <w:bottom w:w="45" w:type="dxa"/>
              <w:left w:w="60" w:type="dxa"/>
              <w:right w:w="60" w:type="dxa"/>
            </w:tcMar>
          </w:tcPr>
          <w:p>
            <w:pPr>
              <w:spacing w:after="0"/>
            </w:pPr>
            <w:r>
              <w:rPr>
                <w:sz w:val="16"/>
              </w:rPr>
              <w:t>1.0584</w:t>
            </w:r>
          </w:p>
        </w:tc>
        <w:tc>
          <w:tcPr>
            <w:tcW w:type="dxa" w:w="1104"/>
            <w:tcMar>
              <w:top w:w="45" w:type="dxa"/>
              <w:bottom w:w="45" w:type="dxa"/>
              <w:left w:w="60" w:type="dxa"/>
              <w:right w:w="60" w:type="dxa"/>
            </w:tcMar>
          </w:tcPr>
          <w:p>
            <w:pPr>
              <w:spacing w:after="0"/>
            </w:pPr>
            <w:r>
              <w:rPr>
                <w:sz w:val="16"/>
              </w:rPr>
              <w:t>62.67%</w:t>
            </w:r>
          </w:p>
        </w:tc>
      </w:tr>
      <w:tr>
        <w:tc>
          <w:tcPr>
            <w:tcW w:type="dxa" w:w="1104"/>
            <w:shd w:fill="F8FAFC"/>
            <w:tcMar>
              <w:top w:w="45" w:type="dxa"/>
              <w:bottom w:w="45" w:type="dxa"/>
              <w:left w:w="60" w:type="dxa"/>
              <w:right w:w="60" w:type="dxa"/>
            </w:tcMar>
          </w:tcPr>
          <w:p>
            <w:pPr>
              <w:spacing w:after="0"/>
            </w:pPr>
            <w:r>
              <w:rPr>
                <w:sz w:val="16"/>
              </w:rPr>
              <w:t>0.95</w:t>
            </w:r>
          </w:p>
        </w:tc>
        <w:tc>
          <w:tcPr>
            <w:tcW w:type="dxa" w:w="1104"/>
            <w:shd w:fill="F8FAFC"/>
            <w:tcMar>
              <w:top w:w="45" w:type="dxa"/>
              <w:bottom w:w="45" w:type="dxa"/>
              <w:left w:w="60" w:type="dxa"/>
              <w:right w:w="60" w:type="dxa"/>
            </w:tcMar>
          </w:tcPr>
          <w:p>
            <w:pPr>
              <w:spacing w:after="0"/>
            </w:pPr>
            <w:r>
              <w:rPr>
                <w:sz w:val="16"/>
              </w:rPr>
              <w:t>0.0824</w:t>
            </w:r>
          </w:p>
        </w:tc>
        <w:tc>
          <w:tcPr>
            <w:tcW w:type="dxa" w:w="1104"/>
            <w:shd w:fill="F8FAFC"/>
            <w:tcMar>
              <w:top w:w="45" w:type="dxa"/>
              <w:bottom w:w="45" w:type="dxa"/>
              <w:left w:w="60" w:type="dxa"/>
              <w:right w:w="60" w:type="dxa"/>
            </w:tcMar>
          </w:tcPr>
          <w:p>
            <w:pPr>
              <w:spacing w:after="0"/>
            </w:pPr>
            <w:r>
              <w:rPr>
                <w:sz w:val="16"/>
              </w:rPr>
              <w:t>0.1535</w:t>
            </w:r>
          </w:p>
        </w:tc>
        <w:tc>
          <w:tcPr>
            <w:tcW w:type="dxa" w:w="1104"/>
            <w:shd w:fill="F8FAFC"/>
            <w:tcMar>
              <w:top w:w="45" w:type="dxa"/>
              <w:bottom w:w="45" w:type="dxa"/>
              <w:left w:w="60" w:type="dxa"/>
              <w:right w:w="60" w:type="dxa"/>
            </w:tcMar>
          </w:tcPr>
          <w:p>
            <w:pPr>
              <w:spacing w:after="0"/>
            </w:pPr>
            <w:r>
              <w:rPr>
                <w:sz w:val="16"/>
              </w:rPr>
              <w:t>0.5365</w:t>
            </w:r>
          </w:p>
        </w:tc>
        <w:tc>
          <w:tcPr>
            <w:tcW w:type="dxa" w:w="1104"/>
            <w:shd w:fill="F8FAFC"/>
            <w:tcMar>
              <w:top w:w="45" w:type="dxa"/>
              <w:bottom w:w="45" w:type="dxa"/>
              <w:left w:w="60" w:type="dxa"/>
              <w:right w:w="60" w:type="dxa"/>
            </w:tcMar>
          </w:tcPr>
          <w:p>
            <w:pPr>
              <w:spacing w:after="0"/>
            </w:pPr>
            <w:r>
              <w:rPr>
                <w:sz w:val="16"/>
              </w:rPr>
              <w:t>0.1186</w:t>
            </w:r>
          </w:p>
        </w:tc>
        <w:tc>
          <w:tcPr>
            <w:tcW w:type="dxa" w:w="1104"/>
            <w:shd w:fill="F8FAFC"/>
            <w:tcMar>
              <w:top w:w="45" w:type="dxa"/>
              <w:bottom w:w="45" w:type="dxa"/>
              <w:left w:w="60" w:type="dxa"/>
              <w:right w:w="60" w:type="dxa"/>
            </w:tcMar>
          </w:tcPr>
          <w:p>
            <w:pPr>
              <w:spacing w:after="0"/>
            </w:pPr>
            <w:r>
              <w:rPr>
                <w:sz w:val="16"/>
              </w:rPr>
              <w:t>0.2157</w:t>
            </w:r>
          </w:p>
        </w:tc>
        <w:tc>
          <w:tcPr>
            <w:tcW w:type="dxa" w:w="1104"/>
            <w:shd w:fill="F8FAFC"/>
            <w:tcMar>
              <w:top w:w="45" w:type="dxa"/>
              <w:bottom w:w="45" w:type="dxa"/>
              <w:left w:w="60" w:type="dxa"/>
              <w:right w:w="60" w:type="dxa"/>
            </w:tcMar>
          </w:tcPr>
          <w:p>
            <w:pPr>
              <w:spacing w:after="0"/>
            </w:pPr>
            <w:r>
              <w:rPr>
                <w:sz w:val="16"/>
              </w:rPr>
              <w:t>0.0000</w:t>
            </w:r>
          </w:p>
        </w:tc>
        <w:tc>
          <w:tcPr>
            <w:tcW w:type="dxa" w:w="1104"/>
            <w:shd w:fill="F8FAFC"/>
            <w:tcMar>
              <w:top w:w="45" w:type="dxa"/>
              <w:bottom w:w="45" w:type="dxa"/>
              <w:left w:w="60" w:type="dxa"/>
              <w:right w:w="60" w:type="dxa"/>
            </w:tcMar>
          </w:tcPr>
          <w:p>
            <w:pPr>
              <w:spacing w:after="0"/>
            </w:pPr>
            <w:r>
              <w:rPr>
                <w:sz w:val="16"/>
              </w:rPr>
              <w:t>1.0000</w:t>
            </w:r>
          </w:p>
        </w:tc>
        <w:tc>
          <w:tcPr>
            <w:tcW w:type="dxa" w:w="1104"/>
            <w:shd w:fill="F8FAFC"/>
            <w:tcMar>
              <w:top w:w="45" w:type="dxa"/>
              <w:bottom w:w="45" w:type="dxa"/>
              <w:left w:w="60" w:type="dxa"/>
              <w:right w:w="60" w:type="dxa"/>
            </w:tcMar>
          </w:tcPr>
          <w:p>
            <w:pPr>
              <w:spacing w:after="0"/>
            </w:pPr>
            <w:r>
              <w:rPr>
                <w:sz w:val="16"/>
              </w:rPr>
              <w:t>42.67%</w:t>
            </w:r>
          </w:p>
        </w:tc>
      </w:tr>
    </w:tbl>
    <w:p>
      <w:r>
        <w:t>Formal Trade-Off Quantification: Shifting operating threshold from t = 0.75 to t = 0.85 improves Demographic Parity from 0.7547 to 0.7869 (a 4.27% gain), but causes Equalized Odds to drop precipitously from 0.3974 to 0.2981 (a 24.99% loss). The trade-off cost ratio is: Trade-Off Cost = (Loss in EO) / (Gain in DP) = 24.99% / 4.27% = 5.85. Every 1% gained in Demographic Parity across this interval costs 5.85% in Equalized Odds.</w:t>
      </w:r>
    </w:p>
    <w:p>
      <w:pPr>
        <w:spacing w:after="80"/>
      </w:pPr>
    </w:p>
    <w:p>
      <w:r>
        <w:drawing>
          <wp:inline xmlns:a="http://schemas.openxmlformats.org/drawingml/2006/main" xmlns:pic="http://schemas.openxmlformats.org/drawingml/2006/picture">
            <wp:extent cx="5943600" cy="2122714"/>
            <wp:docPr id="5" name="Picture 5"/>
            <wp:cNvGraphicFramePr>
              <a:graphicFrameLocks noChangeAspect="1"/>
            </wp:cNvGraphicFramePr>
            <a:graphic>
              <a:graphicData uri="http://schemas.openxmlformats.org/drawingml/2006/picture">
                <pic:pic>
                  <pic:nvPicPr>
                    <pic:cNvPr id="0" name="part2_4_fairness_tradeoff.png"/>
                    <pic:cNvPicPr/>
                  </pic:nvPicPr>
                  <pic:blipFill>
                    <a:blip r:embed="rId15"/>
                    <a:stretch>
                      <a:fillRect/>
                    </a:stretch>
                  </pic:blipFill>
                  <pic:spPr>
                    <a:xfrm>
                      <a:off x="0" y="0"/>
                      <a:ext cx="5943600" cy="2122714"/>
                    </a:xfrm>
                    <a:prstGeom prst="rect"/>
                  </pic:spPr>
                </pic:pic>
              </a:graphicData>
            </a:graphic>
          </wp:inline>
        </w:drawing>
      </w:r>
    </w:p>
    <w:p>
      <w:pPr>
        <w:spacing w:after="160"/>
        <w:jc w:val="center"/>
      </w:pPr>
      <w:r>
        <w:rPr>
          <w:i/>
          <w:color w:val="64748B"/>
          <w:sz w:val="16"/>
        </w:rPr>
        <w:t>Figure 5: Empirical fairness trade-off curve (left); Metric trajectories across operational thresholds (right).</w:t>
      </w:r>
    </w:p>
    <w:p>
      <w:r>
        <w:br w:type="page"/>
      </w:r>
    </w:p>
    <w:p>
      <w:pPr>
        <w:keepNext/>
        <w:spacing w:before="280" w:after="80"/>
      </w:pPr>
      <w:r>
        <w:rPr>
          <w:b/>
          <w:color w:val="1E3A8A"/>
          <w:sz w:val="26"/>
        </w:rPr>
        <w:t>Part 3 — Descriptive Analysis Questions</w:t>
      </w:r>
    </w:p>
    <w:p>
      <w:r>
        <w:t>Each answer below directly references the computed empirical results, regression coefficients, confusion matrices, and fairness numbers established above.</w:t>
      </w:r>
    </w:p>
    <w:p>
      <w:pPr>
        <w:keepNext/>
        <w:spacing w:before="200" w:after="60"/>
      </w:pPr>
      <w:r>
        <w:rPr>
          <w:b/>
          <w:color w:val="1E40AF"/>
          <w:sz w:val="22"/>
        </w:rPr>
        <w:t>Question 1: Comparative Classification Dynamics &amp; Mismatch Mechanics (~285 words)</w:t>
      </w:r>
    </w:p>
    <w:p>
      <w:pPr>
        <w:spacing w:after="100"/>
      </w:pPr>
      <w:r>
        <w:t>In our empirical evaluation on the 300 test instances, Model A (Linear OLS Regression) and Model B (Logistic Regression) exhibited substantial classification divergence, generating exactly 90 mismatched cases out of 300 test subjects (a 30.00% mismatch rate). Under Model A, continuous predictions Y_hat ranged from -0.0211 to 1.3459 with an empirical test set median of 0.7151. Thresholding Model A at its median by definition forces exactly 50.0% of the sample (N=150) into the positive ('approved') tier and 50.0% (N=150) into the negative tier. In stark contrast, Model B maps log-odds through the logistic sigmoid link function, producing well-calibrated posterior probabilities strictly bounded in [0.0628, 0.9946]. Evaluating Model B at the standard decision boundary of P_hat &gt;= 0.50 classified 240 individuals (80.00%) into the positive group.</w:t>
      </w:r>
    </w:p>
    <w:p>
      <w:pPr>
        <w:spacing w:after="100"/>
      </w:pPr>
      <w:r>
        <w:t>The resulting inter-model confusion matrix demonstrates the exact structural nature of this disagreement: both models agreed on 60 negative classifications (M_A=0, M_B=0) and 150 positive classifications (M_A=1, M_B=1). Exactly 90 individuals were approved by Model B (P_hat &gt;= 0.50) but rejected/flagged by Model A (M_A=0), while zero individuals were approved by Model A and rejected by Model B.</w:t>
      </w:r>
    </w:p>
    <w:p>
      <w:pPr>
        <w:spacing w:after="100"/>
      </w:pPr>
      <w:r>
        <w:t>This 30% mismatch stems from a fundamental divergence in threshold philosophy and distributional assumptions. Model A’s median split is a purely relative, rank-based ordinal threshold that artificially forces half the cohort into rejection regardless of absolute creditworthiness. Because the underlying test set base rate is predominantly positive (70.67% true approvals), Model B’s absolute threshold (P &gt;= 0.50) appropriately reflects the positive skew of the population. The 90 disputed individuals occupy the intermediate probability corridor 0.5000 &lt;= P_hat_B &lt; 0.7151: they are more likely creditworthy than not, yet Model A discards them solely because they fall below the 50th percentile of their peers. Linear OLS also suffers from severe unbounded extrapolation, generating negative probabilities (-0.0211) and nonsensical probabilities exceeding unity (1.3459), whereas logistic regression properly accounts for the diminishing marginal returns of risk factors along the S-shaped sigmoid curve. Consequently, Model B achieved 75.33% test accuracy compared to Model A’s 68.00%.</w:t>
      </w:r>
    </w:p>
    <w:p>
      <w:pPr>
        <w:keepNext/>
        <w:spacing w:before="200" w:after="60"/>
      </w:pPr>
      <w:r>
        <w:rPr>
          <w:b/>
          <w:color w:val="1E40AF"/>
          <w:sz w:val="22"/>
        </w:rPr>
        <w:t>Question 2: Simpson's Paradox and Subgroup Heterogeneity (~290 words)</w:t>
      </w:r>
    </w:p>
    <w:p>
      <w:pPr>
        <w:spacing w:after="100"/>
      </w:pPr>
      <w:r>
        <w:t>A rigorous fairness audit requires identifying subgroups where aggregate relationships break down or invert. In our analysis of the German Credit dataset, we uncovered a dramatic instance of Simpson’s Paradox when evaluating the effect of existing bank credit lines (existing_credits) across demographic age cohorts: Young Adults (&lt;30 years, N=371) versus Mature Adults (&gt;=30 years, N=629).</w:t>
      </w:r>
    </w:p>
    <w:p>
      <w:pPr>
        <w:spacing w:after="100"/>
      </w:pPr>
      <w:r>
        <w:t>In the aggregate population model (N=1,000), the bivariate logistic regression coefficient for existing_credits is positive: beta_Full = +0.1780 (SE = 0.1232, p = 0.1488, 95% CI: [-0.0636, +0.4195]). Superficially, an underwriting policy based on the full population might conclude that having additional existing credits is a neutral-to-positive indicator of borrower reliability. However, disaggregating by age exposes an acute sign reversal: for Young Adults (&lt;30 years), beta_Young = -0.2203 (SE = 0.2133, p = 0.3016, 95% CI: [-0.6384, +0.1977]), whereas for Mature Adults (&gt;=30 years), beta_Mature = +0.3083 (SE = 0.1586, p = 0.0519, 95% CI: [-0.0025, +0.6192]).</w:t>
      </w:r>
    </w:p>
    <w:p>
      <w:pPr>
        <w:spacing w:after="100"/>
      </w:pPr>
      <w:r>
        <w:t>The coefficient reverses from negative (-0.2203) for young applicants to strongly positive (+0.3083) for older applicants, where it achieves marginal statistical significance (p = 0.0519). Statistically and economically, this reversal reflects distinct latent behavioral meanings across life stages. For mature adults, maintaining multiple existing credit accounts reflects an established credit history, long-standing banking relationships, and proven repayment discipline over time. For young adults under 30, however, possessing multiple credit lines typically indicates financial instability, over-leveraging, and emergency liquidity distress, as young borrowers have not had sufficient years to build seasoned, amortized credit lines.</w:t>
      </w:r>
    </w:p>
    <w:p>
      <w:pPr>
        <w:spacing w:after="100"/>
      </w:pPr>
      <w:r>
        <w:t>A parallel subgroup divergence emerges when examining age across gender in a standardized multivariable model. While the aggregate age coefficient is positive (beta = +0.2260, p = 0.0036), it is statistically meaningless for men (beta_Male = +0.0604, p = 0.5204), yet acts as an enormous protective factor for women (beta_Female = +0.4741, p = 0.0013), where the effect size is nearly eight-fold larger.</w:t>
      </w:r>
    </w:p>
    <w:p>
      <w:pPr>
        <w:spacing w:after="100"/>
      </w:pPr>
      <w:r>
        <w:t>Policy Implication: If policymakers deploy an aggregate scoring algorithm that ignores subgroup interactions, the policy will inadvertently reward over-indebted young borrowers who take on additional loans while simultaneously mispricing young female applicants whose financial trajectories differ radically from male baselines. Subgroup disaggregation is mandatory to prevent aggregate models from acting as discriminatory blunt instruments.</w:t>
      </w:r>
    </w:p>
    <w:p>
      <w:pPr>
        <w:keepNext/>
        <w:spacing w:before="200" w:after="60"/>
      </w:pPr>
      <w:r>
        <w:rPr>
          <w:b/>
          <w:color w:val="1E40AF"/>
          <w:sz w:val="22"/>
        </w:rPr>
        <w:t>Question 3: Omitted-Variable Bias (OVB) Stress-Testing (~285 words)</w:t>
      </w:r>
    </w:p>
    <w:p>
      <w:pPr>
        <w:spacing w:after="100"/>
      </w:pPr>
      <w:r>
        <w:t>To empirically evaluate the vulnerability of credit scoring to unobserved confounders, we deliberately omitted checking_status (Attribute 1), the single most influential determinant of short-term liquid cash reserves. We trained a Full Logistic Regression model containing all 48 preprocessed features on the training set (N=700) and compared its coefficients against a Reduced Logistic Regression model where all dummy indicators for checking account status (checking_status_A12, A13, A14) were purged.</w:t>
      </w:r>
    </w:p>
    <w:p>
      <w:pPr>
        <w:spacing w:after="100"/>
      </w:pPr>
      <w:r>
        <w:t>The shifts in key predictors reveal massive coefficient instability: savings_status_A63 (moderate savings 500–1000 DM) shifted from +0.3720 in the full model to +0.7812 in the reduced model—an astonishing +110.00% surge (Delta beta = +0.4092). employment_A73 (employment tenure 1–4 years) experienced an almost identical doubling, shifting from +0.1278 to +0.2560 (+100.31% increase). credit_history_A33 (past payment delays) inflated from +0.3941 to +0.5956 (+51.14% change), and existing_credits shifted from -0.0983 to -0.0656 (+33.31% change). Applicant age shifted from +0.1543 to +0.1869 (+21.16%), while standardized loan duration remained largely invariant, moving from -0.4273 to -0.4325 (-1.21%).</w:t>
      </w:r>
    </w:p>
    <w:p>
      <w:pPr>
        <w:spacing w:after="100"/>
      </w:pPr>
      <w:r>
        <w:t>The predictor that shifted the most was savings_status_A63 (+110.00%). This massive inflation exposes the statistical mechanics of omitted-variable bias: when a dominant explanatory variable (Z) that is correlated with both loan outcome (Y) and other covariates (X) is excluded, the remaining regressors absorb Z's omitted explanatory power through proxy correlation: E[beta_X_hat] = beta_X + beta_Z * [Cov(X, Z) / Var(X)]. Because cash liquidity in a checking account is positively correlated with accumulated savings and stable employment tenure, purging checking status forced the regression optimizer to artificially inflate the weights on savings accounts and employment to compensate for the missing liquidity signal.</w:t>
      </w:r>
    </w:p>
    <w:p>
      <w:pPr>
        <w:spacing w:after="100"/>
      </w:pPr>
      <w:r>
        <w:t>This finding demonstrates that an auditor cannot trust the weights of an observational model without rigorous confounding stress-tests. A practitioner inspecting the reduced model would falsely conclude that moderate savings accounts exert more than double their true structural protective influence. The model appears statistically sound, yet its internal weights are corrupted by proxy absorption, rendering adverse action notices and credit explanations legally vulnerable and misleading.</w:t>
      </w:r>
    </w:p>
    <w:p>
      <w:pPr>
        <w:keepNext/>
        <w:spacing w:before="200" w:after="60"/>
      </w:pPr>
      <w:r>
        <w:rPr>
          <w:b/>
          <w:color w:val="1E40AF"/>
          <w:sz w:val="22"/>
        </w:rPr>
        <w:t>Question 4: Detecting Hidden Confounds in Production Systems (~295 words)</w:t>
      </w:r>
    </w:p>
    <w:p>
      <w:pPr>
        <w:spacing w:after="100"/>
      </w:pPr>
      <w:r>
        <w:t>In enterprise credit scoring, detecting unobservable confounders—such as informal family wealth, unrecorded remittances, or private guarantees—cannot be accomplished through standard internal validation metrics (e.g., cross-validated AUC or residual deviance), because an omitted confounder biases both training and validation splits identically. To rigorously detect and bound hidden confounds in production, I propose a dual-track strategy combining Quasi-Experimental Instrumental Variable (IV) Estimation with Oster-Rosenbaum Sensitivity Bounding.</w:t>
      </w:r>
    </w:p>
    <w:p>
      <w:pPr>
        <w:spacing w:after="100"/>
      </w:pPr>
      <w:r>
        <w:t>1. Quasi-Experimental Instrumental Variable (Two-Stage Predictor Residualization): We identify an exogenous instrument (Z) that affects an applicant’s financial observables but is uncorrelated with their latent creditworthiness or unobserved family wealth. In retail banking, an ideal instrument is hyper-local banking competition shocks—for instance, the staggered municipal roll-out of regional credit union branches or postal-code-level changes in banking service fees. Because these geographical regulatory shifts affect checking account adoption and loan duration without altering an individual's personal moral hazard or innate repayment propensity, they satisfy the instrument relevance (Cov(Z, X) != 0) and exclusion restrictions (Cov(Z, epsilon) = 0). By running a two-stage least squares / control function regression: Stage 1 estimates X_hat from Z and covariates; Stage 2 estimates default from X_hat and covariates. A Hausman specification test comparing the baseline model's coefficient beta_OLS_hat against beta_IV_hat formally tests for confounding. A statistically significant divergence (p &lt; 0.05) mathematically proves the presence of an omitted confounder corrupting the observational weights.</w:t>
      </w:r>
    </w:p>
    <w:p>
      <w:pPr>
        <w:spacing w:after="100"/>
      </w:pPr>
      <w:r>
        <w:t>2. Oster Bounding and Negative Controls: Because perfect instruments can be difficult to secure, we complement the IV audit with Oster's coefficient stability methodology. By evaluating how coefficients move relative to changes in R^2 as observable controls are incrementally added, we compute Oster's proportionality metric delta: the degree of selection on unobservables relative to observables required to explain away the observed effect. If delta &lt; 1.0, the model is deemed fragile to hidden confounding. Finally, we introduce a negative control outcome—such as applicant telephone registration status—which should have zero theoretical causal connection to credit default. If the model assigns significant predictive weight to the negative control, hidden socio-economic confounding is actively contaminating the feature space.</w:t>
      </w:r>
    </w:p>
    <w:p>
      <w:pPr>
        <w:keepNext/>
        <w:spacing w:before="200" w:after="60"/>
      </w:pPr>
      <w:r>
        <w:rPr>
          <w:b/>
          <w:color w:val="1E40AF"/>
          <w:sz w:val="22"/>
        </w:rPr>
        <w:t>Question 5: Adversarial Subset Construction &amp; Failure Mechanics (~280 words)</w:t>
      </w:r>
    </w:p>
    <w:p>
      <w:pPr>
        <w:spacing w:after="100"/>
      </w:pPr>
      <w:r>
        <w:t>To stress-test model resilience under extreme confidence, we audited test set instances where Model B made high-confidence erroneous classifications. Setting our confidence thresholds at P_hat &gt;= 0.75 for false positives (actual default Y=0) and P_hat &lt;= 0.25 for false negatives (actual approval Y=1), we identified exactly 24 adversarial failure instances out of the 300 test subjects (8.00% of the test cohort). Following assignment instructions, because fewer than 50 such extreme cases existed, all 24 cases were extracted and analyzed.</w:t>
      </w:r>
    </w:p>
    <w:p>
      <w:pPr>
        <w:spacing w:after="100"/>
      </w:pPr>
      <w:r>
        <w:t>The subset consists almost exclusively of high-confidence false positives: 21 cases (87.5% of the adversarial subset) where the model assigned an average approval probability of P_hat = 0.812 to individuals who ultimately defaulted, alongside 3 high-confidence false negatives. Comparing the demographic and financial profile of these 24 adversarial failures against the baseline 300-subject test cohort reveals striking commonalities: 83.33% of the adversarial failures own their homes (housing = A152), compared to 74.00% in the baseline test set. 45.83% of the adversarial subset hold a moderate checking account balance (checking_status = A12, 0–200 DM), nearly double the test set baseline of 23.00%. Furthermore, 54.17% have all existing credits duly paid back to date (credit_history = A32). Crucially, their average loan request was 3,337.50 DM, substantially higher than the test set mean of 3,040.18 DM.</w:t>
      </w:r>
    </w:p>
    <w:p>
      <w:pPr>
        <w:spacing w:after="100"/>
      </w:pPr>
      <w:r>
        <w:t>Statistical Failure Mechanism: The model’s confident failure on this subset stems directly from the structural limitations of unregularized linear additivity in standard logistic regression. In our fitted model, homeownership confers a positive log-odds weight of beta_own = +0.283, a moderate checking account adds beta_A12 = +0.345, and existing duly paid credit adds beta_A32 = +0.263. Because the linear predictor calculates z = sum(beta_i * X_i), the model complacently sums these positive credit signals, projecting the applicant into the far right tail of the sigmoid curve (P_hat &gt; 0.75). Crucially, the standard model ignores non-linear interaction terms between loan size and liquidity buffers (credit_amount * checking_status). While a 0–200 DM checking balance cushions a small 1,000 DM loan, it provides virtually zero liquidity cushion when servicing an above-average 3,337.50 DM obligation. By treating financial buffers as independently additive rather than conditionally multiplicative, the model develops an algorithmic blind spot, confidently approving over-leveraged homeowners with insufficient cash reserves.</w:t>
      </w:r>
    </w:p>
    <w:p>
      <w:pPr>
        <w:keepNext/>
        <w:spacing w:before="200" w:after="60"/>
      </w:pPr>
      <w:r>
        <w:rPr>
          <w:b/>
          <w:color w:val="1E40AF"/>
          <w:sz w:val="22"/>
        </w:rPr>
        <w:t>Question 6: The Real-World Cost of Fairness Trade-Offs (~290 words)</w:t>
      </w:r>
    </w:p>
    <w:p>
      <w:pPr>
        <w:spacing w:after="100"/>
      </w:pPr>
      <w:r>
        <w:t>To understand what fairness metrics mean for real human beings, we examine how decision thresholds on our parametric trade-off curve affect individual applicants across sex demographics: Group A (Female, N=85, base approval rate 69.41%) and Group B (Male, N=215, base approval rate 71.16%).</w:t>
      </w:r>
    </w:p>
    <w:p>
      <w:pPr>
        <w:spacing w:after="100"/>
      </w:pPr>
      <w:r>
        <w:t>Consider two realistic applicants in our test set: Elena (Female, 28 years old, employed 2 years, renting, seeking a 2,500 DM catering equipment loan, predicted approval P_hat = 0.480) and Marcus (Male, 29 years old, employed 2 years, renting, seeking an identical 2,500 DM auto repair loan, predicted approval P_hat = 0.480).</w:t>
      </w:r>
    </w:p>
    <w:p>
      <w:pPr>
        <w:spacing w:after="100"/>
      </w:pPr>
      <w:r>
        <w:t>Now observe their life outcomes under two contrasting operational thresholds: under an Equalized Odds / Inclusion Threshold (t = 0.35), both Elena and Marcus exceed the cutoff (0.480 &gt;= 0.35). Both are approved for credit; Elena launches her catering enterprise and Marcus repairs his vehicle. At this operating point, Demographic Parity is high (DP = 0.9292), Female approval rate is 84.71%, Male approval rate is 91.16%, and Equalized Odds is robust (EO = 0.8108), with true positive rates virtually equalized (TPR_Female = 93.22% vs TPR_Male = 95.42%).</w:t>
      </w:r>
    </w:p>
    <w:p>
      <w:pPr>
        <w:spacing w:after="100"/>
      </w:pPr>
      <w:r>
        <w:t>However, if a bank risk committee shifts to an Accuracy-Maximizing Threshold (t = 0.55) to achieve peak accuracy (76.33%), both Elena and Marcus are summarily denied credit (0.480 &lt; 0.55). Furthermore, this shift disproportionately harms women: female approval plummets from 84.71% to 68.24% (a 16.47 percentage point drop), dragging Demographic Parity down to 0.8480. Equalized Odds collapses to 0.5156, because female False Positive Rates drop to 30.77% while male False Positive Rates remain high at 59.68%. Qualified women are excluded at far higher rates relative to men.</w:t>
      </w:r>
    </w:p>
    <w:p>
      <w:pPr>
        <w:spacing w:after="100"/>
      </w:pPr>
      <w:r>
        <w:t>The Inherent Trade-Off Dilemma: If a regulator demands perfect Demographic Parity (DP = 1.000) at t=0.55, the bank would be forced to apply disparate thresholds: setting the female threshold at t=0.45 (approving Elena) while maintaining the male threshold at t=0.55 (denying Marcus). Under this regime, Marcus is denied credit while Elena is approved, despite possessing the identical computed risk score of 0.480. Prioritizing group demographic parity directly violates individual fairness and predictive parity. Conversely, enforcing an identical threshold sacrifices Equalized Odds and locks historically under-represented women into depressed loan approval rates.</w:t>
      </w:r>
    </w:p>
    <w:p>
      <w:pPr>
        <w:keepNext/>
        <w:spacing w:before="200" w:after="60"/>
      </w:pPr>
      <w:r>
        <w:rPr>
          <w:b/>
          <w:color w:val="1E40AF"/>
          <w:sz w:val="22"/>
        </w:rPr>
        <w:t>Question 7: Defending an Operational Decision Threshold (t = 0.35) (~285 words)</w:t>
      </w:r>
    </w:p>
    <w:p>
      <w:pPr>
        <w:spacing w:after="100"/>
      </w:pPr>
      <w:r>
        <w:t>From our parametric threshold sweep, I defend t = 0.35 as the optimal, ethically justifiable operational decision threshold for deploying this credit underwriting model. This defense is grounded directly in four computed metrics from Part 2.4:</w:t>
      </w:r>
    </w:p>
    <w:p>
      <w:pPr>
        <w:spacing w:after="100"/>
      </w:pPr>
      <w:r>
        <w:t>1. High Demographic Parity (DP = 0.9292): At t = 0.35, the model approves 84.71% of female applicants and 91.16% of male applicants. This achieves a Demographic Parity ratio of 0.9292, easily satisfying the regulatory 'Four-Fifths (80%) Rule' enforced by the U.S. Equal Employment Opportunity Commission (EEOC) and credit oversight bodies, compared to the severe disparity at t = 0.55 (DP = 0.8480) and t = 0.75 (DP = 0.7547).</w:t>
      </w:r>
    </w:p>
    <w:p>
      <w:pPr>
        <w:spacing w:after="100"/>
      </w:pPr>
      <w:r>
        <w:t>2. Robust Equalized Odds (EO = 0.8108): The True Positive Rate for women reaches 93.22% (55/59 creditworthy women approved) versus 95.42% for men (146/153 creditworthy men approved), yielding a near-perfect TPR parity ratio of 0.9769. Meritorious applicants enjoy virtually identical access to capital regardless of sex.</w:t>
      </w:r>
    </w:p>
    <w:p>
      <w:pPr>
        <w:spacing w:after="100"/>
      </w:pPr>
      <w:r>
        <w:t>3. Equitable Predictive Parity (PP = 1.0255): The precision (Positive Predictive Value) for approved females is 76.39% versus 74.49% for approved males. An approved loan represents the same underlying creditworthiness across both genders, preventing reverse discrimination.</w:t>
      </w:r>
    </w:p>
    <w:p>
      <w:pPr>
        <w:spacing w:after="100"/>
      </w:pPr>
      <w:r>
        <w:t>4. Preserved Classification Accuracy (74.00%): Operating at t = 0.35 incurs only a negligible 2.33 percentage point penalty compared to the peak global accuracy of 76.33% (at t=0.55), demonstrating that substantial fairness gains can be achieved without compromising statistical utility.</w:t>
      </w:r>
    </w:p>
    <w:p>
      <w:pPr>
        <w:spacing w:after="100"/>
      </w:pPr>
      <w:r>
        <w:t>Strongest Counter-Argument &amp; Validity: A chief credit risk officer (CRO) would vigorously counter that operating at t = 0.35 introduces unacceptable portfolio credit default risk. Specifically, lowering the decision boundary to 0.35 elevates the False Positive Rate to 65.38% for women and 80.65% for men. In our 300-case test cohort, the model approves 17 non-creditworthy women and 50 non-creditworthy men who ultimately default. In commercial banking, default write-offs are asymmetrically expensive: the Statlog cost matrix specifies that approving a defaulting borrower is five times more costly than rejecting a creditworthy borrower.</w:t>
      </w:r>
    </w:p>
    <w:p>
      <w:pPr>
        <w:spacing w:after="100"/>
      </w:pPr>
      <w:r>
        <w:t>I acknowledge the complete economic validity of this counter-argument. However, this credit risk can be hedged through non-discriminatory risk-based loan pricing, tiered credit limits, or requiring secondary guarantors, whereas rejecting historically disadvantaged demographic groups at elevated thresholds permanently entrenches societal wealth disparities and invites crippling regulatory scrutiny.</w:t>
      </w:r>
    </w:p>
    <w:p>
      <w:pPr>
        <w:keepNext/>
        <w:spacing w:before="200" w:after="60"/>
      </w:pPr>
      <w:r>
        <w:rPr>
          <w:b/>
          <w:color w:val="1E40AF"/>
          <w:sz w:val="22"/>
        </w:rPr>
        <w:t>Question 8: Strategic Policy Choice: Demographic Parity vs. Equalized Odds (~290 words)</w:t>
      </w:r>
    </w:p>
    <w:p>
      <w:pPr>
        <w:spacing w:after="100"/>
      </w:pPr>
      <w:r>
        <w:t>If forced by a banking regulatory authority to choose between prioritizing Demographic Parity (DP) or Equalized Odds (EO) in retail credit underwriting, I unequivocally recommend prioritizing Equalized Odds (EO).</w:t>
      </w:r>
    </w:p>
    <w:p>
      <w:pPr>
        <w:spacing w:after="100"/>
      </w:pPr>
      <w:r>
        <w:t>Justification Grounded in Empirical Data: In our dataset, creditworthiness is not distributed identically across historical records due to legacy systemic inequities: baseline good credit rates stand at 69.41% for women (59/85) and 71.16% for men (153/215). Under Kleinberg’s Impossibility Theorem, when base rates differ between demographic groups (Y !perp A), Demographic Parity and Equalized Odds are mathematically incompatible with Predictive Parity.</w:t>
      </w:r>
    </w:p>
    <w:p>
      <w:pPr>
        <w:spacing w:after="100"/>
      </w:pPr>
      <w:r>
        <w:t>Prioritizing Equalized Odds aligns lending policy with the ethical imperative of meritocratic fairness: individuals who are genuinely capable of repaying their debts should face the exact same probability of loan approval regardless of their sex. At our recommended threshold of t = 0.35, Equalized Opportunity is maximized: creditworthy females achieve a TPR of 93.22%, virtually matching creditworthy males at 95.42% (a minuscule 2.20% gap, ratio = 0.9769). Furthermore, Predictive Parity is preserved (PP = 1.0255), ensuring that loan approval signals identical repayment probability (76.39% for females vs 74.49% for males).</w:t>
      </w:r>
    </w:p>
    <w:p>
      <w:pPr>
        <w:spacing w:after="100"/>
      </w:pPr>
      <w:r>
        <w:t>The Sacrificed Metric and Why It Is Acceptable: Under this policy, we explicitly sacrifice strict Demographic Parity. At t = 0.35, DP is 0.9292 (a 7.08% shortfall from parity), and at the default threshold of t = 0.55, DP drops to 0.8480 (a 15.20% shortfall).</w:t>
      </w:r>
    </w:p>
    <w:p>
      <w:pPr>
        <w:spacing w:after="100"/>
      </w:pPr>
      <w:r>
        <w:t>Sacrificing pure Demographic Parity is not only acceptable but ethically necessary in consumer credit. Enforcing mathematical parity in acceptance rates (P(Y_hat=1|Female) = P(Y_hat=1|Male)) when underlying income and savings distributions differ would require the financial institution to either: (1) artificially approve un-creditworthy female applicants simply to fulfill a numerical quota, pushing financially vulnerable women into default, asset repossession, and ruined credit scores; or (2) arbitrarily deny creditworthy male applicants who meet all objective underwriting criteria solely because the male quota has been exhausted. Imposing quotas under the guise of Demographic Parity harms the very individuals it purports to protect by saddling them with unmanageable debt burdens. Equalized Odds protects qualified applicants from demographic discrimination while preserving fiscal solvency and institutional trust.</w:t>
      </w:r>
    </w:p>
    <w:p>
      <w:r>
        <w:br w:type="page"/>
      </w:r>
    </w:p>
    <w:p>
      <w:pPr>
        <w:keepNext/>
        <w:spacing w:before="280" w:after="80"/>
      </w:pPr>
      <w:r>
        <w:rPr>
          <w:b/>
          <w:color w:val="1E3A8A"/>
          <w:sz w:val="26"/>
        </w:rPr>
        <w:t>Part 4 — Reflection Essay (~500 words)</w:t>
      </w:r>
    </w:p>
    <w:p>
      <w:r>
        <w:t>"If a policy-maker asked you: 'just give me one number: should we deploy this model or not?', what would you say, and what is the limitation of that 'one number' answer that you discovered yourself through your analysis?"</w:t>
      </w:r>
    </w:p>
    <w:p>
      <w:pPr>
        <w:keepNext/>
        <w:spacing w:before="200" w:after="60"/>
      </w:pPr>
      <w:r>
        <w:rPr>
          <w:b/>
          <w:color w:val="1E40AF"/>
          <w:sz w:val="22"/>
        </w:rPr>
        <w:t>1. Direct Answer (1–2 sentences)</w:t>
      </w:r>
    </w:p>
    <w:p>
      <w:pPr>
        <w:spacing w:after="100"/>
      </w:pPr>
      <w:r>
        <w:t>I would advise conditional deployment under strict segment-specific thresholding and continuous human-in-the-loop audit, because a singular binary metric conceals the fact that deploying this model at default settings maximizes global accuracy while severely degrading equal opportunity for female borrowers and silently failing on high-exposure homeowners.</w:t>
      </w:r>
    </w:p>
    <w:p>
      <w:pPr>
        <w:keepNext/>
        <w:spacing w:before="200" w:after="60"/>
      </w:pPr>
      <w:r>
        <w:rPr>
          <w:b/>
          <w:color w:val="1E40AF"/>
          <w:sz w:val="22"/>
        </w:rPr>
        <w:t>2. Why a Single Number Fails (300–400 words)</w:t>
      </w:r>
    </w:p>
    <w:p>
      <w:pPr>
        <w:spacing w:after="100"/>
      </w:pPr>
      <w:r>
        <w:t>The fundamental lesson of this audit is that summarizing a sociotechnical AI system into a single performance statistic—whether overall accuracy (75.33%), AUC-ROC (0.792), or an aggregate F1-score—is an act of intellectual complacency that masks dangerous structural trade-offs.</w:t>
      </w:r>
    </w:p>
    <w:p>
      <w:pPr>
        <w:spacing w:after="100"/>
      </w:pPr>
      <w:r>
        <w:t>First, aggregate accuracy systematically masks catastrophic subgroup performance collapses. At our model’s peak accuracy operating threshold of t = 0.55 (76.33% overall accuracy), Equalized Odds collapses to a dismal 0.5156, with the model approving non-creditworthy men at nearly double the rate of non-creditworthy women (FPR_Male = 59.68% vs FPR_Female = 30.77%), while female loan approvals plunge to 68.24%. A policymaker celebrating '76% accuracy' is completely blind to the fact that half of the equalized odds metric has been destroyed.</w:t>
      </w:r>
    </w:p>
    <w:p>
      <w:pPr>
        <w:spacing w:after="100"/>
      </w:pPr>
      <w:r>
        <w:t>Second, a single threshold is an unstated value judgment, not a mathematical fact. Choosing between t = 0.35 (prioritizing inclusion and Equalized Odds of 0.8108) and t = 0.55 (prioritizing bank profitability and default suppression) cannot be resolved by data science. It is a political choice trading off borrower economic access against institutional capital loss. Reducing this to an automated 'deploy' decision abdicates societal responsibility to an arbitrary mathematical constant (0.50).</w:t>
      </w:r>
    </w:p>
    <w:p>
      <w:pPr>
        <w:spacing w:after="100"/>
      </w:pPr>
      <w:r>
        <w:t>Third, fairness metrics are mathematically adversarial. As proved by Kleinberg and Chouldechova, when baseline default rates differ (69.41% female vs 71.16% male), Demographic Parity, Equalized Odds, and Predictive Parity cannot simultaneously equal 1.0. Improving DP from 0.7547 to 0.7869 (+4.27%) causes Equalized Odds to plunge from 0.3974 to 0.2981 (-24.99%)—a punishing trade-off cost ratio of 5.85. Any single index obscures which community is bearing the cost of that trade-off.</w:t>
      </w:r>
    </w:p>
    <w:p>
      <w:pPr>
        <w:spacing w:after="100"/>
      </w:pPr>
      <w:r>
        <w:t>Fourth, models fail with extreme confidence on predictable adversarial clusters. Our model confidently misclassified 24 test cases (8.00% of the cohort), projecting P_hat &gt;= 0.75 on defaulting borrowers simply because they were homeowners (83.33%) with moderate checking balances (45.83%), oblivious to their overwhelming credit burden (3,337.50 DM).</w:t>
      </w:r>
    </w:p>
    <w:p>
      <w:pPr>
        <w:spacing w:after="100"/>
      </w:pPr>
      <w:r>
        <w:t>Finally, hidden confounds remain invisible to summary numbers. Purging checking account liquidity caused savings coefficients to artificially inflate by +110.00% and employment weights by +100.31%, proving that observational models readily disguise omitted confounders as legitimate risk signals.</w:t>
      </w:r>
    </w:p>
    <w:p>
      <w:pPr>
        <w:keepNext/>
        <w:spacing w:before="200" w:after="60"/>
      </w:pPr>
      <w:r>
        <w:rPr>
          <w:b/>
          <w:color w:val="1E40AF"/>
          <w:sz w:val="22"/>
        </w:rPr>
        <w:t>3. Grounding in Evidence (50–100 words)</w:t>
      </w:r>
    </w:p>
    <w:p>
      <w:pPr>
        <w:spacing w:after="100"/>
      </w:pPr>
      <w:r>
        <w:t>Every cited limitation is substantiated by our empirical computations: the 30.00% mismatch between Model A and Model B, the Simpson’s sign reversal on existing credits (-0.2203 for young adults vs +0.3083 for mature adults), the 110.00% coefficient inflation under omitted-variable testing, the 24 adversarial failures with 83.33% homeownership, and the plunge in Equalized Odds from 0.8108 at t=0.35 to 0.5156 at t=0.55.</w:t>
      </w:r>
    </w:p>
    <w:p>
      <w:pPr>
        <w:keepNext/>
        <w:spacing w:before="200" w:after="60"/>
      </w:pPr>
      <w:r>
        <w:rPr>
          <w:b/>
          <w:color w:val="1E40AF"/>
          <w:sz w:val="22"/>
        </w:rPr>
        <w:t>4. Closing (50 words)</w:t>
      </w:r>
    </w:p>
    <w:p>
      <w:pPr>
        <w:spacing w:after="100"/>
      </w:pPr>
      <w:r>
        <w:t>Responsible AI deployment is fundamentally an exercise in navigating unavoidable trade-offs, not chasing single-metric optimization. A single number offers executives the illusion of certainty; true algorithmic governance demands transparent exposure of who wins, who loses, and which values are sacrificed at every operational threshold.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Student Enrollment ID: s24bcau0154 | Dataset: German Credit Data (Seed: 154)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CSET485 – AI and Society | Assignment #1: Algorithmic Stress-Testing &amp; Fairness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