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0B1F33"/>
            <w:tcMar>
              <w:top w:w="350" w:type="dxa"/>
              <w:start w:w="300" w:type="dxa"/>
              <w:bottom w:w="350" w:type="dxa"/>
              <w:end w:w="300" w:type="dxa"/>
            </w:tcMar>
          </w:tcPr>
          <w:p>
            <w:r>
              <w:rPr>
                <w:rFonts w:ascii="Aptos" w:hAnsi="Aptos"/>
                <w:b/>
                <w:color w:val="7DD3FC"/>
                <w:sz w:val="28"/>
              </w:rPr>
              <w:t>COVERWISE</w:t>
            </w:r>
          </w:p>
          <w:p>
            <w:pPr>
              <w:spacing w:before="160"/>
            </w:pPr>
            <w:r>
              <w:rPr>
                <w:rFonts w:ascii="Aptos" w:hAnsi="Aptos"/>
                <w:b/>
                <w:color w:val="FFFFFF"/>
                <w:sz w:val="60"/>
              </w:rPr>
              <w:t>Name Clearance &amp;</w:t>
              <w:br/>
              <w:t>Brand Risk Report</w:t>
            </w:r>
          </w:p>
          <w:p>
            <w:pPr>
              <w:spacing w:before="160"/>
            </w:pPr>
            <w:r>
              <w:rPr>
                <w:rFonts w:ascii="Aptos" w:hAnsi="Aptos"/>
                <w:color w:val="D0E7F0"/>
                <w:sz w:val="22"/>
              </w:rPr>
              <w:t>Insurance policy intelligence and management application</w:t>
            </w:r>
          </w:p>
        </w:tc>
      </w:tr>
    </w:tbl>
    <w:p>
      <w:pPr>
        <w:spacing w:before="360"/>
        <w:jc w:val="left"/>
      </w:pPr>
      <w:r>
        <w:rPr>
          <w:rFonts w:ascii="Aptos" w:hAnsi="Aptos"/>
          <w:b/>
          <w:color w:val="667085"/>
          <w:sz w:val="16"/>
        </w:rPr>
        <w:t>DECISION</w:t>
      </w:r>
    </w:p>
    <w:p>
      <w:pPr>
        <w:spacing w:after="80"/>
      </w:pPr>
      <w:r>
        <w:rPr>
          <w:rFonts w:ascii="Aptos" w:hAnsi="Aptos"/>
          <w:b/>
          <w:color w:val="B42318"/>
          <w:sz w:val="44"/>
        </w:rPr>
        <w:t>Rename before public launch.</w:t>
      </w:r>
    </w:p>
    <w:p>
      <w:pPr>
        <w:spacing w:after="280"/>
      </w:pPr>
      <w:r>
        <w:rPr>
          <w:rFonts w:ascii="Aptos" w:hAnsi="Aptos"/>
          <w:color w:val="344054"/>
          <w:sz w:val="22"/>
        </w:rPr>
        <w:t>Keep “CoverWise” only as a temporary internal codename. The public brand is not sufficiently ownable, searchable, or defensible in the insurance category.</w:t>
      </w:r>
    </w:p>
    <w:tbl>
      <w:tblPr>
        <w:tblW w:type="auto" w:w="0"/>
        <w:jc w:val="center"/>
        <w:tblLayout w:type="fixed"/>
        <w:tblLook w:firstColumn="1" w:firstRow="1" w:lastColumn="0" w:lastRow="0" w:noHBand="0" w:noVBand="1" w:val="04A0"/>
      </w:tblPr>
      <w:tblGrid>
        <w:gridCol w:w="3389"/>
        <w:gridCol w:w="3389"/>
        <w:gridCol w:w="3389"/>
      </w:tblGrid>
      <w:tr>
        <w:tc>
          <w:tcPr>
            <w:tcW w:type="dxa" w:w="3240"/>
            <w:shd w:fill="FEE4E2"/>
            <w:tcBorders>
              <w:top w:val="single" w:sz="8" w:color="B42318"/>
              <w:left w:val="single" w:sz="8" w:color="B42318"/>
              <w:bottom w:val="single" w:sz="8" w:color="B42318"/>
              <w:right w:val="single" w:sz="8" w:color="B42318"/>
            </w:tcBorders>
            <w:tcMar>
              <w:top w:w="140" w:type="dxa"/>
              <w:start w:w="120" w:type="dxa"/>
              <w:bottom w:w="140" w:type="dxa"/>
              <w:end w:w="120" w:type="dxa"/>
            </w:tcMar>
          </w:tcPr>
          <w:p>
            <w:pPr>
              <w:jc w:val="center"/>
            </w:pPr>
            <w:r>
              <w:rPr>
                <w:rFonts w:ascii="Aptos" w:hAnsi="Aptos"/>
                <w:b/>
                <w:color w:val="667085"/>
                <w:sz w:val="14"/>
              </w:rPr>
              <w:t>OVERALL RISK</w:t>
            </w:r>
          </w:p>
          <w:p>
            <w:pPr>
              <w:jc w:val="center"/>
            </w:pPr>
            <w:r>
              <w:rPr>
                <w:rFonts w:ascii="Aptos" w:hAnsi="Aptos"/>
                <w:b/>
                <w:color w:val="B42318"/>
                <w:sz w:val="36"/>
              </w:rPr>
              <w:t>RED / 90+</w:t>
            </w:r>
          </w:p>
          <w:p>
            <w:pPr>
              <w:jc w:val="center"/>
            </w:pPr>
            <w:r>
              <w:rPr>
                <w:rFonts w:ascii="Aptos" w:hAnsi="Aptos"/>
                <w:color w:val="475467"/>
                <w:sz w:val="15"/>
              </w:rPr>
              <w:t>Commercial decision score</w:t>
            </w:r>
          </w:p>
        </w:tc>
        <w:tc>
          <w:tcPr>
            <w:tcW w:type="dxa" w:w="3240"/>
            <w:shd w:fill="F2F4F7"/>
            <w:tcBorders>
              <w:top w:val="single" w:sz="8" w:color="D0D5DD"/>
              <w:left w:val="single" w:sz="8" w:color="D0D5DD"/>
              <w:bottom w:val="single" w:sz="8" w:color="D0D5DD"/>
              <w:right w:val="single" w:sz="8" w:color="D0D5DD"/>
            </w:tcBorders>
            <w:tcMar>
              <w:top w:w="140" w:type="dxa"/>
              <w:start w:w="120" w:type="dxa"/>
              <w:bottom w:w="140" w:type="dxa"/>
              <w:end w:w="120" w:type="dxa"/>
            </w:tcMar>
          </w:tcPr>
          <w:p>
            <w:pPr>
              <w:jc w:val="center"/>
            </w:pPr>
            <w:r>
              <w:rPr>
                <w:rFonts w:ascii="Aptos" w:hAnsi="Aptos"/>
                <w:b/>
                <w:color w:val="667085"/>
                <w:sz w:val="14"/>
              </w:rPr>
              <w:t>RENAME COST NOW</w:t>
            </w:r>
          </w:p>
          <w:p>
            <w:pPr>
              <w:jc w:val="center"/>
            </w:pPr>
            <w:r>
              <w:rPr>
                <w:rFonts w:ascii="Aptos" w:hAnsi="Aptos"/>
                <w:b/>
                <w:color w:val="0B1F33"/>
                <w:sz w:val="36"/>
              </w:rPr>
              <w:t>LOW</w:t>
            </w:r>
          </w:p>
          <w:p>
            <w:pPr>
              <w:jc w:val="center"/>
            </w:pPr>
            <w:r>
              <w:rPr>
                <w:rFonts w:ascii="Aptos" w:hAnsi="Aptos"/>
                <w:color w:val="475467"/>
                <w:sz w:val="15"/>
              </w:rPr>
              <w:t>Before store submission</w:t>
            </w:r>
          </w:p>
        </w:tc>
        <w:tc>
          <w:tcPr>
            <w:tcW w:type="dxa" w:w="3240"/>
            <w:shd w:fill="F2F4F7"/>
            <w:tcBorders>
              <w:top w:val="single" w:sz="8" w:color="D0D5DD"/>
              <w:left w:val="single" w:sz="8" w:color="D0D5DD"/>
              <w:bottom w:val="single" w:sz="8" w:color="D0D5DD"/>
              <w:right w:val="single" w:sz="8" w:color="D0D5DD"/>
            </w:tcBorders>
            <w:tcMar>
              <w:top w:w="140" w:type="dxa"/>
              <w:start w:w="120" w:type="dxa"/>
              <w:bottom w:w="140" w:type="dxa"/>
              <w:end w:w="120" w:type="dxa"/>
            </w:tcMar>
          </w:tcPr>
          <w:p>
            <w:pPr>
              <w:jc w:val="center"/>
            </w:pPr>
            <w:r>
              <w:rPr>
                <w:rFonts w:ascii="Aptos" w:hAnsi="Aptos"/>
                <w:b/>
                <w:color w:val="667085"/>
                <w:sz w:val="14"/>
              </w:rPr>
              <w:t>KEEPING COST</w:t>
            </w:r>
          </w:p>
          <w:p>
            <w:pPr>
              <w:jc w:val="center"/>
            </w:pPr>
            <w:r>
              <w:rPr>
                <w:rFonts w:ascii="Aptos" w:hAnsi="Aptos"/>
                <w:b/>
                <w:color w:val="0B1F33"/>
                <w:sz w:val="36"/>
              </w:rPr>
              <w:t>HIGH</w:t>
            </w:r>
          </w:p>
          <w:p>
            <w:pPr>
              <w:jc w:val="center"/>
            </w:pPr>
            <w:r>
              <w:rPr>
                <w:rFonts w:ascii="Aptos" w:hAnsi="Aptos"/>
                <w:color w:val="475467"/>
                <w:sz w:val="15"/>
              </w:rPr>
              <w:t>Permanent confusion tax</w:t>
            </w:r>
          </w:p>
        </w:tc>
      </w:tr>
    </w:tbl>
    <w:p>
      <w:pPr>
        <w:spacing w:before="280"/>
      </w:pPr>
      <w:r>
        <w:rPr>
          <w:rFonts w:ascii="Aptos" w:hAnsi="Aptos"/>
          <w:color w:val="667085"/>
          <w:sz w:val="17"/>
        </w:rPr>
        <w:t>Prepared for Pranay / CoverWise project  •  28 July 2026</w:t>
      </w:r>
    </w:p>
    <w:p>
      <w:r>
        <w:br w:type="page"/>
      </w:r>
    </w:p>
    <w:p>
      <w:pPr>
        <w:pStyle w:val="Heading1"/>
        <w:spacing w:before="240" w:after="120"/>
        <w:keepNext/>
      </w:pPr>
      <w:r>
        <w:rPr>
          <w:rFonts w:ascii="Aptos" w:hAnsi="Aptos"/>
          <w:b/>
          <w:color w:val="0E7490"/>
          <w:sz w:val="20"/>
        </w:rPr>
        <w:t xml:space="preserve">01  </w:t>
      </w:r>
      <w:r>
        <w:rPr>
          <w:rFonts w:ascii="Aptos" w:hAnsi="Aptos"/>
          <w:b/>
          <w:color w:val="0B1F33"/>
          <w:sz w:val="34"/>
        </w:rPr>
        <w:t>Executive decision</w:t>
      </w:r>
    </w:p>
    <w:tbl>
      <w:tblPr>
        <w:tblW w:type="auto" w:w="0"/>
        <w:jc w:val="center"/>
        <w:tblLayout w:type="fixed"/>
        <w:tblLook w:firstColumn="1" w:firstRow="1" w:lastColumn="0" w:lastRow="0" w:noHBand="0" w:noVBand="1" w:val="04A0"/>
      </w:tblPr>
      <w:tblGrid>
        <w:gridCol w:w="10166"/>
      </w:tblGrid>
      <w:tr>
        <w:tc>
          <w:tcPr>
            <w:tcW w:type="dxa" w:w="10166"/>
            <w:shd w:fill="FEE4E2"/>
            <w:tcBorders>
              <w:top w:val="single" w:sz="8" w:color="B42318"/>
              <w:left w:val="single" w:sz="8" w:color="B42318"/>
              <w:bottom w:val="single" w:sz="8" w:color="B42318"/>
              <w:right w:val="single" w:sz="8" w:color="B42318"/>
            </w:tcBorders>
            <w:tcMar>
              <w:top w:w="140" w:type="dxa"/>
              <w:start w:w="170" w:type="dxa"/>
              <w:bottom w:w="140" w:type="dxa"/>
              <w:end w:w="170" w:type="dxa"/>
            </w:tcMar>
          </w:tcPr>
          <w:p>
            <w:pPr>
              <w:spacing w:after="80"/>
            </w:pPr>
            <w:r>
              <w:rPr>
                <w:rFonts w:ascii="Aptos" w:hAnsi="Aptos"/>
                <w:b/>
                <w:color w:val="B42318"/>
                <w:sz w:val="22"/>
              </w:rPr>
              <w:t>Bottom line</w:t>
            </w:r>
          </w:p>
          <w:p>
            <w:pPr>
              <w:spacing w:after="0"/>
            </w:pPr>
            <w:r>
              <w:rPr>
                <w:rFonts w:ascii="Aptos" w:hAnsi="Aptos"/>
                <w:color w:val="344054"/>
                <w:sz w:val="19"/>
              </w:rPr>
              <w:t>The exact iOS name collision is not, by itself, decisive. The decisive fact is the combined conflict set: an exact-name insurance app; an established multinational Coverwise insurance brand; an India-based CoverWise insurance-services presence; and, most importantly, CoverSure, a regulated Indian app with almost the same name, target users, and core feature set.</w:t>
            </w:r>
          </w:p>
        </w:tc>
      </w:tr>
    </w:tbl>
    <w:p>
      <w:pPr>
        <w:spacing w:after="0"/>
      </w:pPr>
    </w:p>
    <w:p>
      <w:pPr>
        <w:spacing w:after="120" w:line="259" w:lineRule="auto"/>
        <w:keepLines/>
      </w:pPr>
      <w:r>
        <w:rPr>
          <w:rFonts w:ascii="Aptos" w:hAnsi="Aptos"/>
          <w:color w:val="344054"/>
          <w:sz w:val="19"/>
        </w:rPr>
        <w:t>Can the name technically be kept? Possibly, in a narrow legal sense, if a full registry search finds no blocking rights in the exact jurisdictions and classes used. That is not the right business question.</w:t>
      </w:r>
    </w:p>
    <w:p>
      <w:pPr>
        <w:spacing w:after="120" w:line="259" w:lineRule="auto"/>
        <w:keepLines/>
      </w:pPr>
      <w:r>
        <w:rPr>
          <w:rFonts w:ascii="Aptos" w:hAnsi="Aptos"/>
          <w:color w:val="344054"/>
          <w:sz w:val="19"/>
        </w:rPr>
        <w:t>Should the name be kept? No. A serious consumer-finance product should not begin life by accepting permanent ambiguity over identity, search results, app-store discovery, customer support, partnerships, and trademark complaints.</w:t>
      </w:r>
    </w:p>
    <w:p>
      <w:pPr>
        <w:pStyle w:val="Heading2"/>
        <w:spacing w:before="160" w:after="80"/>
        <w:keepNext/>
      </w:pPr>
      <w:r>
        <w:rPr>
          <w:rFonts w:ascii="Aptos" w:hAnsi="Aptos"/>
          <w:b/>
          <w:color w:val="0B1F33"/>
          <w:sz w:val="25"/>
        </w:rPr>
        <w:t>What changed after rechecking</w:t>
      </w:r>
    </w:p>
    <w:p>
      <w:pPr>
        <w:pStyle w:val="ListBullet"/>
        <w:spacing w:after="60"/>
        <w:ind w:left="317" w:hanging="173"/>
      </w:pPr>
      <w:r>
        <w:rPr>
          <w:rFonts w:ascii="Aptos" w:hAnsi="Aptos"/>
          <w:color w:val="344054"/>
        </w:rPr>
        <w:t>An exact “Coverwise — Life Insurance” app is live on Apple’s India App Store in the Finance category. It is a narrower life-insurance calculator, but it uses the identical word mark in the same broad category.</w:t>
      </w:r>
      <w:r>
        <w:rPr>
          <w:rFonts w:ascii="Aptos" w:hAnsi="Aptos"/>
          <w:color w:val="0E7490"/>
          <w:sz w:val="15"/>
          <w:vertAlign w:val="superscript"/>
        </w:rPr>
        <w:t xml:space="preserve"> [S1]</w:t>
      </w:r>
    </w:p>
    <w:p>
      <w:pPr>
        <w:pStyle w:val="ListBullet"/>
        <w:spacing w:after="60"/>
        <w:ind w:left="317" w:hanging="173"/>
      </w:pPr>
      <w:r>
        <w:rPr>
          <w:rFonts w:ascii="Aptos" w:hAnsi="Aptos"/>
          <w:color w:val="344054"/>
        </w:rPr>
        <w:t>CoverSure is a materially stronger collision: an Indian insurance-management app with 500K+ Google Play downloads. Its listed functions substantially overlap CoverWise: policy portfolio, policy explanations, coverage gaps, risk monitoring, family sharing, emergency assistance, claims support, and renewal reminders.</w:t>
      </w:r>
      <w:r>
        <w:rPr>
          <w:rFonts w:ascii="Aptos" w:hAnsi="Aptos"/>
          <w:color w:val="0E7490"/>
          <w:sz w:val="15"/>
          <w:vertAlign w:val="superscript"/>
        </w:rPr>
        <w:t xml:space="preserve"> [S2, S3, S4]</w:t>
      </w:r>
    </w:p>
    <w:p>
      <w:pPr>
        <w:pStyle w:val="ListBullet"/>
        <w:spacing w:after="60"/>
        <w:ind w:left="317" w:hanging="173"/>
      </w:pPr>
      <w:r>
        <w:rPr>
          <w:rFonts w:ascii="Aptos" w:hAnsi="Aptos"/>
          <w:color w:val="344054"/>
        </w:rPr>
        <w:t>Claycove23 Insurance Tech, the company behind CoverSure, appears in IRDAI’s corporate-agent list as CA0894, Composite, valid through 9 January 2027.</w:t>
      </w:r>
      <w:r>
        <w:rPr>
          <w:rFonts w:ascii="Aptos" w:hAnsi="Aptos"/>
          <w:color w:val="0E7490"/>
          <w:sz w:val="15"/>
          <w:vertAlign w:val="superscript"/>
        </w:rPr>
        <w:t xml:space="preserve"> [S5]</w:t>
      </w:r>
    </w:p>
    <w:p>
      <w:pPr>
        <w:pStyle w:val="ListBullet"/>
        <w:spacing w:after="60"/>
        <w:ind w:left="317" w:hanging="173"/>
      </w:pPr>
      <w:r>
        <w:rPr>
          <w:rFonts w:ascii="Aptos" w:hAnsi="Aptos"/>
          <w:color w:val="344054"/>
        </w:rPr>
        <w:t>The exact Coverwise word is already used by an active multinational travel-insurance business and by other insurance businesses in India, Australia, South Africa, and the United States.</w:t>
      </w:r>
      <w:r>
        <w:rPr>
          <w:rFonts w:ascii="Aptos" w:hAnsi="Aptos"/>
          <w:color w:val="0E7490"/>
          <w:sz w:val="15"/>
          <w:vertAlign w:val="superscript"/>
        </w:rPr>
        <w:t xml:space="preserve"> [S6, S7, S8, S9, S10, S11]</w:t>
      </w:r>
    </w:p>
    <w:p>
      <w:pPr>
        <w:pStyle w:val="Heading2"/>
        <w:spacing w:before="160" w:after="80"/>
        <w:keepNext/>
      </w:pPr>
      <w:r>
        <w:rPr>
          <w:rFonts w:ascii="Aptos" w:hAnsi="Aptos"/>
          <w:b/>
          <w:color w:val="0B1F33"/>
          <w:sz w:val="25"/>
        </w:rPr>
        <w:t>Recommendation hierarchy</w:t>
      </w:r>
    </w:p>
    <w:tbl>
      <w:tblPr>
        <w:tblW w:type="auto" w:w="0"/>
        <w:jc w:val="center"/>
        <w:tblLayout w:type="fixed"/>
        <w:tblLook w:firstColumn="1" w:firstRow="1" w:lastColumn="0" w:lastRow="0" w:noHBand="0" w:noVBand="1" w:val="04A0"/>
      </w:tblPr>
      <w:tblGrid>
        <w:gridCol w:w="2541"/>
        <w:gridCol w:w="2541"/>
        <w:gridCol w:w="2541"/>
        <w:gridCol w:w="2541"/>
      </w:tblGrid>
      <w:tr>
        <w:trPr>
          <w:cantSplit w:val="true"/>
          <w:tblHeader w:val="true"/>
        </w:trPr>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7"/>
              </w:rPr>
              <w:t>Option</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7"/>
              </w:rPr>
              <w:t>Decision</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7"/>
              </w:rPr>
              <w:t>Risk</w:t>
            </w:r>
          </w:p>
        </w:tc>
        <w:tc>
          <w:tcPr>
            <w:tcW w:type="dxa" w:w="38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7"/>
              </w:rPr>
              <w:t>Use</w:t>
            </w:r>
          </w:p>
        </w:tc>
      </w:tr>
      <w:tr>
        <w:trPr>
          <w:cantSplit w:val="true"/>
        </w:trPr>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Rename public brand</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7"/>
              </w:rPr>
              <w:t>RECOMMENDED</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Low future risk</w:t>
            </w:r>
          </w:p>
        </w:tc>
        <w:tc>
          <w:tcPr>
            <w:tcW w:type="dxa" w:w="38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Proceed now, before public store submission</w:t>
            </w:r>
          </w:p>
        </w:tc>
      </w:tr>
      <w:tr>
        <w:trPr>
          <w:cantSplit w:val="true"/>
        </w:trPr>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Keep as internal codename</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7"/>
              </w:rPr>
              <w:t>ACCEPTABLE</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Low external risk</w:t>
            </w:r>
          </w:p>
        </w:tc>
        <w:tc>
          <w:tcPr>
            <w:tcW w:type="dxa" w:w="38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Temporary repo/project label only</w:t>
            </w:r>
          </w:p>
        </w:tc>
      </w:tr>
      <w:tr>
        <w:trPr>
          <w:cantSplit w:val="true"/>
        </w:trPr>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Add a suffix: AI / App / India</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7"/>
              </w:rPr>
              <w:t>REJECT</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Still high</w:t>
            </w:r>
          </w:p>
        </w:tc>
        <w:tc>
          <w:tcPr>
            <w:tcW w:type="dxa" w:w="38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Does not cure the dominant-name collision</w:t>
            </w:r>
          </w:p>
        </w:tc>
      </w:tr>
      <w:tr>
        <w:trPr>
          <w:cantSplit w:val="true"/>
        </w:trPr>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Launch as CoverWise</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7"/>
              </w:rPr>
              <w:t>REJECT</w:t>
            </w:r>
          </w:p>
        </w:tc>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High to critical</w:t>
            </w:r>
          </w:p>
        </w:tc>
        <w:tc>
          <w:tcPr>
            <w:tcW w:type="dxa" w:w="38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Avoid</w:t>
            </w:r>
          </w:p>
        </w:tc>
      </w:tr>
    </w:tbl>
    <w:p>
      <w:r>
        <w:br w:type="page"/>
      </w:r>
    </w:p>
    <w:p>
      <w:pPr>
        <w:pStyle w:val="Heading1"/>
        <w:spacing w:before="240" w:after="120"/>
        <w:keepNext/>
      </w:pPr>
      <w:r>
        <w:rPr>
          <w:rFonts w:ascii="Aptos" w:hAnsi="Aptos"/>
          <w:b/>
          <w:color w:val="0E7490"/>
          <w:sz w:val="20"/>
        </w:rPr>
        <w:t xml:space="preserve">02  </w:t>
      </w:r>
      <w:r>
        <w:rPr>
          <w:rFonts w:ascii="Aptos" w:hAnsi="Aptos"/>
          <w:b/>
          <w:color w:val="0B1F33"/>
          <w:sz w:val="34"/>
        </w:rPr>
        <w:t>Scope and method</w:t>
      </w:r>
    </w:p>
    <w:p>
      <w:pPr>
        <w:spacing w:after="120" w:line="259" w:lineRule="auto"/>
        <w:keepLines/>
      </w:pPr>
      <w:r>
        <w:rPr>
          <w:rFonts w:ascii="Aptos" w:hAnsi="Aptos"/>
          <w:color w:val="344054"/>
          <w:sz w:val="19"/>
        </w:rPr>
        <w:t>This is a preliminary commercial and legal-risk clearance report, not a formal legal opinion. It evaluates the name against the actual product being built: an insurance policy-information assistant with document storage/viewing, cited extraction, policy Q&amp;A, renewals, claims support, emergency access, and policy comparison.</w:t>
      </w:r>
    </w:p>
    <w:p>
      <w:pPr>
        <w:pStyle w:val="Heading2"/>
        <w:spacing w:before="160" w:after="80"/>
        <w:keepNext/>
      </w:pPr>
      <w:r>
        <w:rPr>
          <w:rFonts w:ascii="Aptos" w:hAnsi="Aptos"/>
          <w:b/>
          <w:color w:val="0B1F33"/>
          <w:sz w:val="25"/>
        </w:rPr>
        <w:t>Research layers</w:t>
      </w:r>
    </w:p>
    <w:tbl>
      <w:tblPr>
        <w:tblW w:type="auto" w:w="0"/>
        <w:jc w:val="center"/>
        <w:tblLayout w:type="fixed"/>
        <w:tblLook w:firstColumn="1" w:firstRow="1" w:lastColumn="0" w:lastRow="0" w:noHBand="0" w:noVBand="1" w:val="04A0"/>
      </w:tblPr>
      <w:tblGrid>
        <w:gridCol w:w="3389"/>
        <w:gridCol w:w="3389"/>
        <w:gridCol w:w="3389"/>
      </w:tblGrid>
      <w:tr>
        <w:trPr>
          <w:cantSplit w:val="true"/>
          <w:tblHeader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7"/>
              </w:rPr>
              <w:t>Layer</w:t>
            </w:r>
          </w:p>
        </w:tc>
        <w:tc>
          <w:tcPr>
            <w:tcW w:type="dxa" w:w="44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7"/>
              </w:rPr>
              <w:t>What was checked</w:t>
            </w:r>
          </w:p>
        </w:tc>
        <w:tc>
          <w:tcPr>
            <w:tcW w:type="dxa" w:w="36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7"/>
              </w:rPr>
              <w:t>Evidence standard</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Marketplace</w:t>
            </w:r>
          </w:p>
        </w:tc>
        <w:tc>
          <w:tcPr>
            <w:tcW w:type="dxa" w:w="44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App stores, websites, companies, active products</w:t>
            </w:r>
          </w:p>
        </w:tc>
        <w:tc>
          <w:tcPr>
            <w:tcW w:type="dxa" w:w="36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Official platform pages and first-party sites</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Regulatory</w:t>
            </w:r>
          </w:p>
        </w:tc>
        <w:tc>
          <w:tcPr>
            <w:tcW w:type="dxa" w:w="44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IRDAI status for the closest Indian competitor</w:t>
            </w:r>
          </w:p>
        </w:tc>
        <w:tc>
          <w:tcPr>
            <w:tcW w:type="dxa" w:w="36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Official regulator listing</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Trademark law</w:t>
            </w:r>
          </w:p>
        </w:tc>
        <w:tc>
          <w:tcPr>
            <w:tcW w:type="dxa" w:w="44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Confusion standard and relevant Nice classes</w:t>
            </w:r>
          </w:p>
        </w:tc>
        <w:tc>
          <w:tcPr>
            <w:tcW w:type="dxa" w:w="36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7"/>
              </w:rPr>
              <w:t>Indian statute and WIPO classification</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Platform policy</w:t>
            </w:r>
          </w:p>
        </w:tc>
        <w:tc>
          <w:tcPr>
            <w:tcW w:type="dxa" w:w="44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Apple and Google Play IP / impersonation rules</w:t>
            </w:r>
          </w:p>
        </w:tc>
        <w:tc>
          <w:tcPr>
            <w:tcW w:type="dxa" w:w="36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7"/>
              </w:rPr>
              <w:t>Official developer policies</w:t>
            </w:r>
          </w:p>
        </w:tc>
      </w:tr>
    </w:tbl>
    <w:p>
      <w:pPr>
        <w:pStyle w:val="Heading2"/>
        <w:spacing w:before="160" w:after="80"/>
        <w:keepNext/>
      </w:pPr>
      <w:r>
        <w:rPr>
          <w:rFonts w:ascii="Aptos" w:hAnsi="Aptos"/>
          <w:b/>
          <w:color w:val="0B1F33"/>
          <w:sz w:val="25"/>
        </w:rPr>
        <w:t>Evidence caveat</w:t>
      </w:r>
    </w:p>
    <w:tbl>
      <w:tblPr>
        <w:tblW w:type="auto" w:w="0"/>
        <w:jc w:val="center"/>
        <w:tblLayout w:type="fixed"/>
        <w:tblLook w:firstColumn="1" w:firstRow="1" w:lastColumn="0" w:lastRow="0" w:noHBand="0" w:noVBand="1" w:val="04A0"/>
      </w:tblPr>
      <w:tblGrid>
        <w:gridCol w:w="10166"/>
      </w:tblGrid>
      <w:tr>
        <w:tc>
          <w:tcPr>
            <w:tcW w:type="dxa" w:w="10166"/>
            <w:shd w:fill="FEF0C7"/>
            <w:tcBorders>
              <w:top w:val="single" w:sz="8" w:color="B54708"/>
              <w:left w:val="single" w:sz="8" w:color="B54708"/>
              <w:bottom w:val="single" w:sz="8" w:color="B54708"/>
              <w:right w:val="single" w:sz="8" w:color="B54708"/>
            </w:tcBorders>
            <w:tcMar>
              <w:top w:w="140" w:type="dxa"/>
              <w:start w:w="170" w:type="dxa"/>
              <w:bottom w:w="140" w:type="dxa"/>
              <w:end w:w="170" w:type="dxa"/>
            </w:tcMar>
          </w:tcPr>
          <w:p>
            <w:pPr>
              <w:spacing w:after="80"/>
            </w:pPr>
            <w:r>
              <w:rPr>
                <w:rFonts w:ascii="Aptos" w:hAnsi="Aptos"/>
                <w:b/>
                <w:color w:val="B54708"/>
                <w:sz w:val="22"/>
              </w:rPr>
              <w:t>Registry limitation</w:t>
            </w:r>
          </w:p>
          <w:p>
            <w:pPr>
              <w:spacing w:after="0"/>
            </w:pPr>
            <w:r>
              <w:rPr>
                <w:rFonts w:ascii="Aptos" w:hAnsi="Aptos"/>
                <w:color w:val="344054"/>
                <w:sz w:val="19"/>
              </w:rPr>
              <w:t>India’s official trademark public search is interactive and was not reliably queryable through this research environment. UK/EU secondary trademark databases surfaced COVERWISE registrations, but those records must be rechecked in the official registries. Therefore, the report makes a strong rename recommendation without pretending that a complete legal clearance has been completed.</w:t>
            </w:r>
          </w:p>
        </w:tc>
      </w:tr>
    </w:tbl>
    <w:p>
      <w:pPr>
        <w:spacing w:after="0"/>
      </w:pPr>
    </w:p>
    <w:p>
      <w:pPr>
        <w:pStyle w:val="Heading2"/>
        <w:spacing w:before="160" w:after="80"/>
        <w:keepNext/>
      </w:pPr>
      <w:r>
        <w:rPr>
          <w:rFonts w:ascii="Aptos" w:hAnsi="Aptos"/>
          <w:b/>
          <w:color w:val="0B1F33"/>
          <w:sz w:val="25"/>
        </w:rPr>
        <w:t>Decision model</w:t>
      </w:r>
    </w:p>
    <w:p>
      <w:pPr>
        <w:spacing w:after="120" w:line="259" w:lineRule="auto"/>
        <w:keepLines/>
      </w:pPr>
      <w:r>
        <w:rPr>
          <w:rFonts w:ascii="Aptos" w:hAnsi="Aptos"/>
          <w:color w:val="344054"/>
          <w:sz w:val="19"/>
        </w:rPr>
        <w:t>A name is treated as an asset only when it is ownable, distinguishable, discoverable, trusted, extensible, and operationally inexpensive. “Legally possible” is only one gate. A name that imposes a permanent confusion tax is a bad asset even before litigation becomes likely.</w:t>
      </w:r>
    </w:p>
    <w:p>
      <w:pPr>
        <w:pStyle w:val="Heading1"/>
        <w:spacing w:before="240" w:after="120"/>
        <w:keepNext/>
      </w:pPr>
      <w:r>
        <w:rPr>
          <w:rFonts w:ascii="Aptos" w:hAnsi="Aptos"/>
          <w:b/>
          <w:color w:val="0E7490"/>
          <w:sz w:val="20"/>
        </w:rPr>
        <w:t xml:space="preserve">03  </w:t>
      </w:r>
      <w:r>
        <w:rPr>
          <w:rFonts w:ascii="Aptos" w:hAnsi="Aptos"/>
          <w:b/>
          <w:color w:val="0B1F33"/>
          <w:sz w:val="34"/>
        </w:rPr>
        <w:t>Conflict landscape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val="true"/>
          <w:tblHeader w:val="true"/>
        </w:trPr>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Name / entity</w:t>
            </w:r>
          </w:p>
        </w:tc>
        <w:tc>
          <w:tcPr>
            <w:tcW w:type="dxa" w:w="15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Market</w:t>
            </w:r>
          </w:p>
        </w:tc>
        <w:tc>
          <w:tcPr>
            <w:tcW w:type="dxa" w:w="288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Overlap</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Evidence</w:t>
            </w:r>
          </w:p>
        </w:tc>
        <w:tc>
          <w:tcPr>
            <w:tcW w:type="dxa" w:w="122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Severity</w:t>
            </w:r>
          </w:p>
        </w:tc>
      </w:tr>
      <w:tr>
        <w:trPr>
          <w:cantSplit w:val="true"/>
        </w:trPr>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Coverwise — Life Insurance</w:t>
            </w:r>
          </w:p>
        </w:tc>
        <w:tc>
          <w:tcPr>
            <w:tcW w:type="dxa" w:w="15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Apple App Store, India</w:t>
            </w:r>
          </w:p>
        </w:tc>
        <w:tc>
          <w:tcPr>
            <w:tcW w:type="dxa" w:w="288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Exact name; Finance; insurance calculator</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Live listing [S1]</w:t>
            </w:r>
          </w:p>
        </w:tc>
        <w:tc>
          <w:tcPr>
            <w:tcW w:type="dxa" w:w="122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HIGH</w:t>
            </w:r>
          </w:p>
        </w:tc>
      </w:tr>
      <w:tr>
        <w:trPr>
          <w:cantSplit w:val="true"/>
        </w:trPr>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CoverSure</w:t>
            </w:r>
          </w:p>
        </w:tc>
        <w:tc>
          <w:tcPr>
            <w:tcW w:type="dxa" w:w="15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India; iOS + Android</w:t>
            </w:r>
          </w:p>
        </w:tc>
        <w:tc>
          <w:tcPr>
            <w:tcW w:type="dxa" w:w="288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Near-identical sound; direct policy-management overlap</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500K+ Play downloads; IRDAI corporate agent [S2-S5]</w:t>
            </w:r>
          </w:p>
        </w:tc>
        <w:tc>
          <w:tcPr>
            <w:tcW w:type="dxa" w:w="122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CRITICAL</w:t>
            </w:r>
          </w:p>
        </w:tc>
      </w:tr>
      <w:tr>
        <w:trPr>
          <w:cantSplit w:val="true"/>
        </w:trPr>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Coverwise Limited</w:t>
            </w:r>
          </w:p>
        </w:tc>
        <w:tc>
          <w:tcPr>
            <w:tcW w:type="dxa" w:w="15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UK / Europe / global</w:t>
            </w:r>
          </w:p>
        </w:tc>
        <w:tc>
          <w:tcPr>
            <w:tcW w:type="dxa" w:w="288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Exact insurance brand; travel insurance</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Active country sites; regulated intermediary [S6-S7]</w:t>
            </w:r>
          </w:p>
        </w:tc>
        <w:tc>
          <w:tcPr>
            <w:tcW w:type="dxa" w:w="122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HIGH</w:t>
            </w:r>
          </w:p>
        </w:tc>
      </w:tr>
      <w:tr>
        <w:trPr>
          <w:cantSplit w:val="true"/>
        </w:trPr>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Coverwise.co.in</w:t>
            </w:r>
          </w:p>
        </w:tc>
        <w:tc>
          <w:tcPr>
            <w:tcW w:type="dxa" w:w="15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India</w:t>
            </w:r>
          </w:p>
        </w:tc>
        <w:tc>
          <w:tcPr>
            <w:tcW w:type="dxa" w:w="288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Exact name; health, travel, life and other insurance services</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Active site; regulatory claims on site not relied upon [S8]</w:t>
            </w:r>
          </w:p>
        </w:tc>
        <w:tc>
          <w:tcPr>
            <w:tcW w:type="dxa" w:w="122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HIGH</w:t>
            </w:r>
          </w:p>
        </w:tc>
      </w:tr>
      <w:tr>
        <w:trPr>
          <w:cantSplit w:val="true"/>
        </w:trPr>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CoverWise REI</w:t>
            </w:r>
          </w:p>
        </w:tc>
        <w:tc>
          <w:tcPr>
            <w:tcW w:type="dxa" w:w="15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Australia</w:t>
            </w:r>
          </w:p>
        </w:tc>
        <w:tc>
          <w:tcPr>
            <w:tcW w:type="dxa" w:w="288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Exact name; insurance brokerage</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Active company and government ABN record [S9-S10]</w:t>
            </w:r>
          </w:p>
        </w:tc>
        <w:tc>
          <w:tcPr>
            <w:tcW w:type="dxa" w:w="122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MEDIUM-HIGH</w:t>
            </w:r>
          </w:p>
        </w:tc>
      </w:tr>
      <w:tr>
        <w:trPr>
          <w:cantSplit w:val="true"/>
        </w:trPr>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Other CoverWise firms</w:t>
            </w:r>
          </w:p>
        </w:tc>
        <w:tc>
          <w:tcPr>
            <w:tcW w:type="dxa" w:w="15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South Africa / US</w:t>
            </w:r>
          </w:p>
        </w:tc>
        <w:tc>
          <w:tcPr>
            <w:tcW w:type="dxa" w:w="288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Exact name; insurance and financial services</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Active sites [S11-S12]</w:t>
            </w:r>
          </w:p>
        </w:tc>
        <w:tc>
          <w:tcPr>
            <w:tcW w:type="dxa" w:w="122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MEDIUM</w:t>
            </w:r>
          </w:p>
        </w:tc>
      </w:tr>
    </w:tbl>
    <w:p>
      <w:pPr>
        <w:pStyle w:val="Heading2"/>
        <w:spacing w:before="160" w:after="80"/>
        <w:keepNext/>
      </w:pPr>
      <w:r>
        <w:rPr>
          <w:rFonts w:ascii="Aptos" w:hAnsi="Aptos"/>
          <w:b/>
          <w:color w:val="0B1F33"/>
          <w:sz w:val="25"/>
        </w:rPr>
        <w:t>The dangerous comparison is CoverSure, not the small exact-name app</w:t>
      </w:r>
    </w:p>
    <w:p>
      <w:pPr>
        <w:spacing w:after="120" w:line="259" w:lineRule="auto"/>
        <w:keepLines/>
      </w:pPr>
      <w:r>
        <w:rPr>
          <w:rFonts w:ascii="Aptos" w:hAnsi="Aptos"/>
          <w:color w:val="344054"/>
          <w:sz w:val="19"/>
        </w:rPr>
        <w:t>The exact-name iOS app proves that the app-store namespace is already occupied. CoverSure creates the larger strategic and confusion risk because a user hearing “CoverWise” and “CoverSure” encounters two Indian insurance products promising to organise policies, explain coverage, identify gaps, help with claims, and keep families prepared.</w:t>
      </w:r>
      <w:r>
        <w:rPr>
          <w:rFonts w:ascii="Aptos" w:hAnsi="Aptos"/>
          <w:color w:val="0E7490"/>
          <w:sz w:val="15"/>
          <w:vertAlign w:val="superscript"/>
        </w:rPr>
        <w:t xml:space="preserve"> [S1, S2, S3, S4]</w:t>
      </w:r>
    </w:p>
    <w:tbl>
      <w:tblPr>
        <w:tblW w:type="auto" w:w="0"/>
        <w:jc w:val="center"/>
        <w:tblLayout w:type="fixed"/>
        <w:tblLook w:firstColumn="1" w:firstRow="1" w:lastColumn="0" w:lastRow="0" w:noHBand="0" w:noVBand="1" w:val="04A0"/>
      </w:tblPr>
      <w:tblGrid>
        <w:gridCol w:w="3389"/>
        <w:gridCol w:w="3389"/>
        <w:gridCol w:w="3389"/>
      </w:tblGrid>
      <w:tr>
        <w:trPr>
          <w:cantSplit w:val="true"/>
          <w:tblHeader w:val="true"/>
        </w:trPr>
        <w:tc>
          <w:tcPr>
            <w:tcW w:type="dxa" w:w="35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Capability</w:t>
            </w:r>
          </w:p>
        </w:tc>
        <w:tc>
          <w:tcPr>
            <w:tcW w:type="dxa" w:w="30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CoverWise project</w:t>
            </w:r>
          </w:p>
        </w:tc>
        <w:tc>
          <w:tcPr>
            <w:tcW w:type="dxa" w:w="33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CoverSure public product</w:t>
            </w:r>
          </w:p>
        </w:tc>
      </w:tr>
      <w:tr>
        <w:trPr>
          <w:cantSplit w:val="true"/>
        </w:trPr>
        <w:tc>
          <w:tcPr>
            <w:tcW w:type="dxa" w:w="35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All policies in one place</w:t>
            </w:r>
          </w:p>
        </w:tc>
        <w:tc>
          <w:tcPr>
            <w:tcW w:type="dxa" w:w="30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Yes</w:t>
            </w:r>
          </w:p>
        </w:tc>
        <w:tc>
          <w:tcPr>
            <w:tcW w:type="dxa" w:w="33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Yes</w:t>
            </w:r>
          </w:p>
        </w:tc>
      </w:tr>
      <w:tr>
        <w:trPr>
          <w:cantSplit w:val="true"/>
        </w:trPr>
        <w:tc>
          <w:tcPr>
            <w:tcW w:type="dxa" w:w="35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Explain policy coverage / fine print</w:t>
            </w:r>
          </w:p>
        </w:tc>
        <w:tc>
          <w:tcPr>
            <w:tcW w:type="dxa" w:w="30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Yes</w:t>
            </w:r>
          </w:p>
        </w:tc>
        <w:tc>
          <w:tcPr>
            <w:tcW w:type="dxa" w:w="33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Yes</w:t>
            </w:r>
          </w:p>
        </w:tc>
      </w:tr>
      <w:tr>
        <w:trPr>
          <w:cantSplit w:val="true"/>
        </w:trPr>
        <w:tc>
          <w:tcPr>
            <w:tcW w:type="dxa" w:w="35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Coverage-gap analysis</w:t>
            </w:r>
          </w:p>
        </w:tc>
        <w:tc>
          <w:tcPr>
            <w:tcW w:type="dxa" w:w="30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Planned / present in product direction</w:t>
            </w:r>
          </w:p>
        </w:tc>
        <w:tc>
          <w:tcPr>
            <w:tcW w:type="dxa" w:w="33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Yes</w:t>
            </w:r>
          </w:p>
        </w:tc>
      </w:tr>
      <w:tr>
        <w:trPr>
          <w:cantSplit w:val="true"/>
        </w:trPr>
        <w:tc>
          <w:tcPr>
            <w:tcW w:type="dxa" w:w="35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Renewal reminders</w:t>
            </w:r>
          </w:p>
        </w:tc>
        <w:tc>
          <w:tcPr>
            <w:tcW w:type="dxa" w:w="30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Yes</w:t>
            </w:r>
          </w:p>
        </w:tc>
        <w:tc>
          <w:tcPr>
            <w:tcW w:type="dxa" w:w="33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Yes</w:t>
            </w:r>
          </w:p>
        </w:tc>
      </w:tr>
      <w:tr>
        <w:trPr>
          <w:cantSplit w:val="true"/>
        </w:trPr>
        <w:tc>
          <w:tcPr>
            <w:tcW w:type="dxa" w:w="35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Claims assistance / tracking</w:t>
            </w:r>
          </w:p>
        </w:tc>
        <w:tc>
          <w:tcPr>
            <w:tcW w:type="dxa" w:w="30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Yes</w:t>
            </w:r>
          </w:p>
        </w:tc>
        <w:tc>
          <w:tcPr>
            <w:tcW w:type="dxa" w:w="33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Yes</w:t>
            </w:r>
          </w:p>
        </w:tc>
      </w:tr>
      <w:tr>
        <w:trPr>
          <w:cantSplit w:val="true"/>
        </w:trPr>
        <w:tc>
          <w:tcPr>
            <w:tcW w:type="dxa" w:w="35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Family or emergency access</w:t>
            </w:r>
          </w:p>
        </w:tc>
        <w:tc>
          <w:tcPr>
            <w:tcW w:type="dxa" w:w="30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Yes</w:t>
            </w:r>
          </w:p>
        </w:tc>
        <w:tc>
          <w:tcPr>
            <w:tcW w:type="dxa" w:w="33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Yes</w:t>
            </w:r>
          </w:p>
        </w:tc>
      </w:tr>
      <w:tr>
        <w:trPr>
          <w:cantSplit w:val="true"/>
        </w:trPr>
        <w:tc>
          <w:tcPr>
            <w:tcW w:type="dxa" w:w="35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Insurance Q&amp;A / expert guidance</w:t>
            </w:r>
          </w:p>
        </w:tc>
        <w:tc>
          <w:tcPr>
            <w:tcW w:type="dxa" w:w="30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AI policy Q&amp;A</w:t>
            </w:r>
          </w:p>
        </w:tc>
        <w:tc>
          <w:tcPr>
            <w:tcW w:type="dxa" w:w="33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Advisor and app guidance</w:t>
            </w:r>
          </w:p>
        </w:tc>
      </w:tr>
      <w:tr>
        <w:trPr>
          <w:cantSplit w:val="true"/>
        </w:trPr>
        <w:tc>
          <w:tcPr>
            <w:tcW w:type="dxa" w:w="35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Primary India consumer market</w:t>
            </w:r>
          </w:p>
        </w:tc>
        <w:tc>
          <w:tcPr>
            <w:tcW w:type="dxa" w:w="30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Yes</w:t>
            </w:r>
          </w:p>
        </w:tc>
        <w:tc>
          <w:tcPr>
            <w:tcW w:type="dxa" w:w="331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Yes</w:t>
            </w:r>
          </w:p>
        </w:tc>
      </w:tr>
    </w:tbl>
    <w:tbl>
      <w:tblPr>
        <w:tblW w:type="auto" w:w="0"/>
        <w:jc w:val="center"/>
        <w:tblLayout w:type="fixed"/>
        <w:tblLook w:firstColumn="1" w:firstRow="1" w:lastColumn="0" w:lastRow="0" w:noHBand="0" w:noVBand="1" w:val="04A0"/>
      </w:tblPr>
      <w:tblGrid>
        <w:gridCol w:w="10166"/>
      </w:tblGrid>
      <w:tr>
        <w:tc>
          <w:tcPr>
            <w:tcW w:type="dxa" w:w="10166"/>
            <w:shd w:fill="DFF6FC"/>
            <w:tcBorders>
              <w:top w:val="single" w:sz="8" w:color="0E7490"/>
              <w:left w:val="single" w:sz="8" w:color="0E7490"/>
              <w:bottom w:val="single" w:sz="8" w:color="0E7490"/>
              <w:right w:val="single" w:sz="8" w:color="0E7490"/>
            </w:tcBorders>
            <w:tcMar>
              <w:top w:w="140" w:type="dxa"/>
              <w:start w:w="170" w:type="dxa"/>
              <w:bottom w:w="140" w:type="dxa"/>
              <w:end w:w="170" w:type="dxa"/>
            </w:tcMar>
          </w:tcPr>
          <w:p>
            <w:pPr>
              <w:spacing w:after="80"/>
            </w:pPr>
            <w:r>
              <w:rPr>
                <w:rFonts w:ascii="Aptos" w:hAnsi="Aptos"/>
                <w:b/>
                <w:color w:val="0E7490"/>
                <w:sz w:val="22"/>
              </w:rPr>
              <w:t>Strategic inference</w:t>
            </w:r>
          </w:p>
          <w:p>
            <w:pPr>
              <w:spacing w:after="0"/>
            </w:pPr>
            <w:r>
              <w:rPr>
                <w:rFonts w:ascii="Aptos" w:hAnsi="Aptos"/>
                <w:color w:val="344054"/>
                <w:sz w:val="19"/>
              </w:rPr>
              <w:t>Even if a lawyer concluded that CoverWise and CoverSure can coexist, users, partners, app stores, search engines, and support teams would still pay the cost of explaining the difference. That cost compounds with every launch, campaign, referral, and expansion.</w:t>
            </w:r>
          </w:p>
        </w:tc>
      </w:tr>
    </w:tbl>
    <w:p>
      <w:pPr>
        <w:spacing w:after="0"/>
      </w:pPr>
    </w:p>
    <w:p>
      <w:r>
        <w:br w:type="page"/>
      </w:r>
    </w:p>
    <w:p>
      <w:pPr>
        <w:pStyle w:val="Heading1"/>
        <w:spacing w:before="240" w:after="120"/>
        <w:keepNext/>
      </w:pPr>
      <w:r>
        <w:rPr>
          <w:rFonts w:ascii="Aptos" w:hAnsi="Aptos"/>
          <w:b/>
          <w:color w:val="0E7490"/>
          <w:sz w:val="20"/>
        </w:rPr>
        <w:t xml:space="preserve">04  </w:t>
      </w:r>
      <w:r>
        <w:rPr>
          <w:rFonts w:ascii="Aptos" w:hAnsi="Aptos"/>
          <w:b/>
          <w:color w:val="0B1F33"/>
          <w:sz w:val="34"/>
        </w:rPr>
        <w:t>Trademark and platform analysis</w:t>
      </w:r>
    </w:p>
    <w:p>
      <w:pPr>
        <w:pStyle w:val="Heading2"/>
        <w:spacing w:before="160" w:after="80"/>
        <w:keepNext/>
      </w:pPr>
      <w:r>
        <w:rPr>
          <w:rFonts w:ascii="Aptos" w:hAnsi="Aptos"/>
          <w:b/>
          <w:color w:val="0B1F33"/>
          <w:sz w:val="25"/>
        </w:rPr>
        <w:t>Indian confusion standard</w:t>
      </w:r>
    </w:p>
    <w:p>
      <w:pPr>
        <w:spacing w:after="120" w:line="259" w:lineRule="auto"/>
        <w:keepLines/>
      </w:pPr>
      <w:r>
        <w:rPr>
          <w:rFonts w:ascii="Aptos" w:hAnsi="Aptos"/>
          <w:color w:val="344054"/>
          <w:sz w:val="19"/>
        </w:rPr>
        <w:t>Section 11 of India’s Trade Marks Act blocks registration where identity or similarity of marks, combined with identity or similarity of goods or services, creates a likelihood of public confusion or association. It also recognises passing-off rights in unregistered marks used in trade.</w:t>
      </w:r>
      <w:r>
        <w:rPr>
          <w:rFonts w:ascii="Aptos" w:hAnsi="Aptos"/>
          <w:color w:val="0E7490"/>
          <w:sz w:val="15"/>
          <w:vertAlign w:val="superscript"/>
        </w:rPr>
        <w:t xml:space="preserve"> [S13]</w:t>
      </w:r>
    </w:p>
    <w:p>
      <w:pPr>
        <w:pStyle w:val="Heading2"/>
        <w:spacing w:before="160" w:after="80"/>
        <w:keepNext/>
      </w:pPr>
      <w:r>
        <w:rPr>
          <w:rFonts w:ascii="Aptos" w:hAnsi="Aptos"/>
          <w:b/>
          <w:color w:val="0B1F33"/>
          <w:sz w:val="25"/>
        </w:rPr>
        <w:t>Likely classes to clear</w:t>
      </w:r>
    </w:p>
    <w:tbl>
      <w:tblPr>
        <w:tblW w:type="auto" w:w="0"/>
        <w:jc w:val="center"/>
        <w:tblLayout w:type="fixed"/>
        <w:tblLook w:firstColumn="1" w:firstRow="1" w:lastColumn="0" w:lastRow="0" w:noHBand="0" w:noVBand="1" w:val="04A0"/>
      </w:tblPr>
      <w:tblGrid>
        <w:gridCol w:w="2541"/>
        <w:gridCol w:w="2541"/>
        <w:gridCol w:w="2541"/>
        <w:gridCol w:w="2541"/>
      </w:tblGrid>
      <w:tr>
        <w:trPr>
          <w:cantSplit w:val="true"/>
          <w:tblHeader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Class</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Relevant scope</w:t>
            </w:r>
          </w:p>
        </w:tc>
        <w:tc>
          <w:tcPr>
            <w:tcW w:type="dxa" w:w="44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Why it matters here</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Priority</w:t>
            </w:r>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9</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Recorded and downloadable computer software</w:t>
            </w:r>
          </w:p>
        </w:tc>
        <w:tc>
          <w:tcPr>
            <w:tcW w:type="dxa" w:w="44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Mobile applications and downloadable software</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6"/>
              </w:rPr>
              <w:t>MUST SEARCH / FILE</w:t>
            </w:r>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36</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Insurance and financial services</w:t>
            </w:r>
          </w:p>
        </w:tc>
        <w:tc>
          <w:tcPr>
            <w:tcW w:type="dxa" w:w="44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Claims, coverage guidance, insurance-related service positioning</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6"/>
              </w:rPr>
              <w:t>MUST SEARCH; filing depends on final operating model</w:t>
            </w:r>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42</w:t>
            </w:r>
          </w:p>
        </w:tc>
        <w:tc>
          <w:tcPr>
            <w:tcW w:type="dxa" w:w="237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Software design, SaaS, PaaS, AIaaS</w:t>
            </w:r>
          </w:p>
        </w:tc>
        <w:tc>
          <w:tcPr>
            <w:tcW w:type="dxa" w:w="44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Hosted policy intelligence and software services</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6"/>
              </w:rPr>
              <w:t>MUST SEARCH / FILE</w:t>
            </w:r>
          </w:p>
        </w:tc>
      </w:tr>
    </w:tbl>
    <w:p>
      <w:pPr>
        <w:spacing w:after="120" w:line="259" w:lineRule="auto"/>
        <w:keepLines/>
      </w:pPr>
      <w:r>
        <w:rPr>
          <w:rFonts w:ascii="Aptos" w:hAnsi="Aptos"/>
          <w:color w:val="344054"/>
          <w:sz w:val="19"/>
        </w:rPr>
        <w:t>WIPO’s Nice Classification places downloadable software in Class 9, insurance services in Class 36, and SaaS/PaaS plus software development in Class 42.</w:t>
      </w:r>
      <w:r>
        <w:rPr>
          <w:rFonts w:ascii="Aptos" w:hAnsi="Aptos"/>
          <w:color w:val="0E7490"/>
          <w:sz w:val="15"/>
          <w:vertAlign w:val="superscript"/>
        </w:rPr>
        <w:t xml:space="preserve"> [S14, S15, S16]</w:t>
      </w:r>
    </w:p>
    <w:p>
      <w:pPr>
        <w:pStyle w:val="Heading2"/>
        <w:spacing w:before="160" w:after="80"/>
        <w:keepNext/>
      </w:pPr>
      <w:r>
        <w:rPr>
          <w:rFonts w:ascii="Aptos" w:hAnsi="Aptos"/>
          <w:b/>
          <w:color w:val="0B1F33"/>
          <w:sz w:val="25"/>
        </w:rPr>
        <w:t>App-store exposure</w:t>
      </w:r>
    </w:p>
    <w:p>
      <w:pPr>
        <w:pStyle w:val="ListBullet"/>
        <w:spacing w:after="60"/>
        <w:ind w:left="317" w:hanging="173"/>
      </w:pPr>
      <w:r>
        <w:rPr>
          <w:rFonts w:ascii="Aptos" w:hAnsi="Aptos"/>
          <w:color w:val="344054"/>
        </w:rPr>
        <w:t>Apple prohibits unlicensed use of third-party trademarks and misleading, false, or copycat names and metadata.</w:t>
      </w:r>
      <w:r>
        <w:rPr>
          <w:rFonts w:ascii="Aptos" w:hAnsi="Aptos"/>
          <w:color w:val="0E7490"/>
          <w:sz w:val="15"/>
          <w:vertAlign w:val="superscript"/>
        </w:rPr>
        <w:t xml:space="preserve"> [S17]</w:t>
      </w:r>
    </w:p>
    <w:p>
      <w:pPr>
        <w:pStyle w:val="ListBullet"/>
        <w:spacing w:after="60"/>
        <w:ind w:left="317" w:hanging="173"/>
      </w:pPr>
      <w:r>
        <w:rPr>
          <w:rFonts w:ascii="Aptos" w:hAnsi="Aptos"/>
          <w:color w:val="344054"/>
        </w:rPr>
        <w:t>Google Play prohibits trademark infringement and accepts trademark complaints from rights holders.</w:t>
      </w:r>
      <w:r>
        <w:rPr>
          <w:rFonts w:ascii="Aptos" w:hAnsi="Aptos"/>
          <w:color w:val="0E7490"/>
          <w:sz w:val="15"/>
          <w:vertAlign w:val="superscript"/>
        </w:rPr>
        <w:t xml:space="preserve"> [S18]</w:t>
      </w:r>
    </w:p>
    <w:p>
      <w:pPr>
        <w:pStyle w:val="ListBullet"/>
        <w:spacing w:after="60"/>
        <w:ind w:left="317" w:hanging="173"/>
      </w:pPr>
      <w:r>
        <w:rPr>
          <w:rFonts w:ascii="Aptos" w:hAnsi="Aptos"/>
          <w:color w:val="344054"/>
        </w:rPr>
        <w:t>Google Play also prohibits titles, icons, descriptions, or in-app elements that mislead users about a relationship to another app or company, and advises that app titles be unique and not cause mistaken downloads.</w:t>
      </w:r>
      <w:r>
        <w:rPr>
          <w:rFonts w:ascii="Aptos" w:hAnsi="Aptos"/>
          <w:color w:val="0E7490"/>
          <w:sz w:val="15"/>
          <w:vertAlign w:val="superscript"/>
        </w:rPr>
        <w:t xml:space="preserve"> [S19, S20]</w:t>
      </w:r>
    </w:p>
    <w:p>
      <w:pPr>
        <w:spacing w:after="120" w:line="259" w:lineRule="auto"/>
        <w:keepLines/>
      </w:pPr>
      <w:r>
        <w:rPr>
          <w:rFonts w:ascii="Aptos" w:hAnsi="Aptos"/>
          <w:color w:val="344054"/>
          <w:sz w:val="19"/>
        </w:rPr>
        <w:t>This does not mean an automatic rejection. It means that the name creates an avoidable complaint and review surface. A brand with no collision would not need to win that argument.</w:t>
      </w:r>
    </w:p>
    <w:p>
      <w:pPr>
        <w:pStyle w:val="Heading2"/>
        <w:spacing w:before="160" w:after="80"/>
        <w:keepNext/>
      </w:pPr>
      <w:r>
        <w:rPr>
          <w:rFonts w:ascii="Aptos" w:hAnsi="Aptos"/>
          <w:b/>
          <w:color w:val="0B1F33"/>
          <w:sz w:val="25"/>
        </w:rPr>
        <w:t>What does not fix the problem</w:t>
      </w:r>
    </w:p>
    <w:p>
      <w:pPr>
        <w:pStyle w:val="ListBullet"/>
        <w:spacing w:after="60"/>
        <w:ind w:left="317" w:hanging="173"/>
      </w:pPr>
      <w:r>
        <w:rPr>
          <w:rFonts w:ascii="Aptos" w:hAnsi="Aptos"/>
          <w:color w:val="344054"/>
        </w:rPr>
        <w:t>Changing capitalization: Coverwise, CoverWise, COVERWISE.</w:t>
      </w:r>
    </w:p>
    <w:p>
      <w:pPr>
        <w:pStyle w:val="ListBullet"/>
        <w:spacing w:after="60"/>
        <w:ind w:left="317" w:hanging="173"/>
      </w:pPr>
      <w:r>
        <w:rPr>
          <w:rFonts w:ascii="Aptos" w:hAnsi="Aptos"/>
          <w:color w:val="344054"/>
        </w:rPr>
        <w:t>Adding a weak suffix: CoverWise AI, CoverWise App, CoverWise India, My CoverWise.</w:t>
      </w:r>
    </w:p>
    <w:p>
      <w:pPr>
        <w:pStyle w:val="ListBullet"/>
        <w:spacing w:after="60"/>
        <w:ind w:left="317" w:hanging="173"/>
      </w:pPr>
      <w:r>
        <w:rPr>
          <w:rFonts w:ascii="Aptos" w:hAnsi="Aptos"/>
          <w:color w:val="344054"/>
        </w:rPr>
        <w:t>Using a different logo or colour palette while retaining the dominant word.</w:t>
      </w:r>
    </w:p>
    <w:p>
      <w:pPr>
        <w:pStyle w:val="ListBullet"/>
        <w:spacing w:after="60"/>
        <w:ind w:left="317" w:hanging="173"/>
      </w:pPr>
      <w:r>
        <w:rPr>
          <w:rFonts w:ascii="Aptos" w:hAnsi="Aptos"/>
          <w:color w:val="344054"/>
        </w:rPr>
        <w:t>Arguing that the product is “software” rather than “insurance.” The user context, category, functionality, and marketing language still overlap.</w:t>
      </w:r>
    </w:p>
    <w:p>
      <w:pPr>
        <w:pStyle w:val="Heading1"/>
        <w:spacing w:before="240" w:after="120"/>
        <w:keepNext/>
      </w:pPr>
      <w:r>
        <w:rPr>
          <w:rFonts w:ascii="Aptos" w:hAnsi="Aptos"/>
          <w:b/>
          <w:color w:val="0E7490"/>
          <w:sz w:val="20"/>
        </w:rPr>
        <w:t xml:space="preserve">05  </w:t>
      </w:r>
      <w:r>
        <w:rPr>
          <w:rFonts w:ascii="Aptos" w:hAnsi="Aptos"/>
          <w:b/>
          <w:color w:val="0B1F33"/>
          <w:sz w:val="34"/>
        </w:rPr>
        <w:t>Risk matrix</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val="true"/>
          <w:tblHeader w:val="true"/>
        </w:trPr>
        <w:tc>
          <w:tcPr>
            <w:tcW w:type="dxa" w:w="18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Risk</w:t>
            </w:r>
          </w:p>
        </w:tc>
        <w:tc>
          <w:tcPr>
            <w:tcW w:type="dxa" w:w="12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Likelihood</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Impact</w:t>
            </w:r>
          </w:p>
        </w:tc>
        <w:tc>
          <w:tcPr>
            <w:tcW w:type="dxa" w:w="396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Why</w:t>
            </w:r>
          </w:p>
        </w:tc>
        <w:tc>
          <w:tcPr>
            <w:tcW w:type="dxa" w:w="144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Rating</w:t>
            </w:r>
          </w:p>
        </w:tc>
      </w:tr>
      <w:tr>
        <w:trPr>
          <w:cantSplit w:val="true"/>
        </w:trPr>
        <w:tc>
          <w:tcPr>
            <w:tcW w:type="dxa" w:w="18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Trademark / passing-off challenge</w:t>
            </w:r>
          </w:p>
        </w:tc>
        <w:tc>
          <w:tcPr>
            <w:tcW w:type="dxa" w:w="12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Medium-High</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High</w:t>
            </w:r>
          </w:p>
        </w:tc>
        <w:tc>
          <w:tcPr>
            <w:tcW w:type="dxa" w:w="396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Exact and near-identical prior insurance uses; registry still requires counsel search</w:t>
            </w:r>
          </w:p>
        </w:tc>
        <w:tc>
          <w:tcPr>
            <w:tcW w:type="dxa" w:w="144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HIGH</w:t>
            </w:r>
          </w:p>
        </w:tc>
      </w:tr>
      <w:tr>
        <w:trPr>
          <w:cantSplit w:val="true"/>
        </w:trPr>
        <w:tc>
          <w:tcPr>
            <w:tcW w:type="dxa" w:w="18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App-store complaint or review delay</w:t>
            </w:r>
          </w:p>
        </w:tc>
        <w:tc>
          <w:tcPr>
            <w:tcW w:type="dxa" w:w="12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Medium</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High</w:t>
            </w:r>
          </w:p>
        </w:tc>
        <w:tc>
          <w:tcPr>
            <w:tcW w:type="dxa" w:w="396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Existing app and insurance brands can raise IP / impersonation concerns</w:t>
            </w:r>
          </w:p>
        </w:tc>
        <w:tc>
          <w:tcPr>
            <w:tcW w:type="dxa" w:w="144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HIGH</w:t>
            </w:r>
          </w:p>
        </w:tc>
      </w:tr>
      <w:tr>
        <w:trPr>
          <w:cantSplit w:val="true"/>
        </w:trPr>
        <w:tc>
          <w:tcPr>
            <w:tcW w:type="dxa" w:w="18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User confusion with CoverSure</w:t>
            </w:r>
          </w:p>
        </w:tc>
        <w:tc>
          <w:tcPr>
            <w:tcW w:type="dxa" w:w="12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High</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High</w:t>
            </w:r>
          </w:p>
        </w:tc>
        <w:tc>
          <w:tcPr>
            <w:tcW w:type="dxa" w:w="396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Near-homophone in same Indian product category and feature set</w:t>
            </w:r>
          </w:p>
        </w:tc>
        <w:tc>
          <w:tcPr>
            <w:tcW w:type="dxa" w:w="144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CRITICAL</w:t>
            </w:r>
          </w:p>
        </w:tc>
      </w:tr>
      <w:tr>
        <w:trPr>
          <w:cantSplit w:val="true"/>
        </w:trPr>
        <w:tc>
          <w:tcPr>
            <w:tcW w:type="dxa" w:w="18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Search and domain discoverability</w:t>
            </w:r>
          </w:p>
        </w:tc>
        <w:tc>
          <w:tcPr>
            <w:tcW w:type="dxa" w:w="12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Certain</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High</w:t>
            </w:r>
          </w:p>
        </w:tc>
        <w:tc>
          <w:tcPr>
            <w:tcW w:type="dxa" w:w="396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Exact term is already occupied across major domains and country sites</w:t>
            </w:r>
          </w:p>
        </w:tc>
        <w:tc>
          <w:tcPr>
            <w:tcW w:type="dxa" w:w="144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CRITICAL</w:t>
            </w:r>
          </w:p>
        </w:tc>
      </w:tr>
      <w:tr>
        <w:trPr>
          <w:cantSplit w:val="true"/>
        </w:trPr>
        <w:tc>
          <w:tcPr>
            <w:tcW w:type="dxa" w:w="18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Partner / insurer trust friction</w:t>
            </w:r>
          </w:p>
        </w:tc>
        <w:tc>
          <w:tcPr>
            <w:tcW w:type="dxa" w:w="12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High</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Medium-High</w:t>
            </w:r>
          </w:p>
        </w:tc>
        <w:tc>
          <w:tcPr>
            <w:tcW w:type="dxa" w:w="396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Name resembles regulated and operating insurance entities</w:t>
            </w:r>
          </w:p>
        </w:tc>
        <w:tc>
          <w:tcPr>
            <w:tcW w:type="dxa" w:w="144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HIGH</w:t>
            </w:r>
          </w:p>
        </w:tc>
      </w:tr>
      <w:tr>
        <w:trPr>
          <w:cantSplit w:val="true"/>
        </w:trPr>
        <w:tc>
          <w:tcPr>
            <w:tcW w:type="dxa" w:w="18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Brand distinctiveness</w:t>
            </w:r>
          </w:p>
        </w:tc>
        <w:tc>
          <w:tcPr>
            <w:tcW w:type="dxa" w:w="12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High weakness</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High</w:t>
            </w:r>
          </w:p>
        </w:tc>
        <w:tc>
          <w:tcPr>
            <w:tcW w:type="dxa" w:w="396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“Cover” and “wise” are semantically crowded in insurance</w:t>
            </w:r>
          </w:p>
        </w:tc>
        <w:tc>
          <w:tcPr>
            <w:tcW w:type="dxa" w:w="144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HIGH</w:t>
            </w:r>
          </w:p>
        </w:tc>
      </w:tr>
      <w:tr>
        <w:trPr>
          <w:cantSplit w:val="true"/>
        </w:trPr>
        <w:tc>
          <w:tcPr>
            <w:tcW w:type="dxa" w:w="18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Future international expansion</w:t>
            </w:r>
          </w:p>
        </w:tc>
        <w:tc>
          <w:tcPr>
            <w:tcW w:type="dxa" w:w="12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High</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High</w:t>
            </w:r>
          </w:p>
        </w:tc>
        <w:tc>
          <w:tcPr>
            <w:tcW w:type="dxa" w:w="396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Exact insurance users exist in multiple jurisdictions</w:t>
            </w:r>
          </w:p>
        </w:tc>
        <w:tc>
          <w:tcPr>
            <w:tcW w:type="dxa" w:w="144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CRITICAL</w:t>
            </w:r>
          </w:p>
        </w:tc>
      </w:tr>
      <w:tr>
        <w:trPr>
          <w:cantSplit w:val="true"/>
        </w:trPr>
        <w:tc>
          <w:tcPr>
            <w:tcW w:type="dxa" w:w="18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Rebrand cost today</w:t>
            </w:r>
          </w:p>
        </w:tc>
        <w:tc>
          <w:tcPr>
            <w:tcW w:type="dxa" w:w="129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Low</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Low-Medium</w:t>
            </w:r>
          </w:p>
        </w:tc>
        <w:tc>
          <w:tcPr>
            <w:tcW w:type="dxa" w:w="396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No public production launch; identity changes are still bounded</w:t>
            </w:r>
          </w:p>
        </w:tc>
        <w:tc>
          <w:tcPr>
            <w:tcW w:type="dxa" w:w="144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LOW</w:t>
            </w:r>
          </w:p>
        </w:tc>
      </w:tr>
    </w:tbl>
    <w:p>
      <w:pPr>
        <w:pStyle w:val="Heading2"/>
        <w:spacing w:before="160" w:after="80"/>
        <w:keepNext/>
      </w:pPr>
      <w:r>
        <w:rPr>
          <w:rFonts w:ascii="Aptos" w:hAnsi="Aptos"/>
          <w:b/>
          <w:color w:val="0B1F33"/>
          <w:sz w:val="25"/>
        </w:rPr>
        <w:t>Decision score</w:t>
      </w:r>
    </w:p>
    <w:tbl>
      <w:tblPr>
        <w:tblW w:type="auto" w:w="0"/>
        <w:jc w:val="center"/>
        <w:tblLayout w:type="fixed"/>
        <w:tblLook w:firstColumn="1" w:firstRow="1" w:lastColumn="0" w:lastRow="0" w:noHBand="0" w:noVBand="1" w:val="04A0"/>
      </w:tblPr>
      <w:tblGrid>
        <w:gridCol w:w="2541"/>
        <w:gridCol w:w="2541"/>
        <w:gridCol w:w="2541"/>
        <w:gridCol w:w="2541"/>
      </w:tblGrid>
      <w:tr>
        <w:trPr>
          <w:cantSplit w:val="true"/>
          <w:tblHeader w:val="true"/>
        </w:trPr>
        <w:tc>
          <w:tcPr>
            <w:tcW w:type="dxa" w:w="43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Gate</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Weight</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Score</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6"/>
              </w:rPr>
              <w:t>Weighted result</w:t>
            </w:r>
          </w:p>
        </w:tc>
      </w:tr>
      <w:tr>
        <w:trPr>
          <w:cantSplit w:val="true"/>
        </w:trPr>
        <w:tc>
          <w:tcPr>
            <w:tcW w:type="dxa" w:w="43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Ownability / clearance</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25%</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6"/>
              </w:rPr>
              <w:t>1/5</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5/100</w:t>
            </w:r>
          </w:p>
        </w:tc>
      </w:tr>
      <w:tr>
        <w:trPr>
          <w:cantSplit w:val="true"/>
        </w:trPr>
        <w:tc>
          <w:tcPr>
            <w:tcW w:type="dxa" w:w="43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Distinctiveness</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20%</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6"/>
              </w:rPr>
              <w:t>1/5</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4/100</w:t>
            </w:r>
          </w:p>
        </w:tc>
      </w:tr>
      <w:tr>
        <w:trPr>
          <w:cantSplit w:val="true"/>
        </w:trPr>
        <w:tc>
          <w:tcPr>
            <w:tcW w:type="dxa" w:w="43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Search and app-store discovery</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20%</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6"/>
              </w:rPr>
              <w:t>0/5</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0/100</w:t>
            </w:r>
          </w:p>
        </w:tc>
      </w:tr>
      <w:tr>
        <w:trPr>
          <w:cantSplit w:val="true"/>
        </w:trPr>
        <w:tc>
          <w:tcPr>
            <w:tcW w:type="dxa" w:w="43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Category confusion</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25%</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6"/>
              </w:rPr>
              <w:t>0/5</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6"/>
              </w:rPr>
              <w:t>0/100</w:t>
            </w:r>
          </w:p>
        </w:tc>
      </w:tr>
      <w:tr>
        <w:trPr>
          <w:cantSplit w:val="true"/>
        </w:trPr>
        <w:tc>
          <w:tcPr>
            <w:tcW w:type="dxa" w:w="43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Expansion headroom</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10%</w:t>
            </w:r>
          </w:p>
        </w:tc>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6"/>
              </w:rPr>
              <w:t>1/5</w:t>
            </w:r>
          </w:p>
        </w:tc>
        <w:tc>
          <w:tcPr>
            <w:tcW w:type="dxa" w:w="230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6"/>
              </w:rPr>
              <w:t>1/100</w:t>
            </w:r>
          </w:p>
        </w:tc>
      </w:tr>
    </w:tbl>
    <w:tbl>
      <w:tblPr>
        <w:tblW w:type="auto" w:w="0"/>
        <w:jc w:val="center"/>
        <w:tblLayout w:type="fixed"/>
        <w:tblLook w:firstColumn="1" w:firstRow="1" w:lastColumn="0" w:lastRow="0" w:noHBand="0" w:noVBand="1" w:val="04A0"/>
      </w:tblPr>
      <w:tblGrid>
        <w:gridCol w:w="10166"/>
      </w:tblGrid>
      <w:tr>
        <w:tc>
          <w:tcPr>
            <w:tcW w:type="dxa" w:w="10166"/>
            <w:shd w:fill="FEE4E2"/>
            <w:tcBorders>
              <w:top w:val="single" w:sz="8" w:color="B42318"/>
              <w:left w:val="single" w:sz="8" w:color="B42318"/>
              <w:bottom w:val="single" w:sz="8" w:color="B42318"/>
              <w:right w:val="single" w:sz="8" w:color="B42318"/>
            </w:tcBorders>
            <w:tcMar>
              <w:top w:w="140" w:type="dxa"/>
              <w:start w:w="170" w:type="dxa"/>
              <w:bottom w:w="140" w:type="dxa"/>
              <w:end w:w="170" w:type="dxa"/>
            </w:tcMar>
          </w:tcPr>
          <w:p>
            <w:pPr>
              <w:spacing w:after="80"/>
            </w:pPr>
            <w:r>
              <w:rPr>
                <w:rFonts w:ascii="Aptos" w:hAnsi="Aptos"/>
                <w:b/>
                <w:color w:val="B42318"/>
                <w:sz w:val="22"/>
              </w:rPr>
              <w:t>Interpretation</w:t>
            </w:r>
          </w:p>
          <w:p>
            <w:pPr>
              <w:spacing w:after="0"/>
            </w:pPr>
            <w:r>
              <w:rPr>
                <w:rFonts w:ascii="Aptos" w:hAnsi="Aptos"/>
                <w:color w:val="344054"/>
                <w:sz w:val="19"/>
              </w:rPr>
              <w:t>The scoring model is a product decision tool, not a legal probability. CoverWise earns only 10/100 on positive brand-asset criteria, equivalent to a 90+ risk signal. The exact number matters less than the failure across every independent gate.</w:t>
            </w:r>
          </w:p>
        </w:tc>
      </w:tr>
    </w:tbl>
    <w:p>
      <w:pPr>
        <w:spacing w:after="0"/>
      </w:pPr>
    </w:p>
    <w:p>
      <w:r>
        <w:br w:type="page"/>
      </w:r>
    </w:p>
    <w:p>
      <w:pPr>
        <w:pStyle w:val="Heading1"/>
        <w:spacing w:before="240" w:after="120"/>
        <w:keepNext/>
      </w:pPr>
      <w:r>
        <w:rPr>
          <w:rFonts w:ascii="Aptos" w:hAnsi="Aptos"/>
          <w:b/>
          <w:color w:val="0E7490"/>
          <w:sz w:val="20"/>
        </w:rPr>
        <w:t xml:space="preserve">06  </w:t>
      </w:r>
      <w:r>
        <w:rPr>
          <w:rFonts w:ascii="Aptos" w:hAnsi="Aptos"/>
          <w:b/>
          <w:color w:val="0B1F33"/>
          <w:sz w:val="34"/>
        </w:rPr>
        <w:t>Options and trade-offs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val="true"/>
          <w:tblHeader w:val="true"/>
        </w:trPr>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Option</w:t>
            </w:r>
          </w:p>
        </w:tc>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Upside</w:t>
            </w:r>
          </w:p>
        </w:tc>
        <w:tc>
          <w:tcPr>
            <w:tcW w:type="dxa" w:w="244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Downside</w:t>
            </w:r>
          </w:p>
        </w:tc>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Where it breaks</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Verdict</w:t>
            </w:r>
          </w:p>
        </w:tc>
      </w:tr>
      <w:tr>
        <w:trPr>
          <w:cantSplit w:val="true"/>
        </w:trPr>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Keep CoverWise</w:t>
            </w:r>
          </w:p>
        </w:tc>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No migration work; existing internal familiarity</w:t>
            </w:r>
          </w:p>
        </w:tc>
        <w:tc>
          <w:tcPr>
            <w:tcW w:type="dxa" w:w="244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Permanent legal, search and confusion burden</w:t>
            </w:r>
          </w:p>
        </w:tc>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Public launch, growth, partnerships, expansion</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REJECT</w:t>
            </w:r>
          </w:p>
        </w:tc>
      </w:tr>
      <w:tr>
        <w:trPr>
          <w:cantSplit w:val="true"/>
        </w:trPr>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Keep with suffix</w:t>
            </w:r>
          </w:p>
        </w:tc>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Preserves part of current name</w:t>
            </w:r>
          </w:p>
        </w:tc>
        <w:tc>
          <w:tcPr>
            <w:tcW w:type="dxa" w:w="244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Dominant word remains; weak differentiation</w:t>
            </w:r>
          </w:p>
        </w:tc>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App-store search and spoken referrals</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REJECT</w:t>
            </w:r>
          </w:p>
        </w:tc>
      </w:tr>
      <w:tr>
        <w:trPr>
          <w:cantSplit w:val="true"/>
        </w:trPr>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Acquire / license rights</w:t>
            </w:r>
          </w:p>
        </w:tc>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Could reduce one legal conflict</w:t>
            </w:r>
          </w:p>
        </w:tc>
        <w:tc>
          <w:tcPr>
            <w:tcW w:type="dxa" w:w="244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Multiple independent users; expensive and incomplete</w:t>
            </w:r>
          </w:p>
        </w:tc>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Cannot solve CoverSure or worldwide crowding</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REJECT</w:t>
            </w:r>
          </w:p>
        </w:tc>
      </w:tr>
      <w:tr>
        <w:trPr>
          <w:cantSplit w:val="true"/>
        </w:trPr>
        <w:tc>
          <w:tcPr>
            <w:tcW w:type="dxa" w:w="165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Rename now</w:t>
            </w:r>
          </w:p>
        </w:tc>
        <w:tc>
          <w:tcPr>
            <w:tcW w:type="dxa" w:w="194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Clean ownership path; stronger discovery and trust</w:t>
            </w:r>
          </w:p>
        </w:tc>
        <w:tc>
          <w:tcPr>
            <w:tcW w:type="dxa" w:w="244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Bounded migration work now</w:t>
            </w:r>
          </w:p>
        </w:tc>
        <w:tc>
          <w:tcPr>
            <w:tcW w:type="dxa" w:w="252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Only breaks if clearance is rushed</w:t>
            </w:r>
          </w:p>
        </w:tc>
        <w:tc>
          <w:tcPr>
            <w:tcW w:type="dxa" w:w="136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CHOOSE</w:t>
            </w:r>
          </w:p>
        </w:tc>
      </w:tr>
    </w:tbl>
    <w:p>
      <w:pPr>
        <w:pStyle w:val="Heading2"/>
        <w:spacing w:before="160" w:after="80"/>
        <w:keepNext/>
      </w:pPr>
      <w:r>
        <w:rPr>
          <w:rFonts w:ascii="Aptos" w:hAnsi="Aptos"/>
          <w:b/>
          <w:color w:val="0B1F33"/>
          <w:sz w:val="25"/>
        </w:rPr>
        <w:t>Strong recommendation</w:t>
      </w:r>
    </w:p>
    <w:p>
      <w:pPr>
        <w:spacing w:after="120" w:line="259" w:lineRule="auto"/>
        <w:keepLines/>
      </w:pPr>
      <w:r>
        <w:rPr>
          <w:rFonts w:ascii="Aptos" w:hAnsi="Aptos"/>
          <w:color w:val="344054"/>
          <w:sz w:val="19"/>
        </w:rPr>
        <w:t>Rename before any public app-store listing, domain launch, press, creator campaign, insurer partnership, or trademark filing. Do not spend legal fees trying to rescue a strategically weak name when the product is still early enough to move cleanly.</w:t>
      </w:r>
    </w:p>
    <w:p>
      <w:pPr>
        <w:spacing w:after="120" w:line="259" w:lineRule="auto"/>
        <w:keepLines/>
      </w:pPr>
      <w:r>
        <w:rPr>
          <w:rFonts w:ascii="Aptos" w:hAnsi="Aptos"/>
          <w:color w:val="344054"/>
          <w:sz w:val="19"/>
        </w:rPr>
        <w:t>Retain CoverWise as an internal migration alias only long enough to avoid breaking ongoing development. It should disappear from user-facing identity, legal documents, support addresses, analytics labels, and production identifiers.</w:t>
      </w:r>
    </w:p>
    <w:p>
      <w:pPr>
        <w:pStyle w:val="Heading2"/>
        <w:spacing w:before="160" w:after="80"/>
        <w:keepNext/>
      </w:pPr>
      <w:r>
        <w:rPr>
          <w:rFonts w:ascii="Aptos" w:hAnsi="Aptos"/>
          <w:b/>
          <w:color w:val="0B1F33"/>
          <w:sz w:val="25"/>
        </w:rPr>
        <w:t>New-name design brief</w:t>
      </w:r>
    </w:p>
    <w:p>
      <w:pPr>
        <w:pStyle w:val="ListBullet"/>
        <w:spacing w:after="60"/>
        <w:ind w:left="317" w:hanging="173"/>
      </w:pPr>
      <w:r>
        <w:rPr>
          <w:rFonts w:ascii="Aptos" w:hAnsi="Aptos"/>
          <w:color w:val="344054"/>
        </w:rPr>
        <w:t>Prefer a coined or unexpected word with no insurance-industry meaning. Distinctiveness creates legal and search leverage.</w:t>
      </w:r>
    </w:p>
    <w:p>
      <w:pPr>
        <w:pStyle w:val="ListBullet"/>
        <w:spacing w:after="60"/>
        <w:ind w:left="317" w:hanging="173"/>
      </w:pPr>
      <w:r>
        <w:rPr>
          <w:rFonts w:ascii="Aptos" w:hAnsi="Aptos"/>
          <w:color w:val="344054"/>
        </w:rPr>
        <w:t>Avoid the “Cover + adjective” family. CoverSure, CoverWise, Coverfox, Cover360, and other Cover-* brands already crowd the category.</w:t>
      </w:r>
      <w:r>
        <w:rPr>
          <w:rFonts w:ascii="Aptos" w:hAnsi="Aptos"/>
          <w:color w:val="0E7490"/>
          <w:sz w:val="15"/>
          <w:vertAlign w:val="superscript"/>
        </w:rPr>
        <w:t xml:space="preserve"> [S2, S21, S22]</w:t>
      </w:r>
    </w:p>
    <w:p>
      <w:pPr>
        <w:pStyle w:val="ListBullet"/>
        <w:spacing w:after="60"/>
        <w:ind w:left="317" w:hanging="173"/>
      </w:pPr>
      <w:r>
        <w:rPr>
          <w:rFonts w:ascii="Aptos" w:hAnsi="Aptos"/>
          <w:color w:val="344054"/>
        </w:rPr>
        <w:t>Avoid “Policy + generic noun,” “Insure + adjective,” and “Claim + helper” unless the combination is genuinely distinctive.</w:t>
      </w:r>
    </w:p>
    <w:p>
      <w:pPr>
        <w:pStyle w:val="ListBullet"/>
        <w:spacing w:after="60"/>
        <w:ind w:left="317" w:hanging="173"/>
      </w:pPr>
      <w:r>
        <w:rPr>
          <w:rFonts w:ascii="Aptos" w:hAnsi="Aptos"/>
          <w:color w:val="344054"/>
        </w:rPr>
        <w:t>The name must survive spoken referral in Indian English, Hindi, and major regional accents without being confused with another finance product.</w:t>
      </w:r>
    </w:p>
    <w:p>
      <w:pPr>
        <w:pStyle w:val="ListBullet"/>
        <w:spacing w:after="60"/>
        <w:ind w:left="317" w:hanging="173"/>
      </w:pPr>
      <w:r>
        <w:rPr>
          <w:rFonts w:ascii="Aptos" w:hAnsi="Aptos"/>
          <w:color w:val="344054"/>
        </w:rPr>
        <w:t>The brand should extend beyond document storage into policy intelligence, claims workflows, household access, and future B2B distribution.</w:t>
      </w:r>
    </w:p>
    <w:p>
      <w:pPr>
        <w:pStyle w:val="ListBullet"/>
        <w:spacing w:after="60"/>
        <w:ind w:left="317" w:hanging="173"/>
      </w:pPr>
      <w:r>
        <w:rPr>
          <w:rFonts w:ascii="Aptos" w:hAnsi="Aptos"/>
          <w:color w:val="344054"/>
        </w:rPr>
        <w:t>Do not select on domain availability alone. Select on trademark clearance, market collision, app-store uniqueness, and memorability together.</w:t>
      </w:r>
    </w:p>
    <w:p>
      <w:pPr>
        <w:pStyle w:val="Heading2"/>
        <w:spacing w:before="160" w:after="80"/>
        <w:keepNext/>
      </w:pPr>
      <w:r>
        <w:rPr>
          <w:rFonts w:ascii="Aptos" w:hAnsi="Aptos"/>
          <w:b/>
          <w:color w:val="0B1F33"/>
          <w:sz w:val="25"/>
        </w:rPr>
        <w:t>Candidate clearance funnel</w:t>
      </w:r>
    </w:p>
    <w:p>
      <w:pPr>
        <w:pStyle w:val="ListNumber"/>
        <w:spacing w:after="80"/>
      </w:pPr>
      <w:r>
        <w:rPr>
          <w:rFonts w:ascii="Aptos" w:hAnsi="Aptos"/>
          <w:color w:val="344054"/>
        </w:rPr>
        <w:t>Generate 30-50 candidates across at least three naming territories.</w:t>
      </w:r>
    </w:p>
    <w:p>
      <w:pPr>
        <w:pStyle w:val="ListNumber"/>
        <w:spacing w:after="80"/>
      </w:pPr>
      <w:r>
        <w:rPr>
          <w:rFonts w:ascii="Aptos" w:hAnsi="Aptos"/>
          <w:color w:val="344054"/>
        </w:rPr>
        <w:t>Reject exact, phonetic, semantic, and visual collisions through web and app-store searches.</w:t>
      </w:r>
    </w:p>
    <w:p>
      <w:pPr>
        <w:pStyle w:val="ListNumber"/>
        <w:spacing w:after="80"/>
      </w:pPr>
      <w:r>
        <w:rPr>
          <w:rFonts w:ascii="Aptos" w:hAnsi="Aptos"/>
          <w:color w:val="344054"/>
        </w:rPr>
        <w:t>Check domains and social handles, but treat them as secondary signals.</w:t>
      </w:r>
    </w:p>
    <w:p>
      <w:pPr>
        <w:pStyle w:val="ListNumber"/>
        <w:spacing w:after="80"/>
      </w:pPr>
      <w:r>
        <w:rPr>
          <w:rFonts w:ascii="Aptos" w:hAnsi="Aptos"/>
          <w:color w:val="344054"/>
        </w:rPr>
        <w:t>Run official trademark searches for exact and phonetic variants in Classes 9, 36, and 42 in India; add target foreign jurisdictions before expansion.</w:t>
      </w:r>
    </w:p>
    <w:p>
      <w:pPr>
        <w:pStyle w:val="ListNumber"/>
        <w:spacing w:after="80"/>
      </w:pPr>
      <w:r>
        <w:rPr>
          <w:rFonts w:ascii="Aptos" w:hAnsi="Aptos"/>
          <w:color w:val="344054"/>
        </w:rPr>
        <w:t>Have Indian trademark counsel review the final 3-5 candidates and relevant goods/services descriptions.</w:t>
      </w:r>
    </w:p>
    <w:p>
      <w:pPr>
        <w:pStyle w:val="ListNumber"/>
        <w:spacing w:after="80"/>
      </w:pPr>
      <w:r>
        <w:rPr>
          <w:rFonts w:ascii="Aptos" w:hAnsi="Aptos"/>
          <w:color w:val="344054"/>
        </w:rPr>
        <w:t>Secure the word mark, domains, core handles, and production app identity before public announcement.</w:t>
      </w:r>
    </w:p>
    <w:p>
      <w:pPr>
        <w:pStyle w:val="Heading1"/>
        <w:spacing w:before="240" w:after="120"/>
        <w:keepNext/>
      </w:pPr>
      <w:r>
        <w:rPr>
          <w:rFonts w:ascii="Aptos" w:hAnsi="Aptos"/>
          <w:b/>
          <w:color w:val="0E7490"/>
          <w:sz w:val="20"/>
        </w:rPr>
        <w:t xml:space="preserve">07  </w:t>
      </w:r>
      <w:r>
        <w:rPr>
          <w:rFonts w:ascii="Aptos" w:hAnsi="Aptos"/>
          <w:b/>
          <w:color w:val="0B1F33"/>
          <w:sz w:val="34"/>
        </w:rPr>
        <w:t>Rename implementation checklist</w:t>
      </w:r>
    </w:p>
    <w:p>
      <w:pPr>
        <w:spacing w:after="120" w:line="259" w:lineRule="auto"/>
        <w:keepLines/>
      </w:pPr>
      <w:r>
        <w:rPr>
          <w:rFonts w:ascii="Aptos" w:hAnsi="Aptos"/>
          <w:color w:val="344054"/>
          <w:sz w:val="19"/>
        </w:rPr>
        <w:t>Because the product has not reached a public production launch, this is the cheapest point to rename. The migration should be treated as one controlled identity change, not piecemeal copy editing.</w:t>
      </w:r>
    </w:p>
    <w:tbl>
      <w:tblPr>
        <w:tblW w:type="auto" w:w="0"/>
        <w:jc w:val="center"/>
        <w:tblLayout w:type="fixed"/>
        <w:tblLook w:firstColumn="1" w:firstRow="1" w:lastColumn="0" w:lastRow="0" w:noHBand="0" w:noVBand="1" w:val="04A0"/>
      </w:tblPr>
      <w:tblGrid>
        <w:gridCol w:w="3389"/>
        <w:gridCol w:w="3389"/>
        <w:gridCol w:w="3389"/>
      </w:tblGrid>
      <w:tr>
        <w:trPr>
          <w:cantSplit w:val="true"/>
          <w:tblHeader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Workstream</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Required changes</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Control</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Brand</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Display name, logo, icon, colour tokens, screenshots, pitch assets</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One canonical brand spec</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Mobile identity</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Android applicationId / namespace; iOS bundle ID; URL schemes</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Change before production submission where practical</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Web and API</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Domains, CORS, redirects, deep links, API docs, status pages</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Maintain temporary redirects only</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Authentication</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OAuth redirect URIs, email templates, sender names, magic links</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Test every auth path</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Data and storage</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Buckets, object paths, exported file names, generated reports</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Migrate only user-visible names unless technical rename is justified</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Notifications</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Push app name, renewal emails, claims alerts, SMS / WhatsApp copy</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No mixed-brand messages</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Legal</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Privacy policy, terms, disclaimers, consent language, support identity</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Match legal entity and operating model</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Stores</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Developer listing, app title, subtitle, keywords, screenshots, support URL</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Submit only after clearance</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Analytics</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Project names, event prefixes, dashboards, crash reporting</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Preserve historical mapping</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Repository</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README, docs, env examples, package names, test fixtures</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Search exact and case variants</w:t>
            </w:r>
          </w:p>
        </w:tc>
      </w:tr>
      <w:tr>
        <w:trPr>
          <w:cantSplit w:val="true"/>
        </w:trPr>
        <w:tc>
          <w:tcPr>
            <w:tcW w:type="dxa" w:w="1800"/>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Operations</w:t>
            </w:r>
          </w:p>
        </w:tc>
        <w:tc>
          <w:tcPr>
            <w:tcW w:type="dxa" w:w="547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Support inbox, CRM tags, vendor records, insurer / partner decks</w:t>
            </w:r>
          </w:p>
        </w:tc>
        <w:tc>
          <w:tcPr>
            <w:tcW w:type="dxa" w:w="2664"/>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Use a cut-over checklist</w:t>
            </w:r>
          </w:p>
        </w:tc>
      </w:tr>
    </w:tbl>
    <w:p>
      <w:pPr>
        <w:pStyle w:val="Heading2"/>
        <w:spacing w:before="160" w:after="80"/>
        <w:keepNext/>
      </w:pPr>
      <w:r>
        <w:rPr>
          <w:rFonts w:ascii="Aptos" w:hAnsi="Aptos"/>
          <w:b/>
          <w:color w:val="0B1F33"/>
          <w:sz w:val="25"/>
        </w:rPr>
        <w:t>Release gate</w:t>
      </w:r>
    </w:p>
    <w:tbl>
      <w:tblPr>
        <w:tblW w:type="auto" w:w="0"/>
        <w:jc w:val="center"/>
        <w:tblLayout w:type="fixed"/>
        <w:tblLook w:firstColumn="1" w:firstRow="1" w:lastColumn="0" w:lastRow="0" w:noHBand="0" w:noVBand="1" w:val="04A0"/>
      </w:tblPr>
      <w:tblGrid>
        <w:gridCol w:w="10166"/>
      </w:tblGrid>
      <w:tr>
        <w:tc>
          <w:tcPr>
            <w:tcW w:type="dxa" w:w="10166"/>
            <w:shd w:fill="D1FADF"/>
            <w:tcBorders>
              <w:top w:val="single" w:sz="8" w:color="067647"/>
              <w:left w:val="single" w:sz="8" w:color="067647"/>
              <w:bottom w:val="single" w:sz="8" w:color="067647"/>
              <w:right w:val="single" w:sz="8" w:color="067647"/>
            </w:tcBorders>
            <w:tcMar>
              <w:top w:w="140" w:type="dxa"/>
              <w:start w:w="170" w:type="dxa"/>
              <w:bottom w:w="140" w:type="dxa"/>
              <w:end w:w="170" w:type="dxa"/>
            </w:tcMar>
          </w:tcPr>
          <w:p>
            <w:pPr>
              <w:spacing w:after="80"/>
            </w:pPr>
            <w:r>
              <w:rPr>
                <w:rFonts w:ascii="Aptos" w:hAnsi="Aptos"/>
                <w:b/>
                <w:color w:val="067647"/>
                <w:sz w:val="22"/>
              </w:rPr>
              <w:t>Do not publish until all six are true</w:t>
            </w:r>
          </w:p>
          <w:p>
            <w:pPr>
              <w:spacing w:after="0"/>
            </w:pPr>
            <w:r>
              <w:rPr>
                <w:rFonts w:ascii="Aptos" w:hAnsi="Aptos"/>
                <w:color w:val="344054"/>
                <w:sz w:val="19"/>
              </w:rPr>
              <w:t>1) final candidate cleared; 2) counsel search completed; 3) word-mark filing strategy agreed; 4) domains and core handles secured; 5) mobile and auth identities migrated; 6) store metadata and legal pages contain only the new brand.</w:t>
            </w:r>
          </w:p>
        </w:tc>
      </w:tr>
    </w:tbl>
    <w:p>
      <w:pPr>
        <w:spacing w:after="0"/>
      </w:pPr>
    </w:p>
    <w:p>
      <w:r>
        <w:br w:type="page"/>
      </w:r>
    </w:p>
    <w:p>
      <w:pPr>
        <w:pStyle w:val="Heading1"/>
        <w:spacing w:before="240" w:after="120"/>
        <w:keepNext/>
      </w:pPr>
      <w:r>
        <w:rPr>
          <w:rFonts w:ascii="Aptos" w:hAnsi="Aptos"/>
          <w:b/>
          <w:color w:val="0E7490"/>
          <w:sz w:val="20"/>
        </w:rPr>
        <w:t xml:space="preserve">08  </w:t>
      </w:r>
      <w:r>
        <w:rPr>
          <w:rFonts w:ascii="Aptos" w:hAnsi="Aptos"/>
          <w:b/>
          <w:color w:val="0B1F33"/>
          <w:sz w:val="34"/>
        </w:rPr>
        <w:t>Final conclusion</w:t>
      </w:r>
    </w:p>
    <w:p>
      <w:pPr>
        <w:spacing w:after="120" w:line="259" w:lineRule="auto"/>
        <w:keepLines/>
      </w:pPr>
      <w:r>
        <w:rPr>
          <w:rFonts w:ascii="Aptos" w:hAnsi="Aptos"/>
          <w:color w:val="344054"/>
          <w:sz w:val="19"/>
        </w:rPr>
        <w:t>CoverWise is not merely “already used somewhere.” It is surrounded by exact and near-identical insurance brands, including a direct Indian product competitor with the same core promise. That makes the name a weak foundation even if a narrow legal path to use exists.</w:t>
      </w:r>
    </w:p>
    <w:p>
      <w:pPr>
        <w:spacing w:after="120" w:line="259" w:lineRule="auto"/>
        <w:keepLines/>
      </w:pPr>
      <w:r>
        <w:rPr>
          <w:rFonts w:ascii="Aptos" w:hAnsi="Aptos"/>
          <w:color w:val="344054"/>
          <w:sz w:val="19"/>
        </w:rPr>
        <w:t>The rational move is to rename now. The product value is in policy intelligence, evidence, workflows, and trust. None of that value depends on preserving a crowded name. Keeping it would trade a small short-term convenience for years of avoidable friction.</w:t>
      </w:r>
    </w:p>
    <w:tbl>
      <w:tblPr>
        <w:tblW w:type="auto" w:w="0"/>
        <w:jc w:val="center"/>
        <w:tblLayout w:type="fixed"/>
        <w:tblLook w:firstColumn="1" w:firstRow="1" w:lastColumn="0" w:lastRow="0" w:noHBand="0" w:noVBand="1" w:val="04A0"/>
      </w:tblPr>
      <w:tblGrid>
        <w:gridCol w:w="10166"/>
      </w:tblGrid>
      <w:tr>
        <w:tc>
          <w:tcPr>
            <w:tcW w:type="dxa" w:w="10166"/>
            <w:shd w:fill="FEE4E2"/>
            <w:tcBorders>
              <w:top w:val="single" w:sz="8" w:color="B42318"/>
              <w:left w:val="single" w:sz="8" w:color="B42318"/>
              <w:bottom w:val="single" w:sz="8" w:color="B42318"/>
              <w:right w:val="single" w:sz="8" w:color="B42318"/>
            </w:tcBorders>
            <w:tcMar>
              <w:top w:w="140" w:type="dxa"/>
              <w:start w:w="170" w:type="dxa"/>
              <w:bottom w:w="140" w:type="dxa"/>
              <w:end w:w="170" w:type="dxa"/>
            </w:tcMar>
          </w:tcPr>
          <w:p>
            <w:pPr>
              <w:spacing w:after="80"/>
            </w:pPr>
            <w:r>
              <w:rPr>
                <w:rFonts w:ascii="Aptos" w:hAnsi="Aptos"/>
                <w:b/>
                <w:color w:val="B42318"/>
                <w:sz w:val="22"/>
              </w:rPr>
              <w:t>Final verdict</w:t>
            </w:r>
          </w:p>
          <w:p>
            <w:pPr>
              <w:spacing w:after="0"/>
            </w:pPr>
            <w:r>
              <w:rPr>
                <w:rFonts w:ascii="Aptos" w:hAnsi="Aptos"/>
                <w:color w:val="344054"/>
                <w:sz w:val="19"/>
              </w:rPr>
              <w:t>PUBLIC BRAND: RENAME.  INTERNAL CODENAME: TEMPORARILY ACCEPTABLE.  FORMAL LEGAL CLEARANCE: REQUIRED FOR THE REPLACEMENT NAME.</w:t>
            </w:r>
          </w:p>
        </w:tc>
      </w:tr>
    </w:tbl>
    <w:p>
      <w:pPr>
        <w:spacing w:after="0"/>
      </w:pPr>
    </w:p>
    <w:p>
      <w:r>
        <w:br w:type="page"/>
      </w:r>
    </w:p>
    <w:p>
      <w:pPr>
        <w:pStyle w:val="Heading1"/>
        <w:spacing w:before="240" w:after="120"/>
        <w:keepNext/>
      </w:pPr>
      <w:r>
        <w:rPr>
          <w:rFonts w:ascii="Aptos" w:hAnsi="Aptos"/>
          <w:b/>
          <w:color w:val="0E7490"/>
          <w:sz w:val="20"/>
        </w:rPr>
        <w:t xml:space="preserve">09  </w:t>
      </w:r>
      <w:r>
        <w:rPr>
          <w:rFonts w:ascii="Aptos" w:hAnsi="Aptos"/>
          <w:b/>
          <w:color w:val="0B1F33"/>
          <w:sz w:val="34"/>
        </w:rPr>
        <w:t>Sources and research notes</w:t>
      </w:r>
    </w:p>
    <w:p>
      <w:pPr>
        <w:spacing w:after="120" w:line="259" w:lineRule="auto"/>
        <w:keepLines/>
      </w:pPr>
      <w:r>
        <w:rPr>
          <w:rFonts w:ascii="Aptos" w:hAnsi="Aptos"/>
          <w:color w:val="344054"/>
          <w:sz w:val="19"/>
        </w:rPr>
        <w:t>Sources were accessed on 28 July 2026 unless otherwise stated. Platform and regulatory sources are preferred. Secondary trademark aggregators are identified as preliminary leads only and are not treated as conclusive registry records.</w:t>
      </w:r>
    </w:p>
    <w:tbl>
      <w:tblPr>
        <w:tblW w:type="auto" w:w="0"/>
        <w:jc w:val="center"/>
        <w:tblLayout w:type="fixed"/>
        <w:tblLook w:firstColumn="1" w:firstRow="1" w:lastColumn="0" w:lastRow="0" w:noHBand="0" w:noVBand="1" w:val="04A0"/>
      </w:tblPr>
      <w:tblGrid>
        <w:gridCol w:w="3389"/>
        <w:gridCol w:w="3389"/>
        <w:gridCol w:w="3389"/>
      </w:tblGrid>
      <w:tr>
        <w:trPr>
          <w:cantSplit w:val="true"/>
          <w:tblHeader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Ref</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Source</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0B1F33"/>
          </w:tcPr>
          <w:p>
            <w:pPr>
              <w:spacing w:after="0"/>
            </w:pPr>
            <w:r>
              <w:rPr>
                <w:rFonts w:ascii="Aptos" w:hAnsi="Aptos"/>
                <w:b/>
                <w:color w:val="FFFFFF"/>
                <w:sz w:val="15"/>
              </w:rPr>
              <w:t>Link</w:t>
            </w:r>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S1</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Apple App Store India — Coverwise — Life Insurance</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11">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S2</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Google Play — CoverSure: Insurance made easy</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12">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S3</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Apple App Store India — CoverSure: Insurance made easy</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13">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S4</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CoverSure official site — product and company information</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14">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S5</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IRDAI — List of Corporate Agents (CA0894, Claycove23 Insurance Tech)</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15">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S6</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Coverwise global travel-insurance site</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16">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S7</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Coverwise UK — Terms and Conditions / regulatory information</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17">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S8</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Coverwise India insurance-services site</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18">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S9</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CoverWise Real Estate Insurance, Australia</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19">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S10</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Australian Government ABN Lookup — CoverWise REI Pty Limited</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20">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S11</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Coverwise Financial Services, South Africa</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21">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S12</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CoverWise Insurance Solutions, United States</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22">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S13</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IP India — Trade Marks Act, 1999, including Section 11</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23">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S14</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WIPO Nice Classification — Class 9</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24">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S15</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WIPO Nice Classification — Class 36</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25">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S16</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WIPO Nice Classification — Class 42</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26">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S17</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Apple App Review Guidelines — Intellectual Property, section 5.2</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27">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S18</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Google Play — Intellectual Property policy</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28">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S19</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Google Play — Impersonation policy</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29">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S20</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Google Play — Store listing best practices</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30">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S21</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Google Play — Coverfox: Bike &amp; Car Insurance</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31">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S22</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Google Play — Cover360</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32">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S23</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IP India — Search Existing Trademarks</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33">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color w:val="344054"/>
                <w:sz w:val="15"/>
              </w:rPr>
              <w:t>S24</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r>
              <w:rPr>
                <w:rFonts w:ascii="Aptos" w:hAnsi="Aptos"/>
                <w:b w:val="0"/>
                <w:color w:val="344054"/>
                <w:sz w:val="15"/>
              </w:rPr>
              <w:t>TrademarkElite — preliminary UK COVERWISE record; verify at UKIPO</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shd w:fill="F8FAFC"/>
          </w:tcPr>
          <w:p>
            <w:pPr>
              <w:spacing w:after="0"/>
            </w:pPr>
            <w:hyperlink r:id="rId34">
              <w:r>
                <w:rPr>
                  <w:color w:val="0E7490"/>
                  <w:u w:val="single"/>
                  <w:rFonts w:ascii="Aptos" w:hAnsi="Aptos"/>
                </w:rPr>
                <w:t>Open source</w:t>
              </w:r>
            </w:hyperlink>
          </w:p>
        </w:tc>
      </w:tr>
      <w:tr>
        <w:trPr>
          <w:cantSplit w:val="true"/>
        </w:trPr>
        <w:tc>
          <w:tcPr>
            <w:tcW w:type="dxa" w:w="792"/>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color w:val="344054"/>
                <w:sz w:val="15"/>
              </w:rPr>
              <w:t>S25</w:t>
            </w:r>
          </w:p>
        </w:tc>
        <w:tc>
          <w:tcPr>
            <w:tcW w:type="dxa" w:w="7416"/>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r>
              <w:rPr>
                <w:rFonts w:ascii="Aptos" w:hAnsi="Aptos"/>
                <w:b w:val="0"/>
                <w:color w:val="344054"/>
                <w:sz w:val="15"/>
              </w:rPr>
              <w:t>TrademarkElite — preliminary EU COVERWISE record; verify at EUIPO</w:t>
            </w:r>
          </w:p>
        </w:tc>
        <w:tc>
          <w:tcPr>
            <w:tcW w:type="dxa" w:w="1728"/>
            <w:tcMar>
              <w:top w:w="80" w:type="dxa"/>
              <w:start w:w="90" w:type="dxa"/>
              <w:bottom w:w="80" w:type="dxa"/>
              <w:end w:w="90" w:type="dxa"/>
            </w:tcMar>
            <w:vAlign w:val="center"/>
            <w:tcBorders>
              <w:top w:val="single" w:sz="4" w:color="D0D5DD"/>
              <w:left w:val="single" w:sz="4" w:color="D0D5DD"/>
              <w:bottom w:val="single" w:sz="4" w:color="D0D5DD"/>
              <w:right w:val="single" w:sz="4" w:color="D0D5DD"/>
            </w:tcBorders>
          </w:tcPr>
          <w:p>
            <w:pPr>
              <w:spacing w:after="0"/>
            </w:pPr>
            <w:hyperlink r:id="rId35">
              <w:r>
                <w:rPr>
                  <w:color w:val="0E7490"/>
                  <w:u w:val="single"/>
                  <w:rFonts w:ascii="Aptos" w:hAnsi="Aptos"/>
                </w:rPr>
                <w:t>Open source</w:t>
              </w:r>
            </w:hyperlink>
          </w:p>
        </w:tc>
      </w:tr>
    </w:tbl>
    <w:p>
      <w:pPr>
        <w:pStyle w:val="Heading2"/>
        <w:spacing w:before="160" w:after="80"/>
        <w:keepNext/>
      </w:pPr>
      <w:r>
        <w:rPr>
          <w:rFonts w:ascii="Aptos" w:hAnsi="Aptos"/>
          <w:b/>
          <w:color w:val="0B1F33"/>
          <w:sz w:val="25"/>
        </w:rPr>
        <w:t>Limitations</w:t>
      </w:r>
    </w:p>
    <w:p>
      <w:pPr>
        <w:pStyle w:val="ListBullet"/>
        <w:spacing w:after="60"/>
        <w:ind w:left="317" w:hanging="173"/>
      </w:pPr>
      <w:r>
        <w:rPr>
          <w:rFonts w:ascii="Aptos" w:hAnsi="Aptos"/>
          <w:color w:val="344054"/>
        </w:rPr>
        <w:t>No conclusion in this report proves infringement or guarantees registrability.</w:t>
      </w:r>
    </w:p>
    <w:p>
      <w:pPr>
        <w:pStyle w:val="ListBullet"/>
        <w:spacing w:after="60"/>
        <w:ind w:left="317" w:hanging="173"/>
      </w:pPr>
      <w:r>
        <w:rPr>
          <w:rFonts w:ascii="Aptos" w:hAnsi="Aptos"/>
          <w:color w:val="344054"/>
        </w:rPr>
        <w:t>Official trademark registry searches must include exact, phonetic, contains, proprietor, and device-mark searches, with current status and goods/services reviewed by counsel.</w:t>
      </w:r>
    </w:p>
    <w:p>
      <w:pPr>
        <w:pStyle w:val="ListBullet"/>
        <w:spacing w:after="60"/>
        <w:ind w:left="317" w:hanging="173"/>
      </w:pPr>
      <w:r>
        <w:rPr>
          <w:rFonts w:ascii="Aptos" w:hAnsi="Aptos"/>
          <w:color w:val="344054"/>
        </w:rPr>
        <w:t>The Coverwise.co.in page displays placeholder-looking registration details; this report relies only on the fact of active insurance-category use, not on the site’s regulatory claims.</w:t>
      </w:r>
    </w:p>
    <w:p>
      <w:pPr>
        <w:pStyle w:val="ListBullet"/>
        <w:spacing w:after="60"/>
        <w:ind w:left="317" w:hanging="173"/>
      </w:pPr>
      <w:r>
        <w:rPr>
          <w:rFonts w:ascii="Aptos" w:hAnsi="Aptos"/>
          <w:color w:val="344054"/>
        </w:rPr>
        <w:t>The UK/EU COVERWISE records surfaced through secondary databases and are included only as leads for official verification.</w:t>
      </w:r>
    </w:p>
    <w:p>
      <w:pPr>
        <w:pStyle w:val="ListBullet"/>
        <w:spacing w:after="60"/>
        <w:ind w:left="317" w:hanging="173"/>
      </w:pPr>
      <w:r>
        <w:rPr>
          <w:rFonts w:ascii="Aptos" w:hAnsi="Aptos"/>
          <w:color w:val="344054"/>
        </w:rPr>
        <w:t>Marketplace results can change. A replacement name should be rechecked immediately before filing and launch.</w:t>
      </w:r>
    </w:p>
    <w:p>
      <w:pPr>
        <w:spacing w:before="200"/>
        <w:jc w:val="center"/>
      </w:pPr>
      <w:r>
        <w:rPr>
          <w:rFonts w:ascii="Aptos" w:hAnsi="Aptos"/>
          <w:b/>
          <w:color w:val="667085"/>
          <w:sz w:val="15"/>
        </w:rPr>
        <w:t>END OF REPORT</w:t>
      </w:r>
    </w:p>
    <w:sectPr w:rsidR="00FC693F" w:rsidRPr="0006063C" w:rsidSect="00034616">
      <w:headerReference w:type="default" r:id="rId9"/>
      <w:footerReference w:type="default" r:id="rId10"/>
      <w:pgSz w:w="11909" w:h="16834"/>
      <w:pgMar w:top="1037"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04"/>
      <w:gridCol w:w="5004"/>
    </w:tblGrid>
    <w:tr>
      <w:tc>
        <w:tcPr>
          <w:tcW w:type="dxa" w:w="5004"/>
          <w:tcMar>
            <w:top w:w="0" w:type="dxa"/>
            <w:start w:w="0" w:type="dxa"/>
            <w:bottom w:w="0" w:type="dxa"/>
            <w:end w:w="0" w:type="dxa"/>
          </w:tcMar>
        </w:tcPr>
        <w:p>
          <w:r>
            <w:rPr>
              <w:rFonts w:ascii="Aptos" w:hAnsi="Aptos"/>
              <w:color w:val="667085"/>
              <w:sz w:val="14"/>
            </w:rPr>
            <w:t>Prepared 28 July 2026  |  Preliminary research, not legal advice</w:t>
          </w:r>
        </w:p>
      </w:tc>
      <w:tc>
        <w:tcPr>
          <w:tcW w:type="dxa" w:w="5004"/>
          <w:tcMar>
            <w:top w:w="0" w:type="dxa"/>
            <w:start w:w="0" w:type="dxa"/>
            <w:bottom w:w="0" w:type="dxa"/>
            <w:end w:w="0" w:type="dxa"/>
          </w:tcMar>
        </w:tcPr>
        <w:p>
          <w:pPr>
            <w:jc w:val="right"/>
          </w:pPr>
          <w:r>
            <w:rPr>
              <w:rFonts w:ascii="Aptos" w:hAnsi="Aptos"/>
              <w:color w:val="667085"/>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5"/>
      </w:rPr>
      <w:t>COVERWISE  /  NAME CLEARANCE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ps.apple.com/in/app/coverwise-life-insurance/id6767844240?l=kn" TargetMode="External"/><Relationship Id="rId12" Type="http://schemas.openxmlformats.org/officeDocument/2006/relationships/hyperlink" Target="https://play.google.com/store/apps/details?id=com.coversure" TargetMode="External"/><Relationship Id="rId13" Type="http://schemas.openxmlformats.org/officeDocument/2006/relationships/hyperlink" Target="https://apps.apple.com/in/app/coversure-insurance-made-easy/id6454847100" TargetMode="External"/><Relationship Id="rId14" Type="http://schemas.openxmlformats.org/officeDocument/2006/relationships/hyperlink" Target="https://www.coversure.in/" TargetMode="External"/><Relationship Id="rId15" Type="http://schemas.openxmlformats.org/officeDocument/2006/relationships/hyperlink" Target="https://irdai.gov.in/list-of-corporate-agents1" TargetMode="External"/><Relationship Id="rId16" Type="http://schemas.openxmlformats.org/officeDocument/2006/relationships/hyperlink" Target="https://coverwise.com/" TargetMode="External"/><Relationship Id="rId17" Type="http://schemas.openxmlformats.org/officeDocument/2006/relationships/hyperlink" Target="https://www.coverwise.co.uk/aboutus/TermsAndConditions.aspx" TargetMode="External"/><Relationship Id="rId18" Type="http://schemas.openxmlformats.org/officeDocument/2006/relationships/hyperlink" Target="https://www.coverwise.co.in/" TargetMode="External"/><Relationship Id="rId19" Type="http://schemas.openxmlformats.org/officeDocument/2006/relationships/hyperlink" Target="https://coverwiserei.com/" TargetMode="External"/><Relationship Id="rId20" Type="http://schemas.openxmlformats.org/officeDocument/2006/relationships/hyperlink" Target="https://abr.business.gov.au/ABN/View?abn=61630707792" TargetMode="External"/><Relationship Id="rId21" Type="http://schemas.openxmlformats.org/officeDocument/2006/relationships/hyperlink" Target="https://coverwisesa.co.za/" TargetMode="External"/><Relationship Id="rId22" Type="http://schemas.openxmlformats.org/officeDocument/2006/relationships/hyperlink" Target="https://www.coverwiseusa.com/" TargetMode="External"/><Relationship Id="rId23" Type="http://schemas.openxmlformats.org/officeDocument/2006/relationships/hyperlink" Target="https://www.ipindia.gov.in/tm-act-1999" TargetMode="External"/><Relationship Id="rId24" Type="http://schemas.openxmlformats.org/officeDocument/2006/relationships/hyperlink" Target="https://nclpub.wipo.int/enfr/?explanatory_notes=show&amp;lang=en&amp;menulang=en&amp;notion=class_headings&amp;version=20240101" TargetMode="External"/><Relationship Id="rId25" Type="http://schemas.openxmlformats.org/officeDocument/2006/relationships/hyperlink" Target="https://nclpub.wipo.int/enfr/?class_number=36&amp;lang=en&amp;menulang=en&amp;mode=flat&amp;notion=modifications&amp;version=20210101" TargetMode="External"/><Relationship Id="rId26" Type="http://schemas.openxmlformats.org/officeDocument/2006/relationships/hyperlink" Target="https://nclpub.wipo.int/enfr/?class_number=42&amp;explanatory_=" TargetMode="External"/><Relationship Id="rId27" Type="http://schemas.openxmlformats.org/officeDocument/2006/relationships/hyperlink" Target="https://developer.apple.com/app-store/review/guidelines/" TargetMode="External"/><Relationship Id="rId28" Type="http://schemas.openxmlformats.org/officeDocument/2006/relationships/hyperlink" Target="https://support.google.com/googleplay/android-developer/answer/9888072?hl=en" TargetMode="External"/><Relationship Id="rId29" Type="http://schemas.openxmlformats.org/officeDocument/2006/relationships/hyperlink" Target="https://support.google.com/googleplay/android-developer/answer/9888374?hl=en" TargetMode="External"/><Relationship Id="rId30" Type="http://schemas.openxmlformats.org/officeDocument/2006/relationships/hyperlink" Target="https://support.google.com/googleplay/android-developer/answer/13393723?hl=en" TargetMode="External"/><Relationship Id="rId31" Type="http://schemas.openxmlformats.org/officeDocument/2006/relationships/hyperlink" Target="https://play.google.com/store/apps/details?id=com.coverfox.app" TargetMode="External"/><Relationship Id="rId32" Type="http://schemas.openxmlformats.org/officeDocument/2006/relationships/hyperlink" Target="https://play.google.com/store/apps/details?id=com.wibl_corp.corpgmcapp" TargetMode="External"/><Relationship Id="rId33" Type="http://schemas.openxmlformats.org/officeDocument/2006/relationships/hyperlink" Target="https://www.ipindia.gov.in/trade-marks-before-you-apply-search-existing-trademarks" TargetMode="External"/><Relationship Id="rId34" Type="http://schemas.openxmlformats.org/officeDocument/2006/relationships/hyperlink" Target="https://www.trademarkelite.com/uk/trademark/trademark-detail/UK00001335479/COVERWISE" TargetMode="External"/><Relationship Id="rId35" Type="http://schemas.openxmlformats.org/officeDocument/2006/relationships/hyperlink" Target="https://www.trademarkelite.com/europe/trademark/trademark-detail/010241231/COVERW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CoverWise Name Clearance and Brand Risk Report</dc:title>
  <dc:subject>Preliminary market, app-store and trademark-risk assessment</dc:subject>
  <dc:creator>OpenAI</dc:creator>
  <cp:keywords>CoverWise, insurance app, naming, trademark, app store, brand risk</cp:keywords>
  <dc:description>Prepared 28 July 2026. Preliminary research, not legal advice.</dc:description>
  <cp:lastModifiedBy/>
  <cp:revision>1</cp:revision>
  <dcterms:created xsi:type="dcterms:W3CDTF">2013-12-23T23:15:00Z</dcterms:created>
  <dcterms:modified xsi:type="dcterms:W3CDTF">2013-12-23T23:15:00Z</dcterms:modified>
  <cp:category/>
</cp:coreProperties>
</file>