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Liberation Sans" w:hAnsi="Liberation Sans" w:eastAsia="Liberation Sans"/>
          <w:b/>
          <w:i w:val="0"/>
          <w:color w:val="145BC7"/>
          <w:sz w:val="26"/>
        </w:rPr>
        <w:t>COVERWISE</w:t>
      </w:r>
    </w:p>
    <w:p>
      <w:pPr>
        <w:spacing w:before="80" w:after="200"/>
      </w:pPr>
      <w:r>
        <w:rPr>
          <w:rFonts w:ascii="Liberation Sans" w:hAnsi="Liberation Sans" w:eastAsia="Liberation Sans"/>
          <w:b/>
          <w:i w:val="0"/>
          <w:color w:val="071B33"/>
          <w:sz w:val="62"/>
        </w:rPr>
        <w:t>Architecture, Flow and</w:t>
        <w:br/>
        <w:t>Long-Term Systems Audit</w:t>
      </w:r>
    </w:p>
    <w:p>
      <w:pPr>
        <w:spacing w:after="360"/>
      </w:pPr>
      <w:r>
        <w:rPr>
          <w:rFonts w:ascii="Liberation Sans" w:hAnsi="Liberation Sans" w:eastAsia="Liberation Sans"/>
          <w:b w:val="0"/>
          <w:i w:val="0"/>
          <w:color w:val="475467"/>
          <w:sz w:val="28"/>
        </w:rPr>
        <w:t>First-principles assessment aligned to motto_v3</w:t>
      </w:r>
    </w:p>
    <w:tbl>
      <w:tblPr>
        <w:tblW w:type="auto" w:w="0"/>
        <w:jc w:val="center"/>
        <w:tblLayout w:type="fixed"/>
        <w:tblLook w:firstColumn="1" w:firstRow="1" w:lastColumn="0" w:lastRow="0" w:noHBand="0" w:noVBand="1" w:val="04A0"/>
      </w:tblPr>
      <w:tblGrid>
        <w:gridCol w:w="173"/>
        <w:gridCol w:w="9720"/>
      </w:tblGrid>
      <w:tr>
        <w:trPr>
          <w:cantSplit/>
        </w:trPr>
        <w:tc>
          <w:tcPr>
            <w:tcW w:type="dxa" w:w="172"/>
            <w:shd w:fill="B42318"/>
            <w:tcMar>
              <w:top w:w="100" w:type="dxa"/>
              <w:start w:w="120" w:type="dxa"/>
              <w:bottom w:w="100" w:type="dxa"/>
              <w:end w:w="120" w:type="dxa"/>
            </w:tcMar>
            <w:tcBorders>
              <w:top w:val="nil"/>
              <w:left w:val="nil"/>
              <w:bottom w:val="nil"/>
              <w:right w:val="nil"/>
            </w:tcBorders>
            <w:vAlign w:val="center"/>
          </w:tcPr>
          <w:p/>
        </w:tc>
        <w:tc>
          <w:tcPr>
            <w:tcW w:type="dxa" w:w="9720"/>
            <w:shd w:fill="FEF3F2"/>
            <w:tcMar>
              <w:top w:w="100" w:type="dxa"/>
              <w:start w:w="120" w:type="dxa"/>
              <w:bottom w:w="100" w:type="dxa"/>
              <w:end w:w="120" w:type="dxa"/>
            </w:tcMar>
            <w:tcBorders>
              <w:top w:val="nil"/>
              <w:left w:val="nil"/>
              <w:bottom w:val="nil"/>
              <w:right w:val="nil"/>
            </w:tcBorders>
            <w:vAlign w:val="center"/>
          </w:tcPr>
          <w:p>
            <w:r>
              <w:rPr>
                <w:rFonts w:ascii="Liberation Sans" w:hAnsi="Liberation Sans" w:eastAsia="Liberation Sans"/>
                <w:b/>
                <w:i w:val="0"/>
                <w:color w:val="B42318"/>
                <w:sz w:val="21"/>
              </w:rPr>
              <w:t>Production verdict: NO-GO</w:t>
              <w:br/>
            </w:r>
            <w:r>
              <w:rPr>
                <w:rFonts w:ascii="Liberation Sans" w:hAnsi="Liberation Sans" w:eastAsia="Liberation Sans"/>
                <w:b w:val="0"/>
                <w:i w:val="0"/>
                <w:color w:val="101828"/>
                <w:sz w:val="19"/>
              </w:rPr>
              <w:t>The current codebase has a credible product shell and several strong trust boundaries, but it does not yet preserve correctness, ownership, deletion, durability, or evidence end to end. The most dangerous defects are integration seams that fail silently behind local fallbacks.</w:t>
            </w:r>
          </w:p>
        </w:tc>
      </w:tr>
    </w:tbl>
    <w:p>
      <w:pPr>
        <w:spacing w:after="0"/>
      </w:pPr>
    </w:p>
    <w:tbl>
      <w:tblPr>
        <w:tblW w:type="auto" w:w="0"/>
        <w:jc w:val="center"/>
        <w:tblLayout w:type="fixed"/>
        <w:tblLook w:firstColumn="1" w:firstRow="1" w:lastColumn="0" w:lastRow="0" w:noHBand="0" w:noVBand="1" w:val="04A0"/>
      </w:tblPr>
      <w:tblGrid>
        <w:gridCol w:w="2333"/>
        <w:gridCol w:w="7488"/>
      </w:tblGrid>
      <w:tr>
        <w:trPr>
          <w:tblHeader w:val="true"/>
          <w:cantSplit/>
        </w:trPr>
        <w:tc>
          <w:tcPr>
            <w:tcW w:type="dxa" w:w="2332"/>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8"/>
              </w:rPr>
              <w:t>Audit field</w:t>
            </w:r>
          </w:p>
        </w:tc>
        <w:tc>
          <w:tcPr>
            <w:tcW w:type="dxa" w:w="7488"/>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8"/>
              </w:rPr>
              <w:t>Value</w:t>
            </w:r>
          </w:p>
        </w:tc>
      </w:tr>
      <w:tr>
        <w:trPr>
          <w:cantSplit/>
        </w:trPr>
        <w:tc>
          <w:tcPr>
            <w:tcW w:type="dxa" w:w="23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8"/>
              </w:rPr>
              <w:t>Repository</w:t>
            </w:r>
          </w:p>
        </w:tc>
        <w:tc>
          <w:tcPr>
            <w:tcW w:type="dxa" w:w="74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8"/>
              </w:rPr>
              <w:t>pranaysuyash/insurance_q</w:t>
            </w:r>
          </w:p>
        </w:tc>
      </w:tr>
      <w:tr>
        <w:trPr>
          <w:cantSplit/>
        </w:trPr>
        <w:tc>
          <w:tcPr>
            <w:tcW w:type="dxa" w:w="23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8"/>
              </w:rPr>
              <w:t>Branch and commit</w:t>
            </w:r>
          </w:p>
        </w:tc>
        <w:tc>
          <w:tcPr>
            <w:tcW w:type="dxa" w:w="74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8"/>
              </w:rPr>
              <w:t>main @ e3440a5da174c0cbbe279878bdff21950d8cab63</w:t>
            </w:r>
          </w:p>
        </w:tc>
      </w:tr>
      <w:tr>
        <w:trPr>
          <w:cantSplit/>
        </w:trPr>
        <w:tc>
          <w:tcPr>
            <w:tcW w:type="dxa" w:w="23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8"/>
              </w:rPr>
              <w:t>Repository state</w:t>
            </w:r>
          </w:p>
        </w:tc>
        <w:tc>
          <w:tcPr>
            <w:tcW w:type="dxa" w:w="74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8"/>
              </w:rPr>
              <w:t>Latest inspected commit dated 17 July 2026</w:t>
            </w:r>
          </w:p>
        </w:tc>
      </w:tr>
      <w:tr>
        <w:trPr>
          <w:cantSplit/>
        </w:trPr>
        <w:tc>
          <w:tcPr>
            <w:tcW w:type="dxa" w:w="23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8"/>
              </w:rPr>
              <w:t>Audit date</w:t>
            </w:r>
          </w:p>
        </w:tc>
        <w:tc>
          <w:tcPr>
            <w:tcW w:type="dxa" w:w="74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8"/>
              </w:rPr>
              <w:t>18 July 2026</w:t>
            </w:r>
          </w:p>
        </w:tc>
      </w:tr>
      <w:tr>
        <w:trPr>
          <w:cantSplit/>
        </w:trPr>
        <w:tc>
          <w:tcPr>
            <w:tcW w:type="dxa" w:w="23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8"/>
              </w:rPr>
              <w:t>Evidence tier</w:t>
            </w:r>
          </w:p>
        </w:tc>
        <w:tc>
          <w:tcPr>
            <w:tcW w:type="dxa" w:w="74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8"/>
              </w:rPr>
              <w:t>T1 static inspection. No runtime, integration, or production-like execution performed.</w:t>
            </w:r>
          </w:p>
        </w:tc>
      </w:tr>
      <w:tr>
        <w:trPr>
          <w:cantSplit/>
        </w:trPr>
        <w:tc>
          <w:tcPr>
            <w:tcW w:type="dxa" w:w="23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8"/>
              </w:rPr>
              <w:t>Repository mutations</w:t>
            </w:r>
          </w:p>
        </w:tc>
        <w:tc>
          <w:tcPr>
            <w:tcW w:type="dxa" w:w="74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8"/>
              </w:rPr>
              <w:t>None. Read-only GitHub inspection.</w:t>
            </w:r>
          </w:p>
        </w:tc>
      </w:tr>
      <w:tr>
        <w:trPr>
          <w:cantSplit/>
        </w:trPr>
        <w:tc>
          <w:tcPr>
            <w:tcW w:type="dxa" w:w="23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8"/>
              </w:rPr>
              <w:t>Primary doctrine</w:t>
            </w:r>
          </w:p>
        </w:tc>
        <w:tc>
          <w:tcPr>
            <w:tcW w:type="dxa" w:w="74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8"/>
              </w:rPr>
              <w:t>motto_v3.md</w:t>
            </w:r>
          </w:p>
        </w:tc>
      </w:tr>
    </w:tbl>
    <w:p>
      <w:pPr>
        <w:spacing w:after="0"/>
      </w:pPr>
    </w:p>
    <w:p>
      <w:pPr>
        <w:spacing w:before="200"/>
      </w:pPr>
      <w:r>
        <w:rPr>
          <w:rFonts w:ascii="Liberation Sans" w:hAnsi="Liberation Sans" w:eastAsia="Liberation Sans"/>
          <w:b/>
          <w:i w:val="0"/>
          <w:color w:val="475467"/>
          <w:sz w:val="18"/>
        </w:rPr>
        <w:t xml:space="preserve">Prepared for: </w:t>
      </w:r>
      <w:r>
        <w:rPr>
          <w:rFonts w:ascii="Liberation Sans" w:hAnsi="Liberation Sans" w:eastAsia="Liberation Sans"/>
          <w:b/>
          <w:i w:val="0"/>
          <w:color w:val="071B33"/>
          <w:sz w:val="18"/>
        </w:rPr>
        <w:t>Pranay Suyash</w:t>
      </w:r>
      <w:r>
        <w:rPr>
          <w:rFonts w:ascii="Liberation Sans" w:hAnsi="Liberation Sans" w:eastAsia="Liberation Sans"/>
          <w:b w:val="0"/>
          <w:i w:val="0"/>
          <w:color w:val="475467"/>
          <w:sz w:val="18"/>
        </w:rPr>
        <w:t xml:space="preserve">  |  Long-term product and platform review</w:t>
      </w:r>
    </w:p>
    <w:p>
      <w:r>
        <w:br w:type="page"/>
      </w:r>
    </w:p>
    <w:p>
      <w:pPr>
        <w:spacing w:after="40"/>
      </w:pPr>
    </w:p>
    <w:p>
      <w:bookmarkStart w:id="1" w:name="audit_contract"/>
      <w:pPr>
        <w:pStyle w:val="Heading1"/>
        <w:spacing w:before="220" w:after="100"/>
        <w:keepNext/>
      </w:pPr>
      <w:r>
        <w:rPr>
          <w:rFonts w:ascii="Liberation Sans" w:hAnsi="Liberation Sans" w:eastAsia="Liberation Sans"/>
          <w:b/>
          <w:i w:val="0"/>
          <w:color w:val="071B33"/>
          <w:sz w:val="34"/>
        </w:rPr>
        <w:t>1. Audit contract and evidence discipline</w:t>
      </w:r>
      <w:bookmarkEnd w:id="1"/>
    </w:p>
    <w:p>
      <w:pPr>
        <w:spacing w:after="100" w:line="259" w:lineRule="auto"/>
      </w:pPr>
      <w:r>
        <w:rPr>
          <w:rFonts w:ascii="Liberation Sans" w:hAnsi="Liberation Sans" w:eastAsia="Liberation Sans"/>
          <w:b w:val="0"/>
          <w:i w:val="0"/>
          <w:color w:val="101828"/>
          <w:sz w:val="20"/>
        </w:rPr>
        <w:t>This document is an architecture audit, not a release certificate. It reconstructs the current system from the latest main branch, traces major flows across mobile, API, storage, processing, extraction, retrieval, authentication, analytics, and deployment, then compares those flows against the durable platform direction already recorded in the repository and the engineering doctrine in motto_v3.</w:t>
      </w:r>
    </w:p>
    <w:p>
      <w:pPr>
        <w:pStyle w:val="Heading2"/>
        <w:spacing w:before="160" w:after="100"/>
        <w:keepNext/>
      </w:pPr>
      <w:r>
        <w:rPr>
          <w:rFonts w:ascii="Liberation Sans" w:hAnsi="Liberation Sans" w:eastAsia="Liberation Sans"/>
          <w:b/>
          <w:i w:val="0"/>
          <w:color w:val="145BC7"/>
          <w:sz w:val="26"/>
        </w:rPr>
        <w:t>1.1 Evidence tiers used</w:t>
      </w:r>
    </w:p>
    <w:tbl>
      <w:tblPr>
        <w:tblW w:type="auto" w:w="0"/>
        <w:jc w:val="center"/>
        <w:tblLayout w:type="fixed"/>
        <w:tblLook w:firstColumn="1" w:firstRow="1" w:lastColumn="0" w:lastRow="0" w:noHBand="0" w:noVBand="1" w:val="04A0"/>
      </w:tblPr>
      <w:tblGrid>
        <w:gridCol w:w="792"/>
        <w:gridCol w:w="3312"/>
        <w:gridCol w:w="5688"/>
      </w:tblGrid>
      <w:tr>
        <w:trPr>
          <w:tblHeader w:val="true"/>
          <w:cantSplit/>
        </w:trPr>
        <w:tc>
          <w:tcPr>
            <w:tcW w:type="dxa" w:w="792"/>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7"/>
              </w:rPr>
              <w:t>Tier</w:t>
            </w:r>
          </w:p>
        </w:tc>
        <w:tc>
          <w:tcPr>
            <w:tcW w:type="dxa" w:w="3311"/>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7"/>
              </w:rPr>
              <w:t>Meaning</w:t>
            </w:r>
          </w:p>
        </w:tc>
        <w:tc>
          <w:tcPr>
            <w:tcW w:type="dxa" w:w="5688"/>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7"/>
              </w:rPr>
              <w:t>How this audit uses it</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T0</w:t>
            </w:r>
          </w:p>
        </w:tc>
        <w:tc>
          <w:tcPr>
            <w:tcW w:type="dxa" w:w="3311"/>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Assumption or hypothesis</w:t>
            </w:r>
          </w:p>
        </w:tc>
        <w:tc>
          <w:tcPr>
            <w:tcW w:type="dxa" w:w="56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Called out explicitly. Never presented as fact.</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T1</w:t>
            </w:r>
          </w:p>
        </w:tc>
        <w:tc>
          <w:tcPr>
            <w:tcW w:type="dxa" w:w="3311"/>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Static evidence from source, configuration, migrations, docs, or commit metadata</w:t>
            </w:r>
          </w:p>
        </w:tc>
        <w:tc>
          <w:tcPr>
            <w:tcW w:type="dxa" w:w="56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Primary evidence tier for this audit.</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T2</w:t>
            </w:r>
          </w:p>
        </w:tc>
        <w:tc>
          <w:tcPr>
            <w:tcW w:type="dxa" w:w="3311"/>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Targeted automated test</w:t>
            </w:r>
          </w:p>
        </w:tc>
        <w:tc>
          <w:tcPr>
            <w:tcW w:type="dxa" w:w="56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Not executed in this audit. Existing test files are inventory, not proof.</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T3</w:t>
            </w:r>
          </w:p>
        </w:tc>
        <w:tc>
          <w:tcPr>
            <w:tcW w:type="dxa" w:w="3311"/>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Integration verification across boundaries</w:t>
            </w:r>
          </w:p>
        </w:tc>
        <w:tc>
          <w:tcPr>
            <w:tcW w:type="dxa" w:w="56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Required before launch for upload, claim, deletion, query, and account flows.</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T4</w:t>
            </w:r>
          </w:p>
        </w:tc>
        <w:tc>
          <w:tcPr>
            <w:tcW w:type="dxa" w:w="3311"/>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Runtime observation against a running system</w:t>
            </w:r>
          </w:p>
        </w:tc>
        <w:tc>
          <w:tcPr>
            <w:tcW w:type="dxa" w:w="56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Required for latency, retries, CORS, auth, OCR, and failure behavior.</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T5</w:t>
            </w:r>
          </w:p>
        </w:tc>
        <w:tc>
          <w:tcPr>
            <w:tcW w:type="dxa" w:w="3311"/>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Production-like or live evidence</w:t>
            </w:r>
          </w:p>
        </w:tc>
        <w:tc>
          <w:tcPr>
            <w:tcW w:type="dxa" w:w="56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Required before calling the platform launch-ready.</w:t>
            </w:r>
          </w:p>
        </w:tc>
      </w:tr>
    </w:tbl>
    <w:p>
      <w:pPr>
        <w:spacing w:after="0"/>
      </w:pPr>
    </w:p>
    <w:tbl>
      <w:tblPr>
        <w:tblW w:type="auto" w:w="0"/>
        <w:jc w:val="center"/>
        <w:tblLayout w:type="fixed"/>
        <w:tblLook w:firstColumn="1" w:firstRow="1" w:lastColumn="0" w:lastRow="0" w:noHBand="0" w:noVBand="1" w:val="04A0"/>
      </w:tblPr>
      <w:tblGrid>
        <w:gridCol w:w="173"/>
        <w:gridCol w:w="9720"/>
      </w:tblGrid>
      <w:tr>
        <w:trPr>
          <w:cantSplit/>
        </w:trPr>
        <w:tc>
          <w:tcPr>
            <w:tcW w:type="dxa" w:w="172"/>
            <w:shd w:fill="B45309"/>
            <w:tcMar>
              <w:top w:w="100" w:type="dxa"/>
              <w:start w:w="120" w:type="dxa"/>
              <w:bottom w:w="100" w:type="dxa"/>
              <w:end w:w="120" w:type="dxa"/>
            </w:tcMar>
            <w:tcBorders>
              <w:top w:val="nil"/>
              <w:left w:val="nil"/>
              <w:bottom w:val="nil"/>
              <w:right w:val="nil"/>
            </w:tcBorders>
            <w:vAlign w:val="center"/>
          </w:tcPr>
          <w:p/>
        </w:tc>
        <w:tc>
          <w:tcPr>
            <w:tcW w:type="dxa" w:w="9720"/>
            <w:shd w:fill="FFFAEB"/>
            <w:tcMar>
              <w:top w:w="100" w:type="dxa"/>
              <w:start w:w="120" w:type="dxa"/>
              <w:bottom w:w="100" w:type="dxa"/>
              <w:end w:w="120" w:type="dxa"/>
            </w:tcMar>
            <w:tcBorders>
              <w:top w:val="nil"/>
              <w:left w:val="nil"/>
              <w:bottom w:val="nil"/>
              <w:right w:val="nil"/>
            </w:tcBorders>
            <w:vAlign w:val="center"/>
          </w:tcPr>
          <w:p>
            <w:r>
              <w:rPr>
                <w:rFonts w:ascii="Liberation Sans" w:hAnsi="Liberation Sans" w:eastAsia="Liberation Sans"/>
                <w:b/>
                <w:i w:val="0"/>
                <w:color w:val="B45309"/>
                <w:sz w:val="21"/>
              </w:rPr>
              <w:t>Evidence limitation</w:t>
              <w:br/>
            </w:r>
            <w:r>
              <w:rPr>
                <w:rFonts w:ascii="Liberation Sans" w:hAnsi="Liberation Sans" w:eastAsia="Liberation Sans"/>
                <w:b w:val="0"/>
                <w:i w:val="0"/>
                <w:color w:val="101828"/>
                <w:sz w:val="19"/>
              </w:rPr>
              <w:t>The audited commit has no GitHub workflow run and no combined status attached. The repository contains statements such as all tests pass, but those statements are not treated as current evidence. This is intentionally consistent with motto_v3: observed evidence outranks comments and status prose.</w:t>
            </w:r>
          </w:p>
        </w:tc>
      </w:tr>
    </w:tbl>
    <w:p>
      <w:pPr>
        <w:spacing w:after="0"/>
      </w:pPr>
    </w:p>
    <w:p>
      <w:pPr>
        <w:pStyle w:val="Heading2"/>
        <w:spacing w:before="160" w:after="100"/>
        <w:keepNext/>
      </w:pPr>
      <w:r>
        <w:rPr>
          <w:rFonts w:ascii="Liberation Sans" w:hAnsi="Liberation Sans" w:eastAsia="Liberation Sans"/>
          <w:b/>
          <w:i w:val="0"/>
          <w:color w:val="145BC7"/>
          <w:sz w:val="26"/>
        </w:rPr>
        <w:t>1.2 What was inspected</w:t>
      </w:r>
    </w:p>
    <w:p>
      <w:pPr>
        <w:spacing w:after="100" w:line="259" w:lineRule="auto"/>
      </w:pPr>
      <w:r>
        <w:rPr>
          <w:rFonts w:ascii="Liberation Sans" w:hAnsi="Liberation Sans" w:eastAsia="Liberation Sans"/>
          <w:b w:val="0"/>
          <w:i w:val="0"/>
          <w:color w:val="101828"/>
          <w:sz w:val="20"/>
        </w:rPr>
        <w:t>The audit sampled the canonical and high-risk paths rather than counting files. The inspected set includes:</w:t>
      </w:r>
    </w:p>
    <w:p>
      <w:pPr>
        <w:pStyle w:val="ListBullet"/>
        <w:spacing w:after="60"/>
        <w:ind w:left="317" w:hanging="173"/>
      </w:pPr>
      <w:r>
        <w:rPr>
          <w:rFonts w:ascii="Liberation Sans" w:hAnsi="Liberation Sans" w:eastAsia="Liberation Sans"/>
          <w:b w:val="0"/>
          <w:i w:val="0"/>
          <w:color w:val="101828"/>
          <w:sz w:val="20"/>
        </w:rPr>
        <w:t>Doctrine and current direction: motto_v3.md, README.md, the 12 July long-term platform decision, the 16 July architecture review, and the 17 July strategic assessment.</w:t>
      </w:r>
    </w:p>
    <w:p>
      <w:pPr>
        <w:pStyle w:val="ListBullet"/>
        <w:spacing w:after="60"/>
        <w:ind w:left="317" w:hanging="173"/>
      </w:pPr>
      <w:r>
        <w:rPr>
          <w:rFonts w:ascii="Liberation Sans" w:hAnsi="Liberation Sans" w:eastAsia="Liberation Sans"/>
          <w:b w:val="0"/>
          <w:i w:val="0"/>
          <w:color w:val="101828"/>
          <w:sz w:val="20"/>
        </w:rPr>
        <w:t>Runtime composition: src/app/main.py, production runtime configuration, mounted marketing app, health/readiness behavior, and non-production compatibility endpoints.</w:t>
      </w:r>
    </w:p>
    <w:p>
      <w:pPr>
        <w:pStyle w:val="ListBullet"/>
        <w:spacing w:after="60"/>
        <w:ind w:left="317" w:hanging="173"/>
      </w:pPr>
      <w:r>
        <w:rPr>
          <w:rFonts w:ascii="Liberation Sans" w:hAnsi="Liberation Sans" w:eastAsia="Liberation Sans"/>
          <w:b w:val="0"/>
          <w:i w:val="0"/>
          <w:color w:val="101828"/>
          <w:sz w:val="20"/>
        </w:rPr>
        <w:t>Identity and ownership: anonymous JWTs, Supabase account verification, account claim, account deletion, repository ownership boundaries, and Supabase RPCs.</w:t>
      </w:r>
    </w:p>
    <w:p>
      <w:pPr>
        <w:pStyle w:val="ListBullet"/>
        <w:spacing w:after="60"/>
        <w:ind w:left="317" w:hanging="173"/>
      </w:pPr>
      <w:r>
        <w:rPr>
          <w:rFonts w:ascii="Liberation Sans" w:hAnsi="Liberation Sans" w:eastAsia="Liberation Sans"/>
          <w:b w:val="0"/>
          <w:i w:val="0"/>
          <w:color w:val="101828"/>
          <w:sz w:val="20"/>
        </w:rPr>
        <w:t>Document lifecycle: upload validation, object storage, metadata persistence, background processing, lease recovery, classification, summary extraction, RAG ingestion, status, list, query, and deletion.</w:t>
      </w:r>
    </w:p>
    <w:p>
      <w:pPr>
        <w:pStyle w:val="ListBullet"/>
        <w:spacing w:after="60"/>
        <w:ind w:left="317" w:hanging="173"/>
      </w:pPr>
      <w:r>
        <w:rPr>
          <w:rFonts w:ascii="Liberation Sans" w:hAnsi="Liberation Sans" w:eastAsia="Liberation Sans"/>
          <w:b w:val="0"/>
          <w:i w:val="0"/>
          <w:color w:val="101828"/>
          <w:sz w:val="20"/>
        </w:rPr>
        <w:t>Retrieval and AI: chunking, entity views, contextualization, embeddings and fallbacks, pgvector search, exact lookup, RAG Fusion, HyDE, reranking, confidence, citations, and LLM routing.</w:t>
      </w:r>
    </w:p>
    <w:p>
      <w:pPr>
        <w:pStyle w:val="ListBullet"/>
        <w:spacing w:after="60"/>
        <w:ind w:left="317" w:hanging="173"/>
      </w:pPr>
      <w:r>
        <w:rPr>
          <w:rFonts w:ascii="Liberation Sans" w:hAnsi="Liberation Sans" w:eastAsia="Liberation Sans"/>
          <w:b w:val="0"/>
          <w:i w:val="0"/>
          <w:color w:val="101828"/>
          <w:sz w:val="20"/>
        </w:rPr>
        <w:t>Mobile product flow: startup, onboarding, navigation, auth, upload, local persistence, processing status, summary cache, emergency card, coverage gap analysis, deletion, analytics, and account surfaces.</w:t>
      </w:r>
    </w:p>
    <w:p>
      <w:pPr>
        <w:pStyle w:val="ListBullet"/>
        <w:spacing w:after="60"/>
        <w:ind w:left="317" w:hanging="173"/>
      </w:pPr>
      <w:r>
        <w:rPr>
          <w:rFonts w:ascii="Liberation Sans" w:hAnsi="Liberation Sans" w:eastAsia="Liberation Sans"/>
          <w:b w:val="0"/>
          <w:i w:val="0"/>
          <w:color w:val="101828"/>
          <w:sz w:val="20"/>
        </w:rPr>
        <w:t>Delivery system: Dockerfile, production requirements, CI workflow, migrations, and repository documentation drift.</w:t>
      </w:r>
    </w:p>
    <w:p>
      <w:pPr>
        <w:pStyle w:val="Heading2"/>
        <w:spacing w:before="160" w:after="100"/>
        <w:keepNext/>
      </w:pPr>
      <w:r>
        <w:rPr>
          <w:rFonts w:ascii="Liberation Sans" w:hAnsi="Liberation Sans" w:eastAsia="Liberation Sans"/>
          <w:b/>
          <w:i w:val="0"/>
          <w:color w:val="145BC7"/>
          <w:sz w:val="26"/>
        </w:rPr>
        <w:t>1.3 Motto_v3 acceptance contract for this audit</w:t>
      </w:r>
    </w:p>
    <w:tbl>
      <w:tblPr>
        <w:tblW w:type="auto" w:w="0"/>
        <w:jc w:val="center"/>
        <w:tblLayout w:type="fixed"/>
        <w:tblLook w:firstColumn="1" w:firstRow="1" w:lastColumn="0" w:lastRow="0" w:noHBand="0" w:noVBand="1" w:val="04A0"/>
      </w:tblPr>
      <w:tblGrid>
        <w:gridCol w:w="3096"/>
        <w:gridCol w:w="1296"/>
        <w:gridCol w:w="5400"/>
      </w:tblGrid>
      <w:tr>
        <w:trPr>
          <w:tblHeader w:val="true"/>
          <w:cantSplit/>
        </w:trPr>
        <w:tc>
          <w:tcPr>
            <w:tcW w:type="dxa" w:w="309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7"/>
              </w:rPr>
              <w:t>Acceptance item</w:t>
            </w:r>
          </w:p>
        </w:tc>
        <w:tc>
          <w:tcPr>
            <w:tcW w:type="dxa" w:w="129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7"/>
              </w:rPr>
              <w:t>Status</w:t>
            </w:r>
          </w:p>
        </w:tc>
        <w:tc>
          <w:tcPr>
            <w:tcW w:type="dxa" w:w="540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7"/>
              </w:rPr>
              <w:t>Evidence</w:t>
            </w:r>
          </w:p>
        </w:tc>
      </w:tr>
      <w:tr>
        <w:trPr>
          <w:cantSplit/>
        </w:trPr>
        <w:tc>
          <w:tcPr>
            <w:tcW w:type="dxa" w:w="30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Repository reviewed before recommendations</w:t>
            </w:r>
          </w:p>
        </w:tc>
        <w:tc>
          <w:tcPr>
            <w:tcW w:type="dxa" w:w="12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Met</w:t>
            </w:r>
          </w:p>
        </w:tc>
        <w:tc>
          <w:tcPr>
            <w:tcW w:type="dxa" w:w="54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Current main and latest commit metadata inspected first.</w:t>
            </w:r>
          </w:p>
        </w:tc>
      </w:tr>
      <w:tr>
        <w:trPr>
          <w:cantSplit/>
        </w:trPr>
        <w:tc>
          <w:tcPr>
            <w:tcW w:type="dxa" w:w="30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Canonical path reconstructed end to end</w:t>
            </w:r>
          </w:p>
        </w:tc>
        <w:tc>
          <w:tcPr>
            <w:tcW w:type="dxa" w:w="12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Met at T1</w:t>
            </w:r>
          </w:p>
        </w:tc>
        <w:tc>
          <w:tcPr>
            <w:tcW w:type="dxa" w:w="54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Mobile -&gt; API -&gt; object store -&gt; metadata -&gt; OCR/extraction -&gt; vector store -&gt; answer -&gt; mobile cache.</w:t>
            </w:r>
          </w:p>
        </w:tc>
      </w:tr>
      <w:tr>
        <w:trPr>
          <w:cantSplit/>
        </w:trPr>
        <w:tc>
          <w:tcPr>
            <w:tcW w:type="dxa" w:w="30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No shadow truth accepted without challenge</w:t>
            </w:r>
          </w:p>
        </w:tc>
        <w:tc>
          <w:tcPr>
            <w:tcW w:type="dxa" w:w="12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Met</w:t>
            </w:r>
          </w:p>
        </w:tc>
        <w:tc>
          <w:tcPr>
            <w:tcW w:type="dxa" w:w="54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Disk/Redis summaries, SQLite analytics, local processing status, stale AWS docs, and duplicate storage paths are explicitly flagged.</w:t>
            </w:r>
          </w:p>
        </w:tc>
      </w:tr>
      <w:tr>
        <w:trPr>
          <w:cantSplit/>
        </w:trPr>
        <w:tc>
          <w:tcPr>
            <w:tcW w:type="dxa" w:w="30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Evidence tier stated</w:t>
            </w:r>
          </w:p>
        </w:tc>
        <w:tc>
          <w:tcPr>
            <w:tcW w:type="dxa" w:w="12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Met</w:t>
            </w:r>
          </w:p>
        </w:tc>
        <w:tc>
          <w:tcPr>
            <w:tcW w:type="dxa" w:w="54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T1 static only. No claim of runtime readiness.</w:t>
            </w:r>
          </w:p>
        </w:tc>
      </w:tr>
      <w:tr>
        <w:trPr>
          <w:cantSplit/>
        </w:trPr>
        <w:tc>
          <w:tcPr>
            <w:tcW w:type="dxa" w:w="30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High-risk gaps named with failure modes</w:t>
            </w:r>
          </w:p>
        </w:tc>
        <w:tc>
          <w:tcPr>
            <w:tcW w:type="dxa" w:w="12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Met</w:t>
            </w:r>
          </w:p>
        </w:tc>
        <w:tc>
          <w:tcPr>
            <w:tcW w:type="dxa" w:w="54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P0 findings include ownership, privacy, deletion, durability, evidence, and silent integration failures.</w:t>
            </w:r>
          </w:p>
        </w:tc>
      </w:tr>
      <w:tr>
        <w:trPr>
          <w:cantSplit/>
        </w:trPr>
        <w:tc>
          <w:tcPr>
            <w:tcW w:type="dxa" w:w="30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7"/>
              </w:rPr>
              <w:t>Repository state modified</w:t>
            </w:r>
          </w:p>
        </w:tc>
        <w:tc>
          <w:tcPr>
            <w:tcW w:type="dxa" w:w="12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No</w:t>
            </w:r>
          </w:p>
        </w:tc>
        <w:tc>
          <w:tcPr>
            <w:tcW w:type="dxa" w:w="54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7"/>
              </w:rPr>
              <w:t>Read-only inspection, as requested.</w:t>
            </w:r>
          </w:p>
        </w:tc>
      </w:tr>
    </w:tbl>
    <w:p>
      <w:pPr>
        <w:spacing w:after="0"/>
      </w:pPr>
    </w:p>
    <w:p>
      <w:pPr>
        <w:spacing w:after="40"/>
      </w:pPr>
    </w:p>
    <w:p>
      <w:bookmarkStart w:id="2" w:name="executive_assessment"/>
      <w:pPr>
        <w:pStyle w:val="Heading1"/>
        <w:spacing w:before="220" w:after="100"/>
        <w:keepNext/>
      </w:pPr>
      <w:r>
        <w:rPr>
          <w:rFonts w:ascii="Liberation Sans" w:hAnsi="Liberation Sans" w:eastAsia="Liberation Sans"/>
          <w:b/>
          <w:i w:val="0"/>
          <w:color w:val="071B33"/>
          <w:sz w:val="34"/>
        </w:rPr>
        <w:t>2. Executive assessment</w:t>
      </w:r>
      <w:bookmarkEnd w:id="2"/>
    </w:p>
    <w:p>
      <w:pPr>
        <w:spacing w:after="100" w:line="259" w:lineRule="auto"/>
      </w:pPr>
      <w:r>
        <w:rPr>
          <w:rFonts w:ascii="Liberation Sans" w:hAnsi="Liberation Sans" w:eastAsia="Liberation Sans"/>
          <w:b w:val="0"/>
          <w:i w:val="0"/>
          <w:color w:val="101828"/>
          <w:sz w:val="20"/>
        </w:rPr>
        <w:t>CoverWise is no longer just a document-Q&amp;A experiment. The repository contains the beginning of a real consumer policy intelligence product: a polished Flutter surface, anonymous-first identity, account upgrade, private source storage, owner-scoped metadata, structured extraction, document-grounded Q&amp;A, local emergency access, consent records, and a single-process launch topology. That is the correct product direction.</w:t>
      </w:r>
    </w:p>
    <w:p>
      <w:pPr>
        <w:spacing w:after="100" w:line="259" w:lineRule="auto"/>
      </w:pPr>
      <w:r>
        <w:rPr>
          <w:rFonts w:ascii="Liberation Sans" w:hAnsi="Liberation Sans" w:eastAsia="Liberation Sans"/>
          <w:b w:val="0"/>
          <w:i w:val="0"/>
          <w:color w:val="101828"/>
          <w:sz w:val="20"/>
        </w:rPr>
        <w:t>The problem is that the system currently behaves as several partially connected products. The user sees one coherent app, while the implementation contains multiple competing truth sources and several calls that are never authenticated. Those seams are more dangerous than obvious crashes because the local client fallbacks can make the app appear functional while server state is stale, missing, inaccessible, or undeleted.</w:t>
      </w:r>
    </w:p>
    <w:p>
      <w:pPr>
        <w:pStyle w:val="Heading2"/>
        <w:spacing w:before="160" w:after="100"/>
        <w:keepNext/>
      </w:pPr>
      <w:r>
        <w:rPr>
          <w:rFonts w:ascii="Liberation Sans" w:hAnsi="Liberation Sans" w:eastAsia="Liberation Sans"/>
          <w:b/>
          <w:i w:val="0"/>
          <w:color w:val="145BC7"/>
          <w:sz w:val="26"/>
        </w:rPr>
        <w:t>2.1 Bottom line</w:t>
      </w:r>
    </w:p>
    <w:tbl>
      <w:tblPr>
        <w:tblW w:type="auto" w:w="0"/>
        <w:jc w:val="center"/>
        <w:tblLayout w:type="fixed"/>
        <w:tblLook w:firstColumn="1" w:firstRow="1" w:lastColumn="0" w:lastRow="0" w:noHBand="0" w:noVBand="1" w:val="04A0"/>
      </w:tblPr>
      <w:tblGrid>
        <w:gridCol w:w="173"/>
        <w:gridCol w:w="9720"/>
      </w:tblGrid>
      <w:tr>
        <w:trPr>
          <w:cantSplit/>
        </w:trPr>
        <w:tc>
          <w:tcPr>
            <w:tcW w:type="dxa" w:w="172"/>
            <w:shd w:fill="145BC7"/>
            <w:tcMar>
              <w:top w:w="100" w:type="dxa"/>
              <w:start w:w="120" w:type="dxa"/>
              <w:bottom w:w="100" w:type="dxa"/>
              <w:end w:w="120" w:type="dxa"/>
            </w:tcMar>
            <w:tcBorders>
              <w:top w:val="nil"/>
              <w:left w:val="nil"/>
              <w:bottom w:val="nil"/>
              <w:right w:val="nil"/>
            </w:tcBorders>
            <w:vAlign w:val="center"/>
          </w:tcPr>
          <w:p/>
        </w:tc>
        <w:tc>
          <w:tcPr>
            <w:tcW w:type="dxa" w:w="9720"/>
            <w:shd w:fill="EFF6FF"/>
            <w:tcMar>
              <w:top w:w="100" w:type="dxa"/>
              <w:start w:w="120" w:type="dxa"/>
              <w:bottom w:w="100" w:type="dxa"/>
              <w:end w:w="120" w:type="dxa"/>
            </w:tcMar>
            <w:tcBorders>
              <w:top w:val="nil"/>
              <w:left w:val="nil"/>
              <w:bottom w:val="nil"/>
              <w:right w:val="nil"/>
            </w:tcBorders>
            <w:vAlign w:val="center"/>
          </w:tcPr>
          <w:p>
            <w:r>
              <w:rPr>
                <w:rFonts w:ascii="Liberation Sans" w:hAnsi="Liberation Sans" w:eastAsia="Liberation Sans"/>
                <w:b/>
                <w:i w:val="0"/>
                <w:color w:val="145BC7"/>
                <w:sz w:val="21"/>
              </w:rPr>
              <w:t>Strong foundation, unsafe completion semantics</w:t>
              <w:br/>
            </w:r>
            <w:r>
              <w:rPr>
                <w:rFonts w:ascii="Liberation Sans" w:hAnsi="Liberation Sans" w:eastAsia="Liberation Sans"/>
                <w:b w:val="0"/>
                <w:i w:val="0"/>
                <w:color w:val="101828"/>
                <w:sz w:val="19"/>
              </w:rPr>
              <w:t>The architecture should be repaired, not rewritten. Keep the single FastAPI service, Supabase as the durable control plane, the Flutter app, owner-scoped auth, and the document-grounded answer contract. Remove or absorb shadow stores, make processing a durable state machine, require evidence for every extracted fact, and make each mobile call use one authenticated API client.</w:t>
            </w:r>
          </w:p>
        </w:tc>
      </w:tr>
    </w:tbl>
    <w:p>
      <w:pPr>
        <w:spacing w:after="0"/>
      </w:pPr>
    </w:p>
    <w:p>
      <w:pPr>
        <w:pStyle w:val="Heading2"/>
        <w:spacing w:before="160" w:after="100"/>
        <w:keepNext/>
      </w:pPr>
      <w:r>
        <w:rPr>
          <w:rFonts w:ascii="Liberation Sans" w:hAnsi="Liberation Sans" w:eastAsia="Liberation Sans"/>
          <w:b/>
          <w:i w:val="0"/>
          <w:color w:val="145BC7"/>
          <w:sz w:val="26"/>
        </w:rPr>
        <w:t>2.2 Scorecard</w:t>
      </w:r>
    </w:p>
    <w:tbl>
      <w:tblPr>
        <w:tblW w:type="auto" w:w="0"/>
        <w:jc w:val="center"/>
        <w:tblLayout w:type="fixed"/>
        <w:tblLook w:firstColumn="1" w:firstRow="1" w:lastColumn="0" w:lastRow="0" w:noHBand="0" w:noVBand="1" w:val="04A0"/>
      </w:tblPr>
      <w:tblGrid>
        <w:gridCol w:w="2088"/>
        <w:gridCol w:w="936"/>
        <w:gridCol w:w="936"/>
        <w:gridCol w:w="5832"/>
      </w:tblGrid>
      <w:tr>
        <w:trPr>
          <w:tblHeader w:val="true"/>
          <w:cantSplit/>
        </w:trPr>
        <w:tc>
          <w:tcPr>
            <w:tcW w:type="dxa" w:w="2088"/>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Dimension</w:t>
            </w:r>
          </w:p>
        </w:tc>
        <w:tc>
          <w:tcPr>
            <w:tcW w:type="dxa" w:w="93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Current</w:t>
            </w:r>
          </w:p>
        </w:tc>
        <w:tc>
          <w:tcPr>
            <w:tcW w:type="dxa" w:w="93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Target</w:t>
            </w:r>
          </w:p>
        </w:tc>
        <w:tc>
          <w:tcPr>
            <w:tcW w:type="dxa" w:w="5832"/>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Assessment</w:t>
            </w:r>
          </w:p>
        </w:tc>
      </w:tr>
      <w:tr>
        <w:trPr>
          <w:cantSplit/>
        </w:trPr>
        <w:tc>
          <w:tcPr>
            <w:tcW w:type="dxa" w:w="20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Product thesis</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7/10</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9/10</w:t>
            </w:r>
          </w:p>
        </w:tc>
        <w:tc>
          <w:tcPr>
            <w:tcW w:type="dxa" w:w="58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The core promise is focused, but advisory features exceed the trust boundary.</w:t>
            </w:r>
          </w:p>
        </w:tc>
      </w:tr>
      <w:tr>
        <w:trPr>
          <w:cantSplit/>
        </w:trPr>
        <w:tc>
          <w:tcPr>
            <w:tcW w:type="dxa" w:w="20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Runtime topology</w:t>
            </w:r>
          </w:p>
        </w:tc>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7/10</w:t>
            </w:r>
          </w:p>
        </w:tc>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9/10</w:t>
            </w:r>
          </w:p>
        </w:tc>
        <w:tc>
          <w:tcPr>
            <w:tcW w:type="dxa" w:w="58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One FastAPI process is appropriate for launch. Work orchestration is not durable.</w:t>
            </w:r>
          </w:p>
        </w:tc>
      </w:tr>
      <w:tr>
        <w:trPr>
          <w:cantSplit/>
        </w:trPr>
        <w:tc>
          <w:tcPr>
            <w:tcW w:type="dxa" w:w="20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Data ownership</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5/10</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10/10</w:t>
            </w:r>
          </w:p>
        </w:tc>
        <w:tc>
          <w:tcPr>
            <w:tcW w:type="dxa" w:w="58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Owner scoping is strong in routes, but account claim leaves chunks behind.</w:t>
            </w:r>
          </w:p>
        </w:tc>
      </w:tr>
      <w:tr>
        <w:trPr>
          <w:cantSplit/>
        </w:trPr>
        <w:tc>
          <w:tcPr>
            <w:tcW w:type="dxa" w:w="20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Processing correctness</w:t>
            </w:r>
          </w:p>
        </w:tc>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3/10</w:t>
            </w:r>
          </w:p>
        </w:tc>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10/10</w:t>
            </w:r>
          </w:p>
        </w:tc>
        <w:tc>
          <w:tcPr>
            <w:tcW w:type="dxa" w:w="58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Completed can mean OCR failed, RAG failed, or no usable content.</w:t>
            </w:r>
          </w:p>
        </w:tc>
      </w:tr>
      <w:tr>
        <w:trPr>
          <w:cantSplit/>
        </w:trPr>
        <w:tc>
          <w:tcPr>
            <w:tcW w:type="dxa" w:w="20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Evidence and provenance</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3/10</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10/10</w:t>
            </w:r>
          </w:p>
        </w:tc>
        <w:tc>
          <w:tcPr>
            <w:tcW w:type="dxa" w:w="58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Answers cite retrieval sources; structured policy facts lack page/section evidence.</w:t>
            </w:r>
          </w:p>
        </w:tc>
      </w:tr>
      <w:tr>
        <w:trPr>
          <w:cantSplit/>
        </w:trPr>
        <w:tc>
          <w:tcPr>
            <w:tcW w:type="dxa" w:w="20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Privacy and deletion</w:t>
            </w:r>
          </w:p>
        </w:tc>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3/10</w:t>
            </w:r>
          </w:p>
        </w:tc>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10/10</w:t>
            </w:r>
          </w:p>
        </w:tc>
        <w:tc>
          <w:tcPr>
            <w:tcW w:type="dxa" w:w="58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Raw queries and policy facts are logged; local-only deletion leaves server data.</w:t>
            </w:r>
          </w:p>
        </w:tc>
      </w:tr>
      <w:tr>
        <w:trPr>
          <w:cantSplit/>
        </w:trPr>
        <w:tc>
          <w:tcPr>
            <w:tcW w:type="dxa" w:w="20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Mobile integration</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4/10</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9/10</w:t>
            </w:r>
          </w:p>
        </w:tc>
        <w:tc>
          <w:tcPr>
            <w:tcW w:type="dxa" w:w="58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Several raw Dio clients omit bearer auth and silently fall back.</w:t>
            </w:r>
          </w:p>
        </w:tc>
      </w:tr>
      <w:tr>
        <w:trPr>
          <w:cantSplit/>
        </w:trPr>
        <w:tc>
          <w:tcPr>
            <w:tcW w:type="dxa" w:w="20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Retrieval architecture</w:t>
            </w:r>
          </w:p>
        </w:tc>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5/10</w:t>
            </w:r>
          </w:p>
        </w:tc>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9/10</w:t>
            </w:r>
          </w:p>
        </w:tc>
        <w:tc>
          <w:tcPr>
            <w:tcW w:type="dxa" w:w="58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Good techniques exist, but routing, exact lookup, fallback, and filters are inconsistent.</w:t>
            </w:r>
          </w:p>
        </w:tc>
      </w:tr>
      <w:tr>
        <w:trPr>
          <w:cantSplit/>
        </w:trPr>
        <w:tc>
          <w:tcPr>
            <w:tcW w:type="dxa" w:w="20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Observability</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4/10</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9/10</w:t>
            </w:r>
          </w:p>
        </w:tc>
        <w:tc>
          <w:tcPr>
            <w:tcW w:type="dxa" w:w="58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Some metrics exist; the operational source is ephemeral and endpoints are overbroad.</w:t>
            </w:r>
          </w:p>
        </w:tc>
      </w:tr>
      <w:tr>
        <w:trPr>
          <w:cantSplit/>
        </w:trPr>
        <w:tc>
          <w:tcPr>
            <w:tcW w:type="dxa" w:w="20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Deployment and CI</w:t>
            </w:r>
          </w:p>
        </w:tc>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3/10</w:t>
            </w:r>
          </w:p>
        </w:tc>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9/10</w:t>
            </w:r>
          </w:p>
        </w:tc>
        <w:tc>
          <w:tcPr>
            <w:tcW w:type="dxa" w:w="58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No current status, no Flutter/integration gates, mutable image publishing.</w:t>
            </w:r>
          </w:p>
        </w:tc>
      </w:tr>
      <w:tr>
        <w:trPr>
          <w:cantSplit/>
        </w:trPr>
        <w:tc>
          <w:tcPr>
            <w:tcW w:type="dxa" w:w="20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Documentation truth</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3/10</w:t>
            </w:r>
          </w:p>
        </w:tc>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9/10</w:t>
            </w:r>
          </w:p>
        </w:tc>
        <w:tc>
          <w:tcPr>
            <w:tcW w:type="dxa" w:w="58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Canonical 2026 direction coexists with extensive obsolete AWS and multi-service material.</w:t>
            </w:r>
          </w:p>
        </w:tc>
      </w:tr>
    </w:tbl>
    <w:p>
      <w:pPr>
        <w:spacing w:after="0"/>
      </w:pPr>
    </w:p>
    <w:p>
      <w:pPr>
        <w:pStyle w:val="Heading2"/>
        <w:spacing w:before="160" w:after="100"/>
        <w:keepNext/>
      </w:pPr>
      <w:r>
        <w:rPr>
          <w:rFonts w:ascii="Liberation Sans" w:hAnsi="Liberation Sans" w:eastAsia="Liberation Sans"/>
          <w:b/>
          <w:i w:val="0"/>
          <w:color w:val="145BC7"/>
          <w:sz w:val="26"/>
        </w:rPr>
        <w:t>2.3 What is already correct and should be preserved</w:t>
      </w:r>
    </w:p>
    <w:p>
      <w:pPr>
        <w:pStyle w:val="ListBullet"/>
        <w:spacing w:after="60"/>
        <w:ind w:left="317" w:hanging="173"/>
      </w:pPr>
      <w:r>
        <w:rPr>
          <w:rFonts w:ascii="Liberation Sans" w:hAnsi="Liberation Sans" w:eastAsia="Liberation Sans"/>
          <w:b w:val="0"/>
          <w:i w:val="0"/>
          <w:color w:val="101828"/>
          <w:sz w:val="20"/>
        </w:rPr>
        <w:t>One launch runtime: FastAPI owns API routes and mounts the public marketing surface in the same Cloud Run process.</w:t>
      </w:r>
    </w:p>
    <w:p>
      <w:pPr>
        <w:pStyle w:val="ListBullet"/>
        <w:spacing w:after="60"/>
        <w:ind w:left="317" w:hanging="173"/>
      </w:pPr>
      <w:r>
        <w:rPr>
          <w:rFonts w:ascii="Liberation Sans" w:hAnsi="Liberation Sans" w:eastAsia="Liberation Sans"/>
          <w:b w:val="0"/>
          <w:i w:val="0"/>
          <w:color w:val="101828"/>
          <w:sz w:val="20"/>
        </w:rPr>
        <w:t>Fail-closed production configuration: production rejects local metadata, local source storage, non-Supabase vector storage, wildcard CORS, weak anonymous signing keys, and insecure public URLs.</w:t>
      </w:r>
    </w:p>
    <w:p>
      <w:pPr>
        <w:pStyle w:val="ListBullet"/>
        <w:spacing w:after="60"/>
        <w:ind w:left="317" w:hanging="173"/>
      </w:pPr>
      <w:r>
        <w:rPr>
          <w:rFonts w:ascii="Liberation Sans" w:hAnsi="Liberation Sans" w:eastAsia="Liberation Sans"/>
          <w:b w:val="0"/>
          <w:i w:val="0"/>
          <w:color w:val="101828"/>
          <w:sz w:val="20"/>
        </w:rPr>
        <w:t>Server-derived identity: owner scope comes from a verified bearer token instead of client-supplied owner fields.</w:t>
      </w:r>
    </w:p>
    <w:p>
      <w:pPr>
        <w:pStyle w:val="ListBullet"/>
        <w:spacing w:after="60"/>
        <w:ind w:left="317" w:hanging="173"/>
      </w:pPr>
      <w:r>
        <w:rPr>
          <w:rFonts w:ascii="Liberation Sans" w:hAnsi="Liberation Sans" w:eastAsia="Liberation Sans"/>
          <w:b w:val="0"/>
          <w:i w:val="0"/>
          <w:color w:val="101828"/>
          <w:sz w:val="20"/>
        </w:rPr>
        <w:t>Owner-scoped repositories: get, list, update, delete, and duplicate checks include owner identity at the repository boundary.</w:t>
      </w:r>
    </w:p>
    <w:p>
      <w:pPr>
        <w:pStyle w:val="ListBullet"/>
        <w:spacing w:after="60"/>
        <w:ind w:left="317" w:hanging="173"/>
      </w:pPr>
      <w:r>
        <w:rPr>
          <w:rFonts w:ascii="Liberation Sans" w:hAnsi="Liberation Sans" w:eastAsia="Liberation Sans"/>
          <w:b w:val="0"/>
          <w:i w:val="0"/>
          <w:color w:val="101828"/>
          <w:sz w:val="20"/>
        </w:rPr>
        <w:t>Private durable source storage: production is explicitly directed to a private Supabase Storage bucket.</w:t>
      </w:r>
    </w:p>
    <w:p>
      <w:pPr>
        <w:pStyle w:val="ListBullet"/>
        <w:spacing w:after="60"/>
        <w:ind w:left="317" w:hanging="173"/>
      </w:pPr>
      <w:r>
        <w:rPr>
          <w:rFonts w:ascii="Liberation Sans" w:hAnsi="Liberation Sans" w:eastAsia="Liberation Sans"/>
          <w:b w:val="0"/>
          <w:i w:val="0"/>
          <w:color w:val="101828"/>
          <w:sz w:val="20"/>
        </w:rPr>
        <w:t>Idempotent source acceptance: document hashes are unique per owner and retries do not create duplicate documents.</w:t>
      </w:r>
    </w:p>
    <w:p>
      <w:pPr>
        <w:pStyle w:val="ListBullet"/>
        <w:spacing w:after="60"/>
        <w:ind w:left="317" w:hanging="173"/>
      </w:pPr>
      <w:r>
        <w:rPr>
          <w:rFonts w:ascii="Liberation Sans" w:hAnsi="Liberation Sans" w:eastAsia="Liberation Sans"/>
          <w:b w:val="0"/>
          <w:i w:val="0"/>
          <w:color w:val="101828"/>
          <w:sz w:val="20"/>
        </w:rPr>
        <w:t>A structured RAG response: answer, citations, missing information, follow-up questions, retrieval confidence, strategy, and embedding model are represented explicitly.</w:t>
      </w:r>
    </w:p>
    <w:p>
      <w:pPr>
        <w:pStyle w:val="ListBullet"/>
        <w:spacing w:after="60"/>
        <w:ind w:left="317" w:hanging="173"/>
      </w:pPr>
      <w:r>
        <w:rPr>
          <w:rFonts w:ascii="Liberation Sans" w:hAnsi="Liberation Sans" w:eastAsia="Liberation Sans"/>
          <w:b w:val="0"/>
          <w:i w:val="0"/>
          <w:color w:val="101828"/>
          <w:sz w:val="20"/>
        </w:rPr>
        <w:t>An offline emergency concept: policy summaries are cached locally and emergency contacts can remain available without network access.</w:t>
      </w:r>
    </w:p>
    <w:p>
      <w:pPr>
        <w:pStyle w:val="ListBullet"/>
        <w:spacing w:after="60"/>
        <w:ind w:left="317" w:hanging="173"/>
      </w:pPr>
      <w:r>
        <w:rPr>
          <w:rFonts w:ascii="Liberation Sans" w:hAnsi="Liberation Sans" w:eastAsia="Liberation Sans"/>
          <w:b w:val="0"/>
          <w:i w:val="0"/>
          <w:color w:val="101828"/>
          <w:sz w:val="20"/>
        </w:rPr>
        <w:t>A practical solo-founder stack: Flutter + FastAPI + Supabase + external model APIs is simpler than the historical multi-cloud design.</w:t>
      </w:r>
    </w:p>
    <w:p>
      <w:pPr>
        <w:pStyle w:val="Heading2"/>
        <w:spacing w:before="160" w:after="100"/>
        <w:keepNext/>
      </w:pPr>
      <w:r>
        <w:rPr>
          <w:rFonts w:ascii="Liberation Sans" w:hAnsi="Liberation Sans" w:eastAsia="Liberation Sans"/>
          <w:b/>
          <w:i w:val="0"/>
          <w:color w:val="145BC7"/>
          <w:sz w:val="26"/>
        </w:rPr>
        <w:t>2.4 The central architectural diagnosis</w:t>
      </w:r>
    </w:p>
    <w:p>
      <w:pPr>
        <w:spacing w:after="100" w:line="259" w:lineRule="auto"/>
      </w:pPr>
      <w:r>
        <w:rPr>
          <w:rFonts w:ascii="Liberation Sans" w:hAnsi="Liberation Sans" w:eastAsia="Liberation Sans"/>
          <w:b w:val="0"/>
          <w:i w:val="0"/>
          <w:color w:val="101828"/>
          <w:sz w:val="20"/>
        </w:rPr>
        <w:t>The system lacks one durable document lifecycle. It currently has separate notions of source persistence, temporary processing files, metadata status, in-memory stage status, summary persistence, vector readiness, mobile local status, mobile summary state, analytics state, and account ownership. These sources can diverge because there is no single transactionally enforced state machine and no reconciliation job that proves all derived artifacts agree with the document record.</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The user-visible illusion</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One policy -&gt; one status -&gt; one summary -&gt; one answer -&gt; one delete</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The current implementation</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One source object</w:t>
              <w:br/>
            </w:r>
            <w:r>
              <w:rPr>
                <w:rFonts w:ascii="Liberation Mono" w:hAnsi="Liberation Mono" w:eastAsia="Liberation Mono"/>
                <w:b w:val="0"/>
                <w:i w:val="0"/>
                <w:color w:val="101828"/>
                <w:sz w:val="15"/>
              </w:rPr>
              <w:t>+ one metadata JSON payload and duplicated columns</w:t>
              <w:br/>
            </w:r>
            <w:r>
              <w:rPr>
                <w:rFonts w:ascii="Liberation Mono" w:hAnsi="Liberation Mono" w:eastAsia="Liberation Mono"/>
                <w:b w:val="0"/>
                <w:i w:val="0"/>
                <w:color w:val="101828"/>
                <w:sz w:val="15"/>
              </w:rPr>
              <w:t>+ one raw local processing copy</w:t>
              <w:br/>
            </w:r>
            <w:r>
              <w:rPr>
                <w:rFonts w:ascii="Liberation Mono" w:hAnsi="Liberation Mono" w:eastAsia="Liberation Mono"/>
                <w:b w:val="0"/>
                <w:i w:val="0"/>
                <w:color w:val="101828"/>
                <w:sz w:val="15"/>
              </w:rPr>
              <w:t>+ one in-memory processing stage</w:t>
              <w:br/>
            </w:r>
            <w:r>
              <w:rPr>
                <w:rFonts w:ascii="Liberation Mono" w:hAnsi="Liberation Mono" w:eastAsia="Liberation Mono"/>
                <w:b w:val="0"/>
                <w:i w:val="0"/>
                <w:color w:val="101828"/>
                <w:sz w:val="15"/>
              </w:rPr>
              <w:t>+ one Redis-or-disk summary</w:t>
              <w:br/>
            </w:r>
            <w:r>
              <w:rPr>
                <w:rFonts w:ascii="Liberation Mono" w:hAnsi="Liberation Mono" w:eastAsia="Liberation Mono"/>
                <w:b w:val="0"/>
                <w:i w:val="0"/>
                <w:color w:val="101828"/>
                <w:sz w:val="15"/>
              </w:rPr>
              <w:t>+ one pgvector chunk set</w:t>
              <w:br/>
            </w:r>
            <w:r>
              <w:rPr>
                <w:rFonts w:ascii="Liberation Mono" w:hAnsi="Liberation Mono" w:eastAsia="Liberation Mono"/>
                <w:b w:val="0"/>
                <w:i w:val="0"/>
                <w:color w:val="101828"/>
                <w:sz w:val="15"/>
              </w:rPr>
              <w:t>+ one mobile document record</w:t>
              <w:br/>
            </w:r>
            <w:r>
              <w:rPr>
                <w:rFonts w:ascii="Liberation Mono" w:hAnsi="Liberation Mono" w:eastAsia="Liberation Mono"/>
                <w:b w:val="0"/>
                <w:i w:val="0"/>
                <w:color w:val="101828"/>
                <w:sz w:val="15"/>
              </w:rPr>
              <w:t>+ one mobile Hive summary</w:t>
              <w:br/>
            </w:r>
            <w:r>
              <w:rPr>
                <w:rFonts w:ascii="Liberation Mono" w:hAnsi="Liberation Mono" w:eastAsia="Liberation Mono"/>
                <w:b w:val="0"/>
                <w:i w:val="0"/>
                <w:color w:val="101828"/>
                <w:sz w:val="15"/>
              </w:rPr>
              <w:t>+ one local-only analytics queue</w:t>
              <w:br/>
            </w:r>
            <w:r>
              <w:rPr>
                <w:rFonts w:ascii="Liberation Mono" w:hAnsi="Liberation Mono" w:eastAsia="Liberation Mono"/>
                <w:b w:val="0"/>
                <w:i w:val="0"/>
                <w:color w:val="101828"/>
                <w:sz w:val="15"/>
              </w:rPr>
              <w:t>+ one ephemeral server analytics database</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No single record proves that all of them refer to the same owner, version, evidence set, and lifecycle state.</w:t>
            </w:r>
          </w:p>
        </w:tc>
      </w:tr>
    </w:tbl>
    <w:p>
      <w:pPr>
        <w:spacing w:after="0"/>
      </w:pPr>
    </w:p>
    <w:p>
      <w:pPr>
        <w:spacing w:after="40"/>
      </w:pPr>
    </w:p>
    <w:p>
      <w:bookmarkStart w:id="3" w:name="current_architecture"/>
      <w:pPr>
        <w:pStyle w:val="Heading1"/>
        <w:spacing w:before="220" w:after="100"/>
        <w:keepNext/>
      </w:pPr>
      <w:r>
        <w:rPr>
          <w:rFonts w:ascii="Liberation Sans" w:hAnsi="Liberation Sans" w:eastAsia="Liberation Sans"/>
          <w:b/>
          <w:i w:val="0"/>
          <w:color w:val="071B33"/>
          <w:sz w:val="34"/>
        </w:rPr>
        <w:t>3. Current architecture reconstructed from code</w:t>
      </w:r>
      <w:bookmarkEnd w:id="3"/>
    </w:p>
    <w:p>
      <w:pPr>
        <w:pStyle w:val="Heading2"/>
        <w:spacing w:before="160" w:after="100"/>
        <w:keepNext/>
      </w:pPr>
      <w:r>
        <w:rPr>
          <w:rFonts w:ascii="Liberation Sans" w:hAnsi="Liberation Sans" w:eastAsia="Liberation Sans"/>
          <w:b/>
          <w:i w:val="0"/>
          <w:color w:val="145BC7"/>
          <w:sz w:val="26"/>
        </w:rPr>
        <w:t>3.1 Runtime and data-plane map</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Flutter app</w:t>
              <w:br/>
            </w:r>
            <w:r>
              <w:rPr>
                <w:rFonts w:ascii="Liberation Mono" w:hAnsi="Liberation Mono" w:eastAsia="Liberation Mono"/>
                <w:b w:val="0"/>
                <w:i w:val="0"/>
                <w:color w:val="101828"/>
                <w:sz w:val="15"/>
              </w:rPr>
              <w:t xml:space="preserve">  |-- Supabase Auth client for account sessions</w:t>
              <w:br/>
            </w:r>
            <w:r>
              <w:rPr>
                <w:rFonts w:ascii="Liberation Mono" w:hAnsi="Liberation Mono" w:eastAsia="Liberation Mono"/>
                <w:b w:val="0"/>
                <w:i w:val="0"/>
                <w:color w:val="101828"/>
                <w:sz w:val="15"/>
              </w:rPr>
              <w:t xml:space="preserve">  |-- CoverWise anonymous JWT for no-login ownership</w:t>
              <w:br/>
            </w:r>
            <w:r>
              <w:rPr>
                <w:rFonts w:ascii="Liberation Mono" w:hAnsi="Liberation Mono" w:eastAsia="Liberation Mono"/>
                <w:b w:val="0"/>
                <w:i w:val="0"/>
                <w:color w:val="101828"/>
                <w:sz w:val="15"/>
              </w:rPr>
              <w:t xml:space="preserve">  |-- Local Hive document records and policy summaries</w:t>
              <w:br/>
            </w:r>
            <w:r>
              <w:rPr>
                <w:rFonts w:ascii="Liberation Mono" w:hAnsi="Liberation Mono" w:eastAsia="Liberation Mono"/>
                <w:b w:val="0"/>
                <w:i w:val="0"/>
                <w:color w:val="101828"/>
                <w:sz w:val="15"/>
              </w:rPr>
              <w:t xml:space="preserve">  |-- Local source-file copies selected by the user</w:t>
              <w:br/>
            </w:r>
            <w:r>
              <w:rPr>
                <w:rFonts w:ascii="Liberation Mono" w:hAnsi="Liberation Mono" w:eastAsia="Liberation Mono"/>
                <w:b w:val="0"/>
                <w:i w:val="0"/>
                <w:color w:val="101828"/>
                <w:sz w:val="15"/>
              </w:rPr>
              <w:t xml:space="preserve">  |-- Optional on-device ML Kit OCR sidecar</w:t>
              <w:br/>
            </w:r>
            <w:r>
              <w:rPr>
                <w:rFonts w:ascii="Liberation Mono" w:hAnsi="Liberation Mono" w:eastAsia="Liberation Mono"/>
                <w:b w:val="0"/>
                <w:i w:val="0"/>
                <w:color w:val="101828"/>
                <w:sz w:val="15"/>
              </w:rPr>
              <w:t xml:space="preserve">  |</w:t>
              <w:br/>
            </w:r>
            <w:r>
              <w:rPr>
                <w:rFonts w:ascii="Liberation Mono" w:hAnsi="Liberation Mono" w:eastAsia="Liberation Mono"/>
                <w:b w:val="0"/>
                <w:i w:val="0"/>
                <w:color w:val="101828"/>
                <w:sz w:val="15"/>
              </w:rPr>
              <w:t xml:space="preserve">  | HTTPS + bearer token (intended canonical API boundary)</w:t>
              <w:br/>
            </w:r>
            <w:r>
              <w:rPr>
                <w:rFonts w:ascii="Liberation Mono" w:hAnsi="Liberation Mono" w:eastAsia="Liberation Mono"/>
                <w:b w:val="0"/>
                <w:i w:val="0"/>
                <w:color w:val="101828"/>
                <w:sz w:val="15"/>
              </w:rPr>
              <w:t xml:space="preserve">  v</w:t>
              <w:br/>
            </w:r>
            <w:r>
              <w:rPr>
                <w:rFonts w:ascii="Liberation Mono" w:hAnsi="Liberation Mono" w:eastAsia="Liberation Mono"/>
                <w:b w:val="0"/>
                <w:i w:val="0"/>
                <w:color w:val="101828"/>
                <w:sz w:val="15"/>
              </w:rPr>
              <w:t>FastAPI / Cloud Run process</w:t>
              <w:br/>
            </w:r>
            <w:r>
              <w:rPr>
                <w:rFonts w:ascii="Liberation Mono" w:hAnsi="Liberation Mono" w:eastAsia="Liberation Mono"/>
                <w:b w:val="0"/>
                <w:i w:val="0"/>
                <w:color w:val="101828"/>
                <w:sz w:val="15"/>
              </w:rPr>
              <w:t xml:space="preserve">  |-- /user       anonymous identity, account verification, claim, deletion</w:t>
              <w:br/>
            </w:r>
            <w:r>
              <w:rPr>
                <w:rFonts w:ascii="Liberation Mono" w:hAnsi="Liberation Mono" w:eastAsia="Liberation Mono"/>
                <w:b w:val="0"/>
                <w:i w:val="0"/>
                <w:color w:val="101828"/>
                <w:sz w:val="15"/>
              </w:rPr>
              <w:t xml:space="preserve">  |-- /documents  upload, status, list, summary, query, delete</w:t>
              <w:br/>
            </w:r>
            <w:r>
              <w:rPr>
                <w:rFonts w:ascii="Liberation Mono" w:hAnsi="Liberation Mono" w:eastAsia="Liberation Mono"/>
                <w:b w:val="0"/>
                <w:i w:val="0"/>
                <w:color w:val="101828"/>
                <w:sz w:val="15"/>
              </w:rPr>
              <w:t xml:space="preserve">  |-- /query      root JSON query contract</w:t>
              <w:br/>
            </w:r>
            <w:r>
              <w:rPr>
                <w:rFonts w:ascii="Liberation Mono" w:hAnsi="Liberation Mono" w:eastAsia="Liberation Mono"/>
                <w:b w:val="0"/>
                <w:i w:val="0"/>
                <w:color w:val="101828"/>
                <w:sz w:val="15"/>
              </w:rPr>
              <w:t xml:space="preserve">  |-- /analytics  event ingestion and operator views</w:t>
              <w:br/>
            </w:r>
            <w:r>
              <w:rPr>
                <w:rFonts w:ascii="Liberation Mono" w:hAnsi="Liberation Mono" w:eastAsia="Liberation Mono"/>
                <w:b w:val="0"/>
                <w:i w:val="0"/>
                <w:color w:val="101828"/>
                <w:sz w:val="15"/>
              </w:rPr>
              <w:t xml:space="preserve">  |-- /            mounted Jinja marketing app</w:t>
              <w:br/>
            </w:r>
            <w:r>
              <w:rPr>
                <w:rFonts w:ascii="Liberation Mono" w:hAnsi="Liberation Mono" w:eastAsia="Liberation Mono"/>
                <w:b w:val="0"/>
                <w:i w:val="0"/>
                <w:color w:val="101828"/>
                <w:sz w:val="15"/>
              </w:rPr>
              <w:t xml:space="preserve">  |</w:t>
              <w:br/>
            </w:r>
            <w:r>
              <w:rPr>
                <w:rFonts w:ascii="Liberation Mono" w:hAnsi="Liberation Mono" w:eastAsia="Liberation Mono"/>
                <w:b w:val="0"/>
                <w:i w:val="0"/>
                <w:color w:val="101828"/>
                <w:sz w:val="15"/>
              </w:rPr>
              <w:t xml:space="preserve">  +--&gt; Supabase Postgres</w:t>
              <w:br/>
            </w:r>
            <w:r>
              <w:rPr>
                <w:rFonts w:ascii="Liberation Mono" w:hAnsi="Liberation Mono" w:eastAsia="Liberation Mono"/>
                <w:b w:val="0"/>
                <w:i w:val="0"/>
                <w:color w:val="101828"/>
                <w:sz w:val="15"/>
              </w:rPr>
              <w:t xml:space="preserve">  |      documents metadata + processing lease columns</w:t>
              <w:br/>
            </w:r>
            <w:r>
              <w:rPr>
                <w:rFonts w:ascii="Liberation Mono" w:hAnsi="Liberation Mono" w:eastAsia="Liberation Mono"/>
                <w:b w:val="0"/>
                <w:i w:val="0"/>
                <w:color w:val="101828"/>
                <w:sz w:val="15"/>
              </w:rPr>
              <w:t xml:space="preserve">  |      document_chunks + pgvector embeddings</w:t>
              <w:br/>
            </w:r>
            <w:r>
              <w:rPr>
                <w:rFonts w:ascii="Liberation Mono" w:hAnsi="Liberation Mono" w:eastAsia="Liberation Mono"/>
                <w:b w:val="0"/>
                <w:i w:val="0"/>
                <w:color w:val="101828"/>
                <w:sz w:val="15"/>
              </w:rPr>
              <w:t xml:space="preserve">  |      claim and vector-match RPCs</w:t>
              <w:br/>
            </w:r>
            <w:r>
              <w:rPr>
                <w:rFonts w:ascii="Liberation Mono" w:hAnsi="Liberation Mono" w:eastAsia="Liberation Mono"/>
                <w:b w:val="0"/>
                <w:i w:val="0"/>
                <w:color w:val="101828"/>
                <w:sz w:val="15"/>
              </w:rPr>
              <w:t xml:space="preserve">  |</w:t>
              <w:br/>
            </w:r>
            <w:r>
              <w:rPr>
                <w:rFonts w:ascii="Liberation Mono" w:hAnsi="Liberation Mono" w:eastAsia="Liberation Mono"/>
                <w:b w:val="0"/>
                <w:i w:val="0"/>
                <w:color w:val="101828"/>
                <w:sz w:val="15"/>
              </w:rPr>
              <w:t xml:space="preserve">  +--&gt; Supabase private Storage</w:t>
              <w:br/>
            </w:r>
            <w:r>
              <w:rPr>
                <w:rFonts w:ascii="Liberation Mono" w:hAnsi="Liberation Mono" w:eastAsia="Liberation Mono"/>
                <w:b w:val="0"/>
                <w:i w:val="0"/>
                <w:color w:val="101828"/>
                <w:sz w:val="15"/>
              </w:rPr>
              <w:t xml:space="preserve">  |      canonical source documents</w:t>
              <w:br/>
            </w:r>
            <w:r>
              <w:rPr>
                <w:rFonts w:ascii="Liberation Mono" w:hAnsi="Liberation Mono" w:eastAsia="Liberation Mono"/>
                <w:b w:val="0"/>
                <w:i w:val="0"/>
                <w:color w:val="101828"/>
                <w:sz w:val="15"/>
              </w:rPr>
              <w:t xml:space="preserve">  |</w:t>
              <w:br/>
            </w:r>
            <w:r>
              <w:rPr>
                <w:rFonts w:ascii="Liberation Mono" w:hAnsi="Liberation Mono" w:eastAsia="Liberation Mono"/>
                <w:b w:val="0"/>
                <w:i w:val="0"/>
                <w:color w:val="101828"/>
                <w:sz w:val="15"/>
              </w:rPr>
              <w:t xml:space="preserve">  +--&gt; Cloud Run instance filesystem</w:t>
              <w:br/>
            </w:r>
            <w:r>
              <w:rPr>
                <w:rFonts w:ascii="Liberation Mono" w:hAnsi="Liberation Mono" w:eastAsia="Liberation Mono"/>
                <w:b w:val="0"/>
                <w:i w:val="0"/>
                <w:color w:val="101828"/>
                <w:sz w:val="15"/>
              </w:rPr>
              <w:t xml:space="preserve">  |      raw processing copies, disk summaries, SQLite analytics</w:t>
              <w:br/>
            </w:r>
            <w:r>
              <w:rPr>
                <w:rFonts w:ascii="Liberation Mono" w:hAnsi="Liberation Mono" w:eastAsia="Liberation Mono"/>
                <w:b w:val="0"/>
                <w:i w:val="0"/>
                <w:color w:val="101828"/>
                <w:sz w:val="15"/>
              </w:rPr>
              <w:t xml:space="preserve">  |      all ephemeral and not canonical by design</w:t>
              <w:br/>
            </w:r>
            <w:r>
              <w:rPr>
                <w:rFonts w:ascii="Liberation Mono" w:hAnsi="Liberation Mono" w:eastAsia="Liberation Mono"/>
                <w:b w:val="0"/>
                <w:i w:val="0"/>
                <w:color w:val="101828"/>
                <w:sz w:val="15"/>
              </w:rPr>
              <w:t xml:space="preserve">  |</w:t>
              <w:br/>
            </w:r>
            <w:r>
              <w:rPr>
                <w:rFonts w:ascii="Liberation Mono" w:hAnsi="Liberation Mono" w:eastAsia="Liberation Mono"/>
                <w:b w:val="0"/>
                <w:i w:val="0"/>
                <w:color w:val="101828"/>
                <w:sz w:val="15"/>
              </w:rPr>
              <w:t xml:space="preserve">  +--&gt; OpenAI / optional Groq / Ollama / MLX</w:t>
              <w:br/>
            </w:r>
            <w:r>
              <w:rPr>
                <w:rFonts w:ascii="Liberation Mono" w:hAnsi="Liberation Mono" w:eastAsia="Liberation Mono"/>
                <w:b w:val="0"/>
                <w:i w:val="0"/>
                <w:color w:val="101828"/>
                <w:sz w:val="15"/>
              </w:rPr>
              <w:t xml:space="preserve">         chat, structured extraction, contextualization, HyDE,</w:t>
              <w:br/>
            </w:r>
            <w:r>
              <w:rPr>
                <w:rFonts w:ascii="Liberation Mono" w:hAnsi="Liberation Mono" w:eastAsia="Liberation Mono"/>
                <w:b w:val="0"/>
                <w:i w:val="0"/>
                <w:color w:val="101828"/>
                <w:sz w:val="15"/>
              </w:rPr>
              <w:t xml:space="preserve">         query variants, embeddings, answer generation</w:t>
            </w:r>
          </w:p>
        </w:tc>
      </w:tr>
    </w:tbl>
    <w:p>
      <w:pPr>
        <w:spacing w:after="0"/>
      </w:pPr>
    </w:p>
    <w:p>
      <w:pPr>
        <w:pStyle w:val="Heading2"/>
        <w:spacing w:before="160" w:after="100"/>
        <w:keepNext/>
      </w:pPr>
      <w:r>
        <w:rPr>
          <w:rFonts w:ascii="Liberation Sans" w:hAnsi="Liberation Sans" w:eastAsia="Liberation Sans"/>
          <w:b/>
          <w:i w:val="0"/>
          <w:color w:val="145BC7"/>
          <w:sz w:val="26"/>
        </w:rPr>
        <w:t>3.2 Canonical intent versus effective implementation</w:t>
      </w:r>
    </w:p>
    <w:tbl>
      <w:tblPr>
        <w:tblW w:type="auto" w:w="0"/>
        <w:jc w:val="center"/>
        <w:tblLayout w:type="fixed"/>
        <w:tblLook w:firstColumn="1" w:firstRow="1" w:lastColumn="0" w:lastRow="0" w:noHBand="0" w:noVBand="1" w:val="04A0"/>
      </w:tblPr>
      <w:tblGrid>
        <w:gridCol w:w="1584"/>
        <w:gridCol w:w="3384"/>
        <w:gridCol w:w="4824"/>
      </w:tblGrid>
      <w:tr>
        <w:trPr>
          <w:tblHeader w:val="true"/>
          <w:cantSplit/>
        </w:trPr>
        <w:tc>
          <w:tcPr>
            <w:tcW w:type="dxa" w:w="158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Concern</w:t>
            </w:r>
          </w:p>
        </w:tc>
        <w:tc>
          <w:tcPr>
            <w:tcW w:type="dxa" w:w="338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Canonical intent</w:t>
            </w:r>
          </w:p>
        </w:tc>
        <w:tc>
          <w:tcPr>
            <w:tcW w:type="dxa" w:w="482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Effective implementation</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Source document</w:t>
            </w:r>
          </w:p>
        </w:tc>
        <w:tc>
          <w:tcPr>
            <w:tcW w:type="dxa" w:w="33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One private Supabase object</w:t>
            </w:r>
          </w:p>
        </w:tc>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Supabase object plus an uncleaned raw copy on instance disk.</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Metadata</w:t>
            </w:r>
          </w:p>
        </w:tc>
        <w:tc>
          <w:tcPr>
            <w:tcW w:type="dxa" w:w="33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Supabase Postgres as truth</w:t>
            </w:r>
          </w:p>
        </w:tc>
        <w:tc>
          <w:tcPr>
            <w:tcW w:type="dxa" w:w="48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Supabase row with duplicated columns and serialized JSON payload.</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Processing</w:t>
            </w:r>
          </w:p>
        </w:tc>
        <w:tc>
          <w:tcPr>
            <w:tcW w:type="dxa" w:w="33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Durable idempotent lifecycle</w:t>
            </w:r>
          </w:p>
        </w:tc>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FastAPI BackgroundTasks plus a 15-minute lease and startup recovery.</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Summary</w:t>
            </w:r>
          </w:p>
        </w:tc>
        <w:tc>
          <w:tcPr>
            <w:tcW w:type="dxa" w:w="33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Durable structured facts with evidence</w:t>
            </w:r>
          </w:p>
        </w:tc>
        <w:tc>
          <w:tcPr>
            <w:tcW w:type="dxa" w:w="48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Redis primary, disk fallback, first 8,000 characters, no field evidence.</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Retrieval</w:t>
            </w:r>
          </w:p>
        </w:tc>
        <w:tc>
          <w:tcPr>
            <w:tcW w:type="dxa" w:w="33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Owner-scoped pgvector</w:t>
            </w:r>
          </w:p>
        </w:tc>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Owner-scoped RPC, post-limit document filtering, no ready-state filter.</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Mobile status</w:t>
            </w:r>
          </w:p>
        </w:tc>
        <w:tc>
          <w:tcPr>
            <w:tcW w:type="dxa" w:w="33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Backend lifecycle reflected locally</w:t>
            </w:r>
          </w:p>
        </w:tc>
        <w:tc>
          <w:tcPr>
            <w:tcW w:type="dxa" w:w="48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Raw unauthenticated poll, then stale local fallback.</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Mobile summary</w:t>
            </w:r>
          </w:p>
        </w:tc>
        <w:tc>
          <w:tcPr>
            <w:tcW w:type="dxa" w:w="33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Single backend extraction call</w:t>
            </w:r>
          </w:p>
        </w:tc>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Raw unauthenticated GET, then 13 sequential RAG questions.</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Deletion</w:t>
            </w:r>
          </w:p>
        </w:tc>
        <w:tc>
          <w:tcPr>
            <w:tcW w:type="dxa" w:w="33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Complete owner/document erasure</w:t>
            </w:r>
          </w:p>
        </w:tc>
        <w:tc>
          <w:tcPr>
            <w:tcW w:type="dxa" w:w="48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Mobile deletes locally only; account delete is best-effort and incomplete.</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Analytics</w:t>
            </w:r>
          </w:p>
        </w:tc>
        <w:tc>
          <w:tcPr>
            <w:tcW w:type="dxa" w:w="33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Consent-gated durable operational data</w:t>
            </w:r>
          </w:p>
        </w:tc>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Unauthenticated client flush to authenticated endpoint; server SQLite is ephemeral.</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Documentation</w:t>
            </w:r>
          </w:p>
        </w:tc>
        <w:tc>
          <w:tcPr>
            <w:tcW w:type="dxa" w:w="33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One current operating model</w:t>
            </w:r>
          </w:p>
        </w:tc>
        <w:tc>
          <w:tcPr>
            <w:tcW w:type="dxa" w:w="48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Current 2026 direction coexists with obsolete AWS/Azure and multi-service docs.</w:t>
            </w:r>
          </w:p>
        </w:tc>
      </w:tr>
    </w:tbl>
    <w:p>
      <w:pPr>
        <w:spacing w:after="0"/>
      </w:pPr>
    </w:p>
    <w:p>
      <w:pPr>
        <w:pStyle w:val="Heading2"/>
        <w:spacing w:before="160" w:after="100"/>
        <w:keepNext/>
      </w:pPr>
      <w:r>
        <w:rPr>
          <w:rFonts w:ascii="Liberation Sans" w:hAnsi="Liberation Sans" w:eastAsia="Liberation Sans"/>
          <w:b/>
          <w:i w:val="0"/>
          <w:color w:val="145BC7"/>
          <w:sz w:val="26"/>
        </w:rPr>
        <w:t>3.3 Domain boundaries present today</w:t>
      </w:r>
    </w:p>
    <w:tbl>
      <w:tblPr>
        <w:tblW w:type="auto" w:w="0"/>
        <w:jc w:val="center"/>
        <w:tblLayout w:type="fixed"/>
        <w:tblLook w:firstColumn="1" w:firstRow="1" w:lastColumn="0" w:lastRow="0" w:noHBand="0" w:noVBand="1" w:val="04A0"/>
      </w:tblPr>
      <w:tblGrid>
        <w:gridCol w:w="1800"/>
        <w:gridCol w:w="3600"/>
        <w:gridCol w:w="4392"/>
      </w:tblGrid>
      <w:tr>
        <w:trPr>
          <w:tblHeader w:val="true"/>
          <w:cantSplit/>
        </w:trPr>
        <w:tc>
          <w:tcPr>
            <w:tcW w:type="dxa" w:w="180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Boundary</w:t>
            </w:r>
          </w:p>
        </w:tc>
        <w:tc>
          <w:tcPr>
            <w:tcW w:type="dxa" w:w="360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Current responsibility</w:t>
            </w:r>
          </w:p>
        </w:tc>
        <w:tc>
          <w:tcPr>
            <w:tcW w:type="dxa" w:w="4392"/>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Boundary quality</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Mobile presentation</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Navigation, upload, local cache, policy features, offline emergency</w:t>
            </w:r>
          </w:p>
        </w:tc>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Visually coherent, but business logic and networking are distributed across screens/services.</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API routes</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Auth, upload, query, status, list, delete, analytics</w:t>
            </w:r>
          </w:p>
        </w:tc>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Owner scoping is good; route/service contracts are inconsistent.</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Document repository</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Metadata and processing lease</w:t>
            </w:r>
          </w:p>
        </w:tc>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Correct abstraction, but serialized payload and columns can diverge.</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Object store</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Source bytes</w:t>
            </w:r>
          </w:p>
        </w:tc>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Good production backend selection; processing bypasses it with a second local copy.</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Processing service</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Temp file, OCR, extraction, RAG, progress</w:t>
            </w:r>
          </w:p>
        </w:tc>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Too many responsibilities and weak success semantics.</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Policy extraction</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One structured summary</w:t>
            </w:r>
          </w:p>
        </w:tc>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Wrong persistence plane, insufficient document coverage, no field-level provenance.</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RAG pipeline</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Ingestion and answer generation</w:t>
            </w:r>
          </w:p>
        </w:tc>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Feature-rich but globally stateful, expensive, and under-specified for production.</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LLM client</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Provider selection, retries, structured output, cost</w:t>
            </w:r>
          </w:p>
        </w:tc>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Useful seam, but task routing, time budgets, and provider guarantees are missing.</w:t>
            </w:r>
          </w:p>
        </w:tc>
      </w:tr>
    </w:tbl>
    <w:p>
      <w:pPr>
        <w:spacing w:after="0"/>
      </w:pPr>
    </w:p>
    <w:p>
      <w:pPr>
        <w:spacing w:after="40"/>
      </w:pPr>
    </w:p>
    <w:p>
      <w:bookmarkStart w:id="4" w:name="flow_analysis"/>
      <w:pPr>
        <w:pStyle w:val="Heading1"/>
        <w:spacing w:before="220" w:after="100"/>
        <w:keepNext/>
      </w:pPr>
      <w:r>
        <w:rPr>
          <w:rFonts w:ascii="Liberation Sans" w:hAnsi="Liberation Sans" w:eastAsia="Liberation Sans"/>
          <w:b/>
          <w:i w:val="0"/>
          <w:color w:val="071B33"/>
          <w:sz w:val="34"/>
        </w:rPr>
        <w:t>4. End-to-end flow analysis</w:t>
      </w:r>
      <w:bookmarkEnd w:id="4"/>
    </w:p>
    <w:p>
      <w:pPr>
        <w:pStyle w:val="Heading2"/>
        <w:spacing w:before="160" w:after="100"/>
        <w:keepNext/>
      </w:pPr>
      <w:r>
        <w:rPr>
          <w:rFonts w:ascii="Liberation Sans" w:hAnsi="Liberation Sans" w:eastAsia="Liberation Sans"/>
          <w:b/>
          <w:i w:val="0"/>
          <w:color w:val="145BC7"/>
          <w:sz w:val="26"/>
        </w:rPr>
        <w:t>4.1 Startup and identity</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1. Flutter initializes Hive and app state.</w:t>
              <w:br/>
            </w:r>
            <w:r>
              <w:rPr>
                <w:rFonts w:ascii="Liberation Mono" w:hAnsi="Liberation Mono" w:eastAsia="Liberation Mono"/>
                <w:b w:val="0"/>
                <w:i w:val="0"/>
                <w:color w:val="101828"/>
                <w:sz w:val="15"/>
              </w:rPr>
              <w:t>2. Supabase client is initialized when account config exists.</w:t>
              <w:br/>
            </w:r>
            <w:r>
              <w:rPr>
                <w:rFonts w:ascii="Liberation Mono" w:hAnsi="Liberation Mono" w:eastAsia="Liberation Mono"/>
                <w:b w:val="0"/>
                <w:i w:val="0"/>
                <w:color w:val="101828"/>
                <w:sz w:val="15"/>
              </w:rPr>
              <w:t>3. Existing account session wins; otherwise a CoverWise anonymous token is loaded.</w:t>
              <w:br/>
            </w:r>
            <w:r>
              <w:rPr>
                <w:rFonts w:ascii="Liberation Mono" w:hAnsi="Liberation Mono" w:eastAsia="Liberation Mono"/>
                <w:b w:val="0"/>
                <w:i w:val="0"/>
                <w:color w:val="101828"/>
                <w:sz w:val="15"/>
              </w:rPr>
              <w:t>4. If no token exists, POST /user/anonymous creates a 30-day anonymous JWT.</w:t>
              <w:br/>
            </w:r>
            <w:r>
              <w:rPr>
                <w:rFonts w:ascii="Liberation Mono" w:hAnsi="Liberation Mono" w:eastAsia="Liberation Mono"/>
                <w:b w:val="0"/>
                <w:i w:val="0"/>
                <w:color w:val="101828"/>
                <w:sz w:val="15"/>
              </w:rPr>
              <w:t>5. The intended shared Dio interceptor adds the bearer token to policy-bearing calls.</w:t>
              <w:br/>
            </w:r>
            <w:r>
              <w:rPr>
                <w:rFonts w:ascii="Liberation Mono" w:hAnsi="Liberation Mono" w:eastAsia="Liberation Mono"/>
                <w:b w:val="0"/>
                <w:i w:val="0"/>
                <w:color w:val="101828"/>
                <w:sz w:val="15"/>
              </w:rPr>
              <w:t>6. Supabase account tokens are verified server-side through Supabase Auth.</w:t>
              <w:br/>
            </w:r>
            <w:r>
              <w:rPr>
                <w:rFonts w:ascii="Liberation Mono" w:hAnsi="Liberation Mono" w:eastAsia="Liberation Mono"/>
                <w:b w:val="0"/>
                <w:i w:val="0"/>
                <w:color w:val="101828"/>
                <w:sz w:val="15"/>
              </w:rPr>
              <w:t>7. Anonymous tokens are verified against issuer, audience, identity type, and key ring.</w:t>
            </w:r>
          </w:p>
        </w:tc>
      </w:tr>
    </w:tbl>
    <w:p>
      <w:pPr>
        <w:spacing w:after="0"/>
      </w:pPr>
    </w:p>
    <w:p>
      <w:pPr>
        <w:spacing w:after="100" w:line="259" w:lineRule="auto"/>
      </w:pPr>
      <w:r>
        <w:rPr>
          <w:rFonts w:ascii="Liberation Sans" w:hAnsi="Liberation Sans" w:eastAsia="Liberation Sans"/>
          <w:b w:val="0"/>
          <w:i w:val="0"/>
          <w:color w:val="101828"/>
          <w:sz w:val="20"/>
        </w:rPr>
        <w:t>Assessment: The identity model is directionally strong. Anonymous-first ownership avoids forced signup while preserving a server-verifiable principal. The main defects are not token issuance. They are inconsistent client use of the interceptor, incomplete ownership transfer, and destructive flows that do not prove full erasure.</w:t>
      </w:r>
    </w:p>
    <w:p>
      <w:pPr>
        <w:pStyle w:val="Heading2"/>
        <w:spacing w:before="160" w:after="100"/>
        <w:keepNext/>
      </w:pPr>
      <w:r>
        <w:rPr>
          <w:rFonts w:ascii="Liberation Sans" w:hAnsi="Liberation Sans" w:eastAsia="Liberation Sans"/>
          <w:b/>
          <w:i w:val="0"/>
          <w:color w:val="145BC7"/>
          <w:sz w:val="26"/>
        </w:rPr>
        <w:t>4.2 Upload acceptance</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Mobile file selection</w:t>
              <w:br/>
            </w:r>
            <w:r>
              <w:rPr>
                <w:rFonts w:ascii="Liberation Mono" w:hAnsi="Liberation Mono" w:eastAsia="Liberation Mono"/>
                <w:b w:val="0"/>
                <w:i w:val="0"/>
                <w:color w:val="101828"/>
                <w:sz w:val="15"/>
              </w:rPr>
              <w:t xml:space="preserve">  -&gt; processing-consent version supplied</w:t>
              <w:br/>
            </w:r>
            <w:r>
              <w:rPr>
                <w:rFonts w:ascii="Liberation Mono" w:hAnsi="Liberation Mono" w:eastAsia="Liberation Mono"/>
                <w:b w:val="0"/>
                <w:i w:val="0"/>
                <w:color w:val="101828"/>
                <w:sz w:val="15"/>
              </w:rPr>
              <w:t xml:space="preserve">  -&gt; optional on-device OCR sidecar for scanned content</w:t>
              <w:br/>
            </w:r>
            <w:r>
              <w:rPr>
                <w:rFonts w:ascii="Liberation Mono" w:hAnsi="Liberation Mono" w:eastAsia="Liberation Mono"/>
                <w:b w:val="0"/>
                <w:i w:val="0"/>
                <w:color w:val="101828"/>
                <w:sz w:val="15"/>
              </w:rPr>
              <w:t xml:space="preserve">  -&gt; POST /documents/upload</w:t>
              <w:br/>
            </w:r>
            <w:r>
              <w:rPr>
                <w:rFonts w:ascii="Liberation Mono" w:hAnsi="Liberation Mono" w:eastAsia="Liberation Mono"/>
                <w:b w:val="0"/>
                <w:i w:val="0"/>
                <w:color w:val="101828"/>
                <w:sz w:val="15"/>
              </w:rPr>
              <w:t xml:space="preserve">  -&gt; server verifies bearer principal</w:t>
              <w:br/>
            </w:r>
            <w:r>
              <w:rPr>
                <w:rFonts w:ascii="Liberation Mono" w:hAnsi="Liberation Mono" w:eastAsia="Liberation Mono"/>
                <w:b w:val="0"/>
                <w:i w:val="0"/>
                <w:color w:val="101828"/>
                <w:sz w:val="15"/>
              </w:rPr>
              <w:t xml:space="preserve">  -&gt; content validation and size bound</w:t>
              <w:br/>
            </w:r>
            <w:r>
              <w:rPr>
                <w:rFonts w:ascii="Liberation Mono" w:hAnsi="Liberation Mono" w:eastAsia="Liberation Mono"/>
                <w:b w:val="0"/>
                <w:i w:val="0"/>
                <w:color w:val="101828"/>
                <w:sz w:val="15"/>
              </w:rPr>
              <w:t xml:space="preserve">  -&gt; owner-scoped content hash duplicate check</w:t>
              <w:br/>
            </w:r>
            <w:r>
              <w:rPr>
                <w:rFonts w:ascii="Liberation Mono" w:hAnsi="Liberation Mono" w:eastAsia="Liberation Mono"/>
                <w:b w:val="0"/>
                <w:i w:val="0"/>
                <w:color w:val="101828"/>
                <w:sz w:val="15"/>
              </w:rPr>
              <w:t xml:space="preserve">  -&gt; anti-abuse checks</w:t>
              <w:br/>
            </w:r>
            <w:r>
              <w:rPr>
                <w:rFonts w:ascii="Liberation Mono" w:hAnsi="Liberation Mono" w:eastAsia="Liberation Mono"/>
                <w:b w:val="0"/>
                <w:i w:val="0"/>
                <w:color w:val="101828"/>
                <w:sz w:val="15"/>
              </w:rPr>
              <w:t xml:space="preserve">  -&gt; private object-store write</w:t>
              <w:br/>
            </w:r>
            <w:r>
              <w:rPr>
                <w:rFonts w:ascii="Liberation Mono" w:hAnsi="Liberation Mono" w:eastAsia="Liberation Mono"/>
                <w:b w:val="0"/>
                <w:i w:val="0"/>
                <w:color w:val="101828"/>
                <w:sz w:val="15"/>
              </w:rPr>
              <w:t xml:space="preserve">  -&gt; metadata row created as received</w:t>
              <w:br/>
            </w:r>
            <w:r>
              <w:rPr>
                <w:rFonts w:ascii="Liberation Mono" w:hAnsi="Liberation Mono" w:eastAsia="Liberation Mono"/>
                <w:b w:val="0"/>
                <w:i w:val="0"/>
                <w:color w:val="101828"/>
                <w:sz w:val="15"/>
              </w:rPr>
              <w:t xml:space="preserve">  -&gt; FastAPI BackgroundTask enqueued</w:t>
              <w:br/>
            </w:r>
            <w:r>
              <w:rPr>
                <w:rFonts w:ascii="Liberation Mono" w:hAnsi="Liberation Mono" w:eastAsia="Liberation Mono"/>
                <w:b w:val="0"/>
                <w:i w:val="0"/>
                <w:color w:val="101828"/>
                <w:sz w:val="15"/>
              </w:rPr>
              <w:t xml:space="preserve">  -&gt; 202 response returned</w:t>
              <w:br/>
            </w:r>
            <w:r>
              <w:rPr>
                <w:rFonts w:ascii="Liberation Mono" w:hAnsi="Liberation Mono" w:eastAsia="Liberation Mono"/>
                <w:b w:val="0"/>
                <w:i w:val="0"/>
                <w:color w:val="101828"/>
                <w:sz w:val="15"/>
              </w:rPr>
              <w:t xml:space="preserve">  -&gt; mobile saves a local document record</w:t>
            </w:r>
          </w:p>
        </w:tc>
      </w:tr>
    </w:tbl>
    <w:p>
      <w:pPr>
        <w:spacing w:after="0"/>
      </w:pPr>
    </w:p>
    <w:p>
      <w:pPr>
        <w:spacing w:after="100" w:line="259" w:lineRule="auto"/>
      </w:pPr>
      <w:r>
        <w:rPr>
          <w:rFonts w:ascii="Liberation Sans" w:hAnsi="Liberation Sans" w:eastAsia="Liberation Sans"/>
          <w:b w:val="0"/>
          <w:i w:val="0"/>
          <w:color w:val="101828"/>
          <w:sz w:val="20"/>
        </w:rPr>
        <w:t>Assessment: Acceptance ordering is mostly correct. Source bytes are persisted before metadata, metadata is rolled back if object persistence fails, and idempotency precedes processing. The weak point begins immediately after the 202 response: the accepted job is not placed on a durable queue, and the mobile record is marked synced even though only source acceptance, not processing completion, has occurred.</w:t>
      </w:r>
    </w:p>
    <w:p>
      <w:pPr>
        <w:pStyle w:val="Heading2"/>
        <w:spacing w:before="160" w:after="100"/>
        <w:keepNext/>
      </w:pPr>
      <w:r>
        <w:rPr>
          <w:rFonts w:ascii="Liberation Sans" w:hAnsi="Liberation Sans" w:eastAsia="Liberation Sans"/>
          <w:b/>
          <w:i w:val="0"/>
          <w:color w:val="145BC7"/>
          <w:sz w:val="26"/>
        </w:rPr>
        <w:t>4.3 Processing and extraction</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Background task</w:t>
              <w:br/>
            </w:r>
            <w:r>
              <w:rPr>
                <w:rFonts w:ascii="Liberation Mono" w:hAnsi="Liberation Mono" w:eastAsia="Liberation Mono"/>
                <w:b w:val="0"/>
                <w:i w:val="0"/>
                <w:color w:val="101828"/>
                <w:sz w:val="15"/>
              </w:rPr>
              <w:t xml:space="preserve">  -&gt; claim a 15-minute processing lease</w:t>
              <w:br/>
            </w:r>
            <w:r>
              <w:rPr>
                <w:rFonts w:ascii="Liberation Mono" w:hAnsi="Liberation Mono" w:eastAsia="Liberation Mono"/>
                <w:b w:val="0"/>
                <w:i w:val="0"/>
                <w:color w:val="101828"/>
                <w:sz w:val="15"/>
              </w:rPr>
              <w:t xml:space="preserve">  -&gt; write a second raw file to storage/documents on instance disk</w:t>
              <w:br/>
            </w:r>
            <w:r>
              <w:rPr>
                <w:rFonts w:ascii="Liberation Mono" w:hAnsi="Liberation Mono" w:eastAsia="Liberation Mono"/>
                <w:b w:val="0"/>
                <w:i w:val="0"/>
                <w:color w:val="101828"/>
                <w:sz w:val="15"/>
              </w:rPr>
              <w:t xml:space="preserve">  -&gt; direct PDF text extraction, image OCR, or mobile OCR sidecar</w:t>
              <w:br/>
            </w:r>
            <w:r>
              <w:rPr>
                <w:rFonts w:ascii="Liberation Mono" w:hAnsi="Liberation Mono" w:eastAsia="Liberation Mono"/>
                <w:b w:val="0"/>
                <w:i w:val="0"/>
                <w:color w:val="101828"/>
                <w:sz w:val="15"/>
              </w:rPr>
              <w:t xml:space="preserve">  -&gt; one structured policy-summary call using first 8,000 characters</w:t>
              <w:br/>
            </w:r>
            <w:r>
              <w:rPr>
                <w:rFonts w:ascii="Liberation Mono" w:hAnsi="Liberation Mono" w:eastAsia="Liberation Mono"/>
                <w:b w:val="0"/>
                <w:i w:val="0"/>
                <w:color w:val="101828"/>
                <w:sz w:val="15"/>
              </w:rPr>
              <w:t xml:space="preserve">  -&gt; chunking plus entity views</w:t>
              <w:br/>
            </w:r>
            <w:r>
              <w:rPr>
                <w:rFonts w:ascii="Liberation Mono" w:hAnsi="Liberation Mono" w:eastAsia="Liberation Mono"/>
                <w:b w:val="0"/>
                <w:i w:val="0"/>
                <w:color w:val="101828"/>
                <w:sz w:val="15"/>
              </w:rPr>
              <w:t xml:space="preserve">  -&gt; sequential per-chunk contextualization LLM calls</w:t>
              <w:br/>
            </w:r>
            <w:r>
              <w:rPr>
                <w:rFonts w:ascii="Liberation Mono" w:hAnsi="Liberation Mono" w:eastAsia="Liberation Mono"/>
                <w:b w:val="0"/>
                <w:i w:val="0"/>
                <w:color w:val="101828"/>
                <w:sz w:val="15"/>
              </w:rPr>
              <w:t xml:space="preserve">  -&gt; embeddings</w:t>
              <w:br/>
            </w:r>
            <w:r>
              <w:rPr>
                <w:rFonts w:ascii="Liberation Mono" w:hAnsi="Liberation Mono" w:eastAsia="Liberation Mono"/>
                <w:b w:val="0"/>
                <w:i w:val="0"/>
                <w:color w:val="101828"/>
                <w:sz w:val="15"/>
              </w:rPr>
              <w:t xml:space="preserve">  -&gt; pgvector upsert</w:t>
              <w:br/>
            </w:r>
            <w:r>
              <w:rPr>
                <w:rFonts w:ascii="Liberation Mono" w:hAnsi="Liberation Mono" w:eastAsia="Liberation Mono"/>
                <w:b w:val="0"/>
                <w:i w:val="0"/>
                <w:color w:val="101828"/>
                <w:sz w:val="15"/>
              </w:rPr>
              <w:t xml:space="preserve">  -&gt; in-memory stage marked completed</w:t>
              <w:br/>
            </w:r>
            <w:r>
              <w:rPr>
                <w:rFonts w:ascii="Liberation Mono" w:hAnsi="Liberation Mono" w:eastAsia="Liberation Mono"/>
                <w:b w:val="0"/>
                <w:i w:val="0"/>
                <w:color w:val="101828"/>
                <w:sz w:val="15"/>
              </w:rPr>
              <w:t xml:space="preserve">  -&gt; document metadata marked completed</w:t>
              <w:br/>
            </w:r>
            <w:r>
              <w:rPr>
                <w:rFonts w:ascii="Liberation Mono" w:hAnsi="Liberation Mono" w:eastAsia="Liberation Mono"/>
                <w:b w:val="0"/>
                <w:i w:val="0"/>
                <w:color w:val="101828"/>
                <w:sz w:val="15"/>
              </w:rPr>
              <w:t xml:space="preserve">  -&gt; post-processing classification call</w:t>
            </w:r>
          </w:p>
        </w:tc>
      </w:tr>
    </w:tbl>
    <w:p>
      <w:pPr>
        <w:spacing w:after="0"/>
      </w:pPr>
    </w:p>
    <w:p>
      <w:pPr>
        <w:spacing w:after="100" w:line="259" w:lineRule="auto"/>
      </w:pPr>
      <w:r>
        <w:rPr>
          <w:rFonts w:ascii="Liberation Sans" w:hAnsi="Liberation Sans" w:eastAsia="Liberation Sans"/>
          <w:b w:val="0"/>
          <w:i w:val="0"/>
          <w:color w:val="101828"/>
          <w:sz w:val="20"/>
        </w:rPr>
        <w:t>Assessment: This flow has the largest correctness gap. Stage results are accumulated but not enforced. OCR can fail, RAG can be skipped or fail, and summary persistence can fail, yet the overall result is still marked completed. The metadata lifecycle therefore describes execution termination, not product readiness.</w:t>
      </w:r>
    </w:p>
    <w:p>
      <w:pPr>
        <w:pStyle w:val="Heading2"/>
        <w:spacing w:before="160" w:after="100"/>
        <w:keepNext/>
      </w:pPr>
      <w:r>
        <w:rPr>
          <w:rFonts w:ascii="Liberation Sans" w:hAnsi="Liberation Sans" w:eastAsia="Liberation Sans"/>
          <w:b/>
          <w:i w:val="0"/>
          <w:color w:val="145BC7"/>
          <w:sz w:val="26"/>
        </w:rPr>
        <w:t>4.4 Query and answer</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Mobile QueryService</w:t>
              <w:br/>
            </w:r>
            <w:r>
              <w:rPr>
                <w:rFonts w:ascii="Liberation Mono" w:hAnsi="Liberation Mono" w:eastAsia="Liberation Mono"/>
                <w:b w:val="0"/>
                <w:i w:val="0"/>
                <w:color w:val="101828"/>
                <w:sz w:val="15"/>
              </w:rPr>
              <w:t xml:space="preserve">  -&gt; POST /query with document filter</w:t>
              <w:br/>
            </w:r>
            <w:r>
              <w:rPr>
                <w:rFonts w:ascii="Liberation Mono" w:hAnsi="Liberation Mono" w:eastAsia="Liberation Mono"/>
                <w:b w:val="0"/>
                <w:i w:val="0"/>
                <w:color w:val="101828"/>
                <w:sz w:val="15"/>
              </w:rPr>
              <w:t xml:space="preserve">  -&gt; server replaces any client owner filter with verified owner</w:t>
              <w:br/>
            </w:r>
            <w:r>
              <w:rPr>
                <w:rFonts w:ascii="Liberation Mono" w:hAnsi="Liberation Mono" w:eastAsia="Liberation Mono"/>
                <w:b w:val="0"/>
                <w:i w:val="0"/>
                <w:color w:val="101828"/>
                <w:sz w:val="15"/>
              </w:rPr>
              <w:t xml:space="preserve">  -&gt; query classification</w:t>
              <w:br/>
            </w:r>
            <w:r>
              <w:rPr>
                <w:rFonts w:ascii="Liberation Mono" w:hAnsi="Liberation Mono" w:eastAsia="Liberation Mono"/>
                <w:b w:val="0"/>
                <w:i w:val="0"/>
                <w:color w:val="101828"/>
                <w:sz w:val="15"/>
              </w:rPr>
              <w:t xml:space="preserve">  -&gt; query variants and HyDE generation</w:t>
              <w:br/>
            </w:r>
            <w:r>
              <w:rPr>
                <w:rFonts w:ascii="Liberation Mono" w:hAnsi="Liberation Mono" w:eastAsia="Liberation Mono"/>
                <w:b w:val="0"/>
                <w:i w:val="0"/>
                <w:color w:val="101828"/>
                <w:sz w:val="15"/>
              </w:rPr>
              <w:t xml:space="preserve">  -&gt; embedding and pgvector search</w:t>
              <w:br/>
            </w:r>
            <w:r>
              <w:rPr>
                <w:rFonts w:ascii="Liberation Mono" w:hAnsi="Liberation Mono" w:eastAsia="Liberation Mono"/>
                <w:b w:val="0"/>
                <w:i w:val="0"/>
                <w:color w:val="101828"/>
                <w:sz w:val="15"/>
              </w:rPr>
              <w:t xml:space="preserve">  -&gt; optional local FTS in non-Supabase mode</w:t>
              <w:br/>
            </w:r>
            <w:r>
              <w:rPr>
                <w:rFonts w:ascii="Liberation Mono" w:hAnsi="Liberation Mono" w:eastAsia="Liberation Mono"/>
                <w:b w:val="0"/>
                <w:i w:val="0"/>
                <w:color w:val="101828"/>
                <w:sz w:val="15"/>
              </w:rPr>
              <w:t xml:space="preserve">  -&gt; reciprocal-rank merge and ranking</w:t>
              <w:br/>
            </w:r>
            <w:r>
              <w:rPr>
                <w:rFonts w:ascii="Liberation Mono" w:hAnsi="Liberation Mono" w:eastAsia="Liberation Mono"/>
                <w:b w:val="0"/>
                <w:i w:val="0"/>
                <w:color w:val="101828"/>
                <w:sz w:val="15"/>
              </w:rPr>
              <w:t xml:space="preserve">  -&gt; retrieval-quality gate</w:t>
              <w:br/>
            </w:r>
            <w:r>
              <w:rPr>
                <w:rFonts w:ascii="Liberation Mono" w:hAnsi="Liberation Mono" w:eastAsia="Liberation Mono"/>
                <w:b w:val="0"/>
                <w:i w:val="0"/>
                <w:color w:val="101828"/>
                <w:sz w:val="15"/>
              </w:rPr>
              <w:t xml:space="preserve">  -&gt; structured answer with citations and confidence</w:t>
              <w:br/>
            </w:r>
            <w:r>
              <w:rPr>
                <w:rFonts w:ascii="Liberation Mono" w:hAnsi="Liberation Mono" w:eastAsia="Liberation Mono"/>
                <w:b w:val="0"/>
                <w:i w:val="0"/>
                <w:color w:val="101828"/>
                <w:sz w:val="15"/>
              </w:rPr>
              <w:t xml:space="preserve">  -&gt; response formatted for mobile</w:t>
            </w:r>
          </w:p>
        </w:tc>
      </w:tr>
    </w:tbl>
    <w:p>
      <w:pPr>
        <w:spacing w:after="0"/>
      </w:pPr>
    </w:p>
    <w:p>
      <w:pPr>
        <w:spacing w:after="100" w:line="259" w:lineRule="auto"/>
      </w:pPr>
      <w:r>
        <w:rPr>
          <w:rFonts w:ascii="Liberation Sans" w:hAnsi="Liberation Sans" w:eastAsia="Liberation Sans"/>
          <w:b w:val="0"/>
          <w:i w:val="0"/>
          <w:color w:val="101828"/>
          <w:sz w:val="20"/>
        </w:rPr>
        <w:t>Assessment: The answer contract is one of the strongest parts of the codebase. The retrieval implementation underneath it is not reliable enough. Exact lookup is broken in production mode, requested document IDs are filtered after the database limit, failed or in-flight document chunks remain searchable, and generated citations are not checked against retrieved text.</w:t>
      </w:r>
    </w:p>
    <w:p>
      <w:pPr>
        <w:pStyle w:val="Heading2"/>
        <w:spacing w:before="160" w:after="100"/>
        <w:keepNext/>
      </w:pPr>
      <w:r>
        <w:rPr>
          <w:rFonts w:ascii="Liberation Sans" w:hAnsi="Liberation Sans" w:eastAsia="Liberation Sans"/>
          <w:b/>
          <w:i w:val="0"/>
          <w:color w:val="145BC7"/>
          <w:sz w:val="26"/>
        </w:rPr>
        <w:t>4.5 Anonymous-to-account upgrade</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1. User signs into Supabase.</w:t>
              <w:br/>
            </w:r>
            <w:r>
              <w:rPr>
                <w:rFonts w:ascii="Liberation Mono" w:hAnsi="Liberation Mono" w:eastAsia="Liberation Mono"/>
                <w:b w:val="0"/>
                <w:i w:val="0"/>
                <w:color w:val="101828"/>
                <w:sz w:val="15"/>
              </w:rPr>
              <w:t>2. Mobile sends the legacy anonymous JWT to /user/claim-anonymous.</w:t>
              <w:br/>
            </w:r>
            <w:r>
              <w:rPr>
                <w:rFonts w:ascii="Liberation Mono" w:hAnsi="Liberation Mono" w:eastAsia="Liberation Mono"/>
                <w:b w:val="0"/>
                <w:i w:val="0"/>
                <w:color w:val="101828"/>
                <w:sz w:val="15"/>
              </w:rPr>
              <w:t>3. Server verifies both the account token and anonymous token.</w:t>
              <w:br/>
            </w:r>
            <w:r>
              <w:rPr>
                <w:rFonts w:ascii="Liberation Mono" w:hAnsi="Liberation Mono" w:eastAsia="Liberation Mono"/>
                <w:b w:val="0"/>
                <w:i w:val="0"/>
                <w:color w:val="101828"/>
                <w:sz w:val="15"/>
              </w:rPr>
              <w:t>4. Supabase RPC updates documents.owner_id and serialized payload.user_uid.</w:t>
              <w:br/>
            </w:r>
            <w:r>
              <w:rPr>
                <w:rFonts w:ascii="Liberation Mono" w:hAnsi="Liberation Mono" w:eastAsia="Liberation Mono"/>
                <w:b w:val="0"/>
                <w:i w:val="0"/>
                <w:color w:val="101828"/>
                <w:sz w:val="15"/>
              </w:rPr>
              <w:t>5. Mobile deletes the anonymous token.</w:t>
            </w:r>
          </w:p>
        </w:tc>
      </w:tr>
    </w:tbl>
    <w:p>
      <w:pPr>
        <w:spacing w:after="0"/>
      </w:pPr>
    </w:p>
    <w:p>
      <w:pPr>
        <w:spacing w:after="100" w:line="259" w:lineRule="auto"/>
      </w:pPr>
      <w:r>
        <w:rPr>
          <w:rFonts w:ascii="Liberation Sans" w:hAnsi="Liberation Sans" w:eastAsia="Liberation Sans"/>
          <w:b w:val="0"/>
          <w:i w:val="0"/>
          <w:color w:val="101828"/>
          <w:sz w:val="20"/>
        </w:rPr>
        <w:t>Assessment: The authorization idea is correct. The data migration is incomplete. document_chunks.owner_id is not updated, so account-owned metadata and anonymous-owned retrieval data diverge. This creates both an availability failure and a residual-access risk until the old anonymous token expires or is discarded.</w:t>
      </w:r>
    </w:p>
    <w:p>
      <w:pPr>
        <w:pStyle w:val="Heading2"/>
        <w:spacing w:before="160" w:after="100"/>
        <w:keepNext/>
      </w:pPr>
      <w:r>
        <w:rPr>
          <w:rFonts w:ascii="Liberation Sans" w:hAnsi="Liberation Sans" w:eastAsia="Liberation Sans"/>
          <w:b/>
          <w:i w:val="0"/>
          <w:color w:val="145BC7"/>
          <w:sz w:val="26"/>
        </w:rPr>
        <w:t>4.6 Document and account deletion</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Document delete API (server)</w:t>
              <w:br/>
            </w:r>
            <w:r>
              <w:rPr>
                <w:rFonts w:ascii="Liberation Mono" w:hAnsi="Liberation Mono" w:eastAsia="Liberation Mono"/>
                <w:b w:val="0"/>
                <w:i w:val="0"/>
                <w:color w:val="101828"/>
                <w:sz w:val="15"/>
              </w:rPr>
              <w:t xml:space="preserve">  -&gt; delete derived vector data</w:t>
              <w:br/>
            </w:r>
            <w:r>
              <w:rPr>
                <w:rFonts w:ascii="Liberation Mono" w:hAnsi="Liberation Mono" w:eastAsia="Liberation Mono"/>
                <w:b w:val="0"/>
                <w:i w:val="0"/>
                <w:color w:val="101828"/>
                <w:sz w:val="15"/>
              </w:rPr>
              <w:t xml:space="preserve">  -&gt; delete summary from Redis/disk</w:t>
              <w:br/>
            </w:r>
            <w:r>
              <w:rPr>
                <w:rFonts w:ascii="Liberation Mono" w:hAnsi="Liberation Mono" w:eastAsia="Liberation Mono"/>
                <w:b w:val="0"/>
                <w:i w:val="0"/>
                <w:color w:val="101828"/>
                <w:sz w:val="15"/>
              </w:rPr>
              <w:t xml:space="preserve">  -&gt; delete source object</w:t>
              <w:br/>
            </w:r>
            <w:r>
              <w:rPr>
                <w:rFonts w:ascii="Liberation Mono" w:hAnsi="Liberation Mono" w:eastAsia="Liberation Mono"/>
                <w:b w:val="0"/>
                <w:i w:val="0"/>
                <w:color w:val="101828"/>
                <w:sz w:val="15"/>
              </w:rPr>
              <w:t xml:space="preserve">  -&gt; delete metadata row</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Mobile document delete (actual app service)</w:t>
              <w:br/>
            </w:r>
            <w:r>
              <w:rPr>
                <w:rFonts w:ascii="Liberation Mono" w:hAnsi="Liberation Mono" w:eastAsia="Liberation Mono"/>
                <w:b w:val="0"/>
                <w:i w:val="0"/>
                <w:color w:val="101828"/>
                <w:sz w:val="15"/>
              </w:rPr>
              <w:t xml:space="preserve">  -&gt; delete local record and local file only</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Account delete API</w:t>
              <w:br/>
            </w:r>
            <w:r>
              <w:rPr>
                <w:rFonts w:ascii="Liberation Mono" w:hAnsi="Liberation Mono" w:eastAsia="Liberation Mono"/>
                <w:b w:val="0"/>
                <w:i w:val="0"/>
                <w:color w:val="101828"/>
                <w:sz w:val="15"/>
              </w:rPr>
              <w:t xml:space="preserve">  -&gt; best-effort source-object deletion</w:t>
              <w:br/>
            </w:r>
            <w:r>
              <w:rPr>
                <w:rFonts w:ascii="Liberation Mono" w:hAnsi="Liberation Mono" w:eastAsia="Liberation Mono"/>
                <w:b w:val="0"/>
                <w:i w:val="0"/>
                <w:color w:val="101828"/>
                <w:sz w:val="15"/>
              </w:rPr>
              <w:t xml:space="preserve">  -&gt; delete chunks and document rows</w:t>
              <w:br/>
            </w:r>
            <w:r>
              <w:rPr>
                <w:rFonts w:ascii="Liberation Mono" w:hAnsi="Liberation Mono" w:eastAsia="Liberation Mono"/>
                <w:b w:val="0"/>
                <w:i w:val="0"/>
                <w:color w:val="101828"/>
                <w:sz w:val="15"/>
              </w:rPr>
              <w:t xml:space="preserve">  -&gt; best-effort Supabase Auth user deletion</w:t>
              <w:br/>
            </w:r>
            <w:r>
              <w:rPr>
                <w:rFonts w:ascii="Liberation Mono" w:hAnsi="Liberation Mono" w:eastAsia="Liberation Mono"/>
                <w:b w:val="0"/>
                <w:i w:val="0"/>
                <w:color w:val="101828"/>
                <w:sz w:val="15"/>
              </w:rPr>
              <w:t xml:space="preserve">  -&gt; return 200 and permanently-deleted message even when errors remain</w:t>
            </w:r>
          </w:p>
        </w:tc>
      </w:tr>
    </w:tbl>
    <w:p>
      <w:pPr>
        <w:spacing w:after="0"/>
      </w:pPr>
    </w:p>
    <w:p>
      <w:pPr>
        <w:spacing w:after="100" w:line="259" w:lineRule="auto"/>
      </w:pPr>
      <w:r>
        <w:rPr>
          <w:rFonts w:ascii="Liberation Sans" w:hAnsi="Liberation Sans" w:eastAsia="Liberation Sans"/>
          <w:b w:val="0"/>
          <w:i w:val="0"/>
          <w:color w:val="101828"/>
          <w:sz w:val="20"/>
        </w:rPr>
        <w:t>Assessment: Server-side per-document deletion ordering is reasonable, but the mobile app does not call it. Account deletion is not a durable workflow and does not include summaries, analytics, consent, leads, temporary raw files, or an erasure audit record. The public success message is stronger than the evidence.</w:t>
      </w:r>
    </w:p>
    <w:p>
      <w:pPr>
        <w:pStyle w:val="Heading2"/>
        <w:spacing w:before="160" w:after="100"/>
        <w:keepNext/>
      </w:pPr>
      <w:r>
        <w:rPr>
          <w:rFonts w:ascii="Liberation Sans" w:hAnsi="Liberation Sans" w:eastAsia="Liberation Sans"/>
          <w:b/>
          <w:i w:val="0"/>
          <w:color w:val="145BC7"/>
          <w:sz w:val="26"/>
        </w:rPr>
        <w:t>4.7 Offline and emergency access</w:t>
      </w:r>
    </w:p>
    <w:p>
      <w:pPr>
        <w:spacing w:after="100" w:line="259" w:lineRule="auto"/>
      </w:pPr>
      <w:r>
        <w:rPr>
          <w:rFonts w:ascii="Liberation Sans" w:hAnsi="Liberation Sans" w:eastAsia="Liberation Sans"/>
          <w:b w:val="0"/>
          <w:i w:val="0"/>
          <w:color w:val="101828"/>
          <w:sz w:val="20"/>
        </w:rPr>
        <w:t>Policy summaries are cached in Hive and the emergency screen reads them before attempting background refresh. This is a valid user need and should remain. However, the cache currently stores sensitive policy numbers, contacts, coverage, benefits, exclusions, and dates in the general application state box, while the server summary endpoint call is unauthenticated and normally falls back to 13 sequential queries. Offline-first should mean a deliberately encrypted, versioned local projection of a durable server summary, not an independent truth source.</w:t>
      </w:r>
    </w:p>
    <w:p>
      <w:pPr>
        <w:spacing w:after="40"/>
      </w:pPr>
    </w:p>
    <w:p>
      <w:bookmarkStart w:id="5" w:name="p0_findings"/>
      <w:pPr>
        <w:pStyle w:val="Heading1"/>
        <w:spacing w:before="220" w:after="100"/>
        <w:keepNext/>
      </w:pPr>
      <w:r>
        <w:rPr>
          <w:rFonts w:ascii="Liberation Sans" w:hAnsi="Liberation Sans" w:eastAsia="Liberation Sans"/>
          <w:b/>
          <w:i w:val="0"/>
          <w:color w:val="071B33"/>
          <w:sz w:val="34"/>
        </w:rPr>
        <w:t>5. P0 production blockers</w:t>
      </w:r>
      <w:bookmarkEnd w:id="5"/>
    </w:p>
    <w:p>
      <w:pPr>
        <w:spacing w:after="100" w:line="259" w:lineRule="auto"/>
      </w:pPr>
      <w:r>
        <w:rPr>
          <w:rFonts w:ascii="Liberation Sans" w:hAnsi="Liberation Sans" w:eastAsia="Liberation Sans"/>
          <w:b w:val="0"/>
          <w:i w:val="0"/>
          <w:color w:val="101828"/>
          <w:sz w:val="20"/>
        </w:rPr>
        <w:t>P0 means the defect can violate ownership, privacy, deletion, correctness, evidence, or durable availability in the primary user journey. These should be resolved before public production use.</w:t>
      </w: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P0-01</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Completed does not mean ready</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src/services/document_processing_service.py sets the overall result to completed after stage execution without requiring successful OCR, policy extraction, or RAG ingestion. _ingest_into_rag wraps the inner RAG result as completed even when the inner status is error.</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A scanned file with unavailable OCR, a failed embedding call, or zero usable text can appear as a completed policy. The mobile app then navigates into features that assume trustworthy structured data and searchable evidence.</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Lifecycle states must encode customer-visible invariants, not whether a function returned.</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Replace ad hoc status strings with a durable state machine. A document becomes READY only when required source, extraction, evidence, and retrieval artifacts are committed and reconciled. Represent PARTIAL and NEEDS_USER_ACTION explicitly.</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P0-02</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Raw customer documents are duplicated on instance disk and not cleaned</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The source is first written to the configured object store, then DocumentProcessingService._save_file writes the same bytes to storage/documents. No finally block removes the processing copy. The filename is concatenated without the object-store sanitization.</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Sensitive files accumulate on an ephemeral instance until recycle, deletion cannot reach those copies, and a crafted multipart filename can attempt path traversal outside the intended directory.</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One canonical source and bounded temporary materialization. Every temporary artifact must have a deletion guarantee.</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Read canonical bytes into a secure named temporary file with a generated basename, restrictive permissions, explicit size/type checks, and unconditional cleanup. Never use the client filename in a filesystem path.</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P0-03</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Policy summaries are stored outside the canonical production data plane</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PolicyExtractionService stores summaries in Redis or local disk. The production architecture explicitly selects Supabase and the Docker image does not establish Redis as a durable dependency.</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Summaries can disappear after restart, differ by Cloud Run instance, fail to enumerate, and remain after owner deletion. Mobile emergency, renewal, claims, comparison, and gap features then use stale or missing data.</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Derived customer truth must be durable, owner-scoped, versioned, and deletable from the same control plane as the document.</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Create policy_extractions and field_evidence tables in Supabase. Store extraction schema version, source version, model route, prompt version, status, field confidence, and page/section/span evidence. Remove disk/Redis as truth sources.</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P0-04</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Anonymous-to-account claim does not migrate vector-chunk ownership</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claim_anonymous_documents updates public.documents owner_id and the serialized user_uid. It does not update public.document_chunks.owner_id. Retrieval filters only by chunk owner.</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After signup, the account can list the policy but cannot query its chunks. The old anonymous identity may remain able to search those chunks while its token is valid.</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Ownership transfer is an atomic domain operation across every owner-scoped artifact.</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Replace the RPC with one transaction that updates documents, chunks, summaries, evidence, analytics ownership if applicable, and object metadata. Add an integration test that proves old-owner denial and new-owner access.</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P0-05</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Several mobile server calls omit bearer authentication and fail silently</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ProcessingStatusScreen, mobile PolicyExtractionService, and AnalyticsService instantiate raw Dio clients without AuthInterceptor. The corresponding backend endpoints require get_current_user.</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Status polling receives 401 and falls back to stale local received state; summary fetch receives 401 and launches 13 fallback questions; analytics events remain queued. The UI can look functional while the canonical flow is broken.</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One authenticated transport client for all API calls. A fallback must not hide an integration contract violation.</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Provide a single injected ApiClient/Dio instance with auth, refresh, correlation IDs, retry policy, error normalization, and telemetry. Ban raw Dio construction outside the transport module with lint/test enforcement.</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P0-06</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Mobile delete removes only the local copy</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DocumentService.deleteDocument deletes the LocalStorageService record and records the filename as recently deleted. It never calls DELETE /documents/{remote_id}. replaceDocument also deletes only the old local record after uploading a replacement.</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The user believes the policy is gone while source bytes, metadata, summary, and vector chunks remain on the server. Replacements leave old remote documents behind.</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User-visible delete must map to durable server erasure or clearly state local-only removal.</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Make remote deletion the primary operation using remoteId, persist a deletion intent while offline, reconcile until server confirmation, then remove local data. Show pending, failed, and completed erasure states.</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P0-07</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Account deletion can report permanent erasure when artifacts remain</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The route deletes source objects best-effort, deletes metadata/chunks, then deletes the auth user best-effort and always returns 200 with a permanently-deleted message. It omits policy summaries, temporary files, analytics, consent, and lead records.</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Orphaned source files or an active account can remain after the user is told erasure succeeded. Partial failure is not resumable because metadata may already be gone.</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Destructive workflows require durable orchestration, idempotency, and evidence of completion.</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Create an erasure job with per-artifact steps, retries, tombstones, retention policy, audit evidence, and a final COMPLETE state. Do not delete the control record until all artifacts are confirmed removed. Require recent reauthentication for account deletion.</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P0-08</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Production exact lookup and document filtering are incorrect</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Exact lookup uses only the local FTS index, which is not initialized for Supabase production mode. The no-results branch references dense_error before assignment. The classifier lowercases the query while the policy-ID regex expects uppercase letters. Supabase document_ids are filtered after the RPC limit.</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Policy-number questions can fail, crash, or return no result. A requested document can be crowded out by chunks from other owner documents before the post-filter runs.</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Retrieval routing must preserve filters at the database boundary and every route must be valid for the active backend.</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Add an owner-and-document-aware exact lookup RPC or indexed lexical column in Supabase. Pass document IDs and READY state into SQL. Initialize branch variables explicitly and verify every query route under the production backend.</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P0-09</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Sensitive policy content and user questions are logged</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RAGPipeline logs the raw user query. PolicyExtractionService logs policy number, insurer, and coverage amount. Some compatibility frontend paths log full OCR responses and queries. Account deletion logs object-reference prefixes containing filenames.</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Insurance questions, policy numbers, financial coverage, filenames, and extracted text can enter ordinary application logs and third-party logging retention.</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Observability must expose system behavior without becoming a second customer-content database.</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Adopt an allowlisted structured logging schema. Log document UUID hash, owner hash, route, stage, model route, latency, token count, error class, and outcome. Never log source text, query text, answer text, policy fields, filenames, tokens, or object paths by default.</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P0-10</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Accepted processing work is not durably queued</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Upload returns 202 and uses FastAPI BackgroundTasks. Recovery scans received and stale-processing rows only when an instance starts. The 15-minute lease has no renewal heartbeat.</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A Cloud Run instance can terminate after accepting a file; work may wait until another cold start. Long processing can outlive the lease and be claimed twice. Multiple attempts can race on summary and chunk writes.</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An accepted asynchronous operation needs a durable work record and exactly-once outcome semantics, even if execution is at-least-once.</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Use a Supabase-backed job/outbox table plus Cloud Tasks, a small worker endpoint, or a scheduled claimer. Add lease renewal, attempt limits, idempotent stage writes, and periodic reconciliation. Keep one service binary if operational simplicity matters.</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P0-11</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Structured policy facts lack source evidence and full-document coverage</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The summary call reads only the first 8,000 characters. Direct PDF extraction drops image-only pages when other pages contain text. Summary fields are stored without page, section, quote span, extraction method, or verification state.</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A schedule, exclusion, endorsement, waiting period, or limit later in a policy can be missed. The app can present a precise coverage amount or exclusion without showing where it came from.</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In an insurance product, a field without source evidence is a proposal, not a fact.</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Parse pages and sections, detect partial extraction, extract from targeted evidence windows, and persist field-level evidence. The UI should let users open the exact page/region and distinguish confirmed, inferred, conflicting, and missing fields.</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P0-12</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Embedding fallback is structurally unsafe in Supabase mode</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RAGPipeline may fall back from 1536-dimensional OpenAI embeddings to Ollama or sentence-transformers with different dimensions. The fallback path attempts to recreate self.qdrant_client even when production initialized only Supabase. The database vector column is fixed at 1536.</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An OpenAI embedding outage can trigger an attribute error, dimension mismatch, global model-state mutation, or an invalid query vector. In local Qdrant mode, collection recreation can erase existing indexes.</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Embedding model and dimensionality are part of the persisted index contract, not a transparent runtime fallback.</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Pin one production embedding model per index version. On provider failure, queue/retry instead of switching dimensions. To migrate models, write a new index version and dual-read during controlled re-embedding.</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P0-13</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Analytics is both non-durable and overexposed</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The mobile client sends analytics without auth, while the server requires auth. The backend stores events in insurance_app.db on instance disk. Summary, health, and error aggregation endpoints are available to any authenticated user and aggregate global data.</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Events never sync, disappear on instance recycle, or expose global operator metrics to ordinary users. Error-message properties can become a content leakage channel.</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Operational data needs durable storage, strict schema, role-scoped access, and the same privacy posture as product data.</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Store allowlisted events in Supabase or a dedicated telemetry backend, authenticate ingestion through the shared client, separate user-scoped from operator endpoints, require an admin role, and reject unknown properties server-side.</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tbl>
      <w:tblPr>
        <w:tblW w:type="auto" w:w="0"/>
        <w:jc w:val="center"/>
        <w:tblLayout w:type="fixed"/>
        <w:tblLook w:firstColumn="1" w:firstRow="1" w:lastColumn="0" w:lastRow="0" w:noHBand="0" w:noVBand="1" w:val="04A0"/>
      </w:tblPr>
      <w:tblGrid>
        <w:gridCol w:w="893"/>
        <w:gridCol w:w="9000"/>
      </w:tblGrid>
      <w:tr>
        <w:trPr>
          <w:cantSplit/>
        </w:trPr>
        <w:tc>
          <w:tcPr>
            <w:tcW w:type="dxa" w:w="892"/>
            <w:shd w:fill="B42318"/>
            <w:tcMar>
              <w:top w:w="100" w:type="dxa"/>
              <w:start w:w="110" w:type="dxa"/>
              <w:bottom w:w="100" w:type="dxa"/>
              <w:end w:w="110" w:type="dxa"/>
            </w:tcMar>
            <w:tcBorders>
              <w:top w:val="nil"/>
              <w:left w:val="nil"/>
              <w:bottom w:val="nil"/>
              <w:right w:val="nil"/>
            </w:tcBorders>
          </w:tcPr>
          <w:p>
            <w:pPr>
              <w:jc w:val="center"/>
            </w:pPr>
            <w:r>
              <w:rPr>
                <w:rFonts w:ascii="Liberation Sans" w:hAnsi="Liberation Sans" w:eastAsia="Liberation Sans"/>
                <w:b/>
                <w:i w:val="0"/>
                <w:color w:val="FFFFFF"/>
                <w:sz w:val="22"/>
              </w:rPr>
              <w:t>P0</w:t>
            </w:r>
          </w:p>
          <w:p>
            <w:pPr>
              <w:jc w:val="center"/>
            </w:pPr>
            <w:r>
              <w:rPr>
                <w:rFonts w:ascii="Liberation Sans" w:hAnsi="Liberation Sans" w:eastAsia="Liberation Sans"/>
                <w:b/>
                <w:i w:val="0"/>
                <w:color w:val="FFFFFF"/>
                <w:sz w:val="15"/>
              </w:rPr>
              <w:t>P0-14</w:t>
            </w:r>
          </w:p>
        </w:tc>
        <w:tc>
          <w:tcPr>
            <w:tcW w:type="dxa" w:w="9000"/>
            <w:shd w:fill="FEF3F2"/>
            <w:tcMar>
              <w:top w:w="100" w:type="dxa"/>
              <w:start w:w="110" w:type="dxa"/>
              <w:bottom w:w="100" w:type="dxa"/>
              <w:end w:w="110" w:type="dxa"/>
            </w:tcMar>
            <w:tcBorders>
              <w:top w:val="nil"/>
              <w:left w:val="nil"/>
              <w:bottom w:val="nil"/>
              <w:right w:val="nil"/>
            </w:tcBorders>
          </w:tcPr>
          <w:p>
            <w:pPr>
              <w:spacing w:after="60"/>
            </w:pPr>
            <w:r>
              <w:rPr>
                <w:rFonts w:ascii="Liberation Sans" w:hAnsi="Liberation Sans" w:eastAsia="Liberation Sans"/>
                <w:b/>
                <w:i w:val="0"/>
                <w:color w:val="B42318"/>
                <w:sz w:val="21"/>
              </w:rPr>
              <w:t>The product crosses from document understanding into ungrounded insurance advice</w:t>
            </w:r>
          </w:p>
          <w:p>
            <w:pPr>
              <w:spacing w:after="40"/>
            </w:pPr>
            <w:r>
              <w:rPr>
                <w:rFonts w:ascii="Liberation Sans" w:hAnsi="Liberation Sans" w:eastAsia="Liberation Sans"/>
                <w:b/>
                <w:i w:val="0"/>
                <w:color w:val="475467"/>
                <w:sz w:val="17"/>
              </w:rPr>
              <w:t xml:space="preserve">Evidence: </w:t>
            </w:r>
            <w:r>
              <w:rPr>
                <w:rFonts w:ascii="Liberation Sans" w:hAnsi="Liberation Sans" w:eastAsia="Liberation Sans"/>
                <w:b w:val="0"/>
                <w:i w:val="0"/>
                <w:color w:val="101828"/>
                <w:sz w:val="17"/>
              </w:rPr>
              <w:t>Coverage-gap analysis declares missing health, life, auto, maternity, and critical illness coverage and recommends purchases or riders. Claim guides include generic process and document instructions. These outputs are partly based on absence from a shallow summary rather than verified policy and jurisdiction evidence.</w:t>
            </w:r>
          </w:p>
          <w:p>
            <w:pPr>
              <w:spacing w:after="40"/>
            </w:pPr>
            <w:r>
              <w:rPr>
                <w:rFonts w:ascii="Liberation Sans" w:hAnsi="Liberation Sans" w:eastAsia="Liberation Sans"/>
                <w:b/>
                <w:i w:val="0"/>
                <w:color w:val="475467"/>
                <w:sz w:val="17"/>
              </w:rPr>
              <w:t xml:space="preserve">Failure mode: </w:t>
            </w:r>
            <w:r>
              <w:rPr>
                <w:rFonts w:ascii="Liberation Sans" w:hAnsi="Liberation Sans" w:eastAsia="Liberation Sans"/>
                <w:b w:val="0"/>
                <w:i w:val="0"/>
                <w:color w:val="101828"/>
                <w:sz w:val="17"/>
              </w:rPr>
              <w:t>A user may act on advice that is not grounded in their full policy, personal situation, insurer process, or jurisdiction. Absence of extracted evidence is treated as absence of coverage.</w:t>
            </w:r>
          </w:p>
          <w:p>
            <w:pPr>
              <w:spacing w:after="40"/>
            </w:pPr>
            <w:r>
              <w:rPr>
                <w:rFonts w:ascii="Liberation Sans" w:hAnsi="Liberation Sans" w:eastAsia="Liberation Sans"/>
                <w:b/>
                <w:i w:val="0"/>
                <w:color w:val="475467"/>
                <w:sz w:val="17"/>
              </w:rPr>
              <w:t xml:space="preserve">First-principles breach: </w:t>
            </w:r>
            <w:r>
              <w:rPr>
                <w:rFonts w:ascii="Liberation Sans" w:hAnsi="Liberation Sans" w:eastAsia="Liberation Sans"/>
                <w:b w:val="0"/>
                <w:i w:val="0"/>
                <w:color w:val="101828"/>
                <w:sz w:val="17"/>
              </w:rPr>
              <w:t>Product scope must match the evidence and regulatory risk the system can support.</w:t>
            </w:r>
          </w:p>
          <w:p>
            <w:pPr>
              <w:spacing w:after="40"/>
            </w:pPr>
            <w:r>
              <w:rPr>
                <w:rFonts w:ascii="Liberation Sans" w:hAnsi="Liberation Sans" w:eastAsia="Liberation Sans"/>
                <w:b/>
                <w:i w:val="0"/>
                <w:color w:val="475467"/>
                <w:sz w:val="17"/>
              </w:rPr>
              <w:t xml:space="preserve">Required action: </w:t>
            </w:r>
            <w:r>
              <w:rPr>
                <w:rFonts w:ascii="Liberation Sans" w:hAnsi="Liberation Sans" w:eastAsia="Liberation Sans"/>
                <w:b w:val="0"/>
                <w:i w:val="0"/>
                <w:color w:val="101828"/>
                <w:sz w:val="17"/>
              </w:rPr>
              <w:t>For launch, constrain the product to policy organization, quoted explanation, renewal reminders, and insurer contact retrieval. Reframe gaps as unconfirmed questions with source evidence. Keep claim steps insurer- and policy-grounded, jurisdiction-labelled, and clearly non-advisory.</w:t>
            </w:r>
          </w:p>
          <w:p>
            <w:pPr>
              <w:spacing w:after="40"/>
            </w:pPr>
            <w:r>
              <w:rPr>
                <w:rFonts w:ascii="Liberation Sans" w:hAnsi="Liberation Sans" w:eastAsia="Liberation Sans"/>
                <w:b/>
                <w:i w:val="0"/>
                <w:color w:val="475467"/>
                <w:sz w:val="17"/>
              </w:rPr>
              <w:t xml:space="preserve">Evidence status: </w:t>
            </w:r>
            <w:r>
              <w:rPr>
                <w:rFonts w:ascii="Liberation Sans" w:hAnsi="Liberation Sans" w:eastAsia="Liberation Sans"/>
                <w:b w:val="0"/>
                <w:i w:val="0"/>
                <w:color w:val="101828"/>
                <w:sz w:val="17"/>
              </w:rPr>
              <w:t>Static code fact</w:t>
            </w:r>
          </w:p>
        </w:tc>
      </w:tr>
    </w:tbl>
    <w:p>
      <w:pPr>
        <w:spacing w:after="0"/>
      </w:pPr>
    </w:p>
    <w:p>
      <w:pPr>
        <w:spacing w:after="40"/>
      </w:pPr>
    </w:p>
    <w:p>
      <w:bookmarkStart w:id="6" w:name="p1_findings"/>
      <w:pPr>
        <w:pStyle w:val="Heading1"/>
        <w:spacing w:before="220" w:after="100"/>
        <w:keepNext/>
      </w:pPr>
      <w:r>
        <w:rPr>
          <w:rFonts w:ascii="Liberation Sans" w:hAnsi="Liberation Sans" w:eastAsia="Liberation Sans"/>
          <w:b/>
          <w:i w:val="0"/>
          <w:color w:val="071B33"/>
          <w:sz w:val="34"/>
        </w:rPr>
        <w:t>6. P1 architectural risks</w:t>
      </w:r>
      <w:bookmarkEnd w:id="6"/>
    </w:p>
    <w:p>
      <w:pPr>
        <w:spacing w:after="100" w:line="259" w:lineRule="auto"/>
      </w:pPr>
      <w:r>
        <w:rPr>
          <w:rFonts w:ascii="Liberation Sans" w:hAnsi="Liberation Sans" w:eastAsia="Liberation Sans"/>
          <w:b w:val="0"/>
          <w:i w:val="0"/>
          <w:color w:val="101828"/>
          <w:sz w:val="20"/>
        </w:rPr>
        <w:t>P1 issues do not independently justify a launch stop when isolated, but they amplify the P0 defects or make the platform expensive, opaque, or difficult to evolve.</w:t>
      </w:r>
    </w:p>
    <w:tbl>
      <w:tblPr>
        <w:tblW w:type="auto" w:w="0"/>
        <w:jc w:val="center"/>
        <w:tblLayout w:type="fixed"/>
        <w:tblLook w:firstColumn="1" w:firstRow="1" w:lastColumn="0" w:lastRow="0" w:noHBand="0" w:noVBand="1" w:val="04A0"/>
      </w:tblPr>
      <w:tblGrid>
        <w:gridCol w:w="936"/>
        <w:gridCol w:w="2592"/>
        <w:gridCol w:w="5976"/>
      </w:tblGrid>
      <w:tr>
        <w:trPr>
          <w:tblHeader w:val="true"/>
          <w:cantSplit/>
        </w:trPr>
        <w:tc>
          <w:tcPr>
            <w:tcW w:type="dxa" w:w="93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ID</w:t>
            </w:r>
          </w:p>
        </w:tc>
        <w:tc>
          <w:tcPr>
            <w:tcW w:type="dxa" w:w="2592"/>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Risk</w:t>
            </w:r>
          </w:p>
        </w:tc>
        <w:tc>
          <w:tcPr>
            <w:tcW w:type="dxa" w:w="597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Why it matters</w:t>
            </w:r>
          </w:p>
        </w:tc>
      </w:tr>
      <w:tr>
        <w:trPr>
          <w:cantSplit/>
        </w:trPr>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P1-01</w:t>
            </w:r>
          </w:p>
        </w:tc>
        <w:tc>
          <w:tcPr>
            <w:tcW w:type="dxa" w:w="25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Global mutable RAG model state</w:t>
            </w:r>
          </w:p>
        </w:tc>
        <w:tc>
          <w:tcPr>
            <w:tcW w:type="dxa" w:w="59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active_embedding_model and embedding_dimensions are shared across concurrent requests and can remain changed after a fallback.</w:t>
            </w:r>
          </w:p>
        </w:tc>
      </w:tr>
      <w:tr>
        <w:trPr>
          <w:cantSplit/>
        </w:trPr>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P1-02</w:t>
            </w:r>
          </w:p>
        </w:tc>
        <w:tc>
          <w:tcPr>
            <w:tcW w:type="dxa" w:w="25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Unbounded LLM fan-out</w:t>
            </w:r>
          </w:p>
        </w:tc>
        <w:tc>
          <w:tcPr>
            <w:tcW w:type="dxa" w:w="59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Every ingestion chunk can trigger a sequential contextualization call; each query can trigger variants, HyDE, embedding, and answer calls. No explicit per-request cost or latency budget.</w:t>
            </w:r>
          </w:p>
        </w:tc>
      </w:tr>
      <w:tr>
        <w:trPr>
          <w:cantSplit/>
        </w:trPr>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P1-03</w:t>
            </w:r>
          </w:p>
        </w:tc>
        <w:tc>
          <w:tcPr>
            <w:tcW w:type="dxa" w:w="25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Citation integrity is not verified</w:t>
            </w:r>
          </w:p>
        </w:tc>
        <w:tc>
          <w:tcPr>
            <w:tcW w:type="dxa" w:w="59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The model can return a source index outside the retrieved list or a quote not present in the source. Schema validation does not establish evidence validity.</w:t>
            </w:r>
          </w:p>
        </w:tc>
      </w:tr>
      <w:tr>
        <w:trPr>
          <w:cantSplit/>
        </w:trPr>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P1-04</w:t>
            </w:r>
          </w:p>
        </w:tc>
        <w:tc>
          <w:tcPr>
            <w:tcW w:type="dxa" w:w="25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Confidence is inflated</w:t>
            </w:r>
          </w:p>
        </w:tc>
        <w:tc>
          <w:tcPr>
            <w:tcW w:type="dxa" w:w="59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Answer confidence is set to the maximum of model confidence and retrieval confidence. A weak answer can inherit a high retrieval score.</w:t>
            </w:r>
          </w:p>
        </w:tc>
      </w:tr>
      <w:tr>
        <w:trPr>
          <w:cantSplit/>
        </w:trPr>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P1-05</w:t>
            </w:r>
          </w:p>
        </w:tc>
        <w:tc>
          <w:tcPr>
            <w:tcW w:type="dxa" w:w="25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Stale chunks survive re-ingestion</w:t>
            </w:r>
          </w:p>
        </w:tc>
        <w:tc>
          <w:tcPr>
            <w:tcW w:type="dxa" w:w="59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Supabase upsert overwrites matching chunk indexes but does not remove old higher indexes when a new extraction produces fewer chunks.</w:t>
            </w:r>
          </w:p>
        </w:tc>
      </w:tr>
      <w:tr>
        <w:trPr>
          <w:cantSplit/>
        </w:trPr>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P1-06</w:t>
            </w:r>
          </w:p>
        </w:tc>
        <w:tc>
          <w:tcPr>
            <w:tcW w:type="dxa" w:w="25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Vector writes silently truncate</w:t>
            </w:r>
          </w:p>
        </w:tc>
        <w:tc>
          <w:tcPr>
            <w:tcW w:type="dxa" w:w="59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zip(blocks, embeddings) ignores length mismatch, and owner_id falls back to an empty string.</w:t>
            </w:r>
          </w:p>
        </w:tc>
      </w:tr>
      <w:tr>
        <w:trPr>
          <w:cantSplit/>
        </w:trPr>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P1-07</w:t>
            </w:r>
          </w:p>
        </w:tc>
        <w:tc>
          <w:tcPr>
            <w:tcW w:type="dxa" w:w="25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Synchronous Supabase calls in async paths</w:t>
            </w:r>
          </w:p>
        </w:tc>
        <w:tc>
          <w:tcPr>
            <w:tcW w:type="dxa" w:w="59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Repository, storage, vector, and auth clients can block the event loop under load.</w:t>
            </w:r>
          </w:p>
        </w:tc>
      </w:tr>
      <w:tr>
        <w:trPr>
          <w:cantSplit/>
        </w:trPr>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P1-08</w:t>
            </w:r>
          </w:p>
        </w:tc>
        <w:tc>
          <w:tcPr>
            <w:tcW w:type="dxa" w:w="25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Health check depends on OpenAI</w:t>
            </w:r>
          </w:p>
        </w:tc>
        <w:tc>
          <w:tcPr>
            <w:tcW w:type="dxa" w:w="59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The health route probes embeddings and can mark the service unhealthy during an external provider incident. Liveness, readiness, and dependency health are conflated.</w:t>
            </w:r>
          </w:p>
        </w:tc>
      </w:tr>
      <w:tr>
        <w:trPr>
          <w:cantSplit/>
        </w:trPr>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P1-09</w:t>
            </w:r>
          </w:p>
        </w:tc>
        <w:tc>
          <w:tcPr>
            <w:tcW w:type="dxa" w:w="25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Mobile local and remote IDs are inconsistently used</w:t>
            </w:r>
          </w:p>
        </w:tc>
        <w:tc>
          <w:tcPr>
            <w:tcW w:type="dxa" w:w="59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Several calls pass a local document ID where remoteId may be required. The processing screen accepts only documentId and does not resolve the remote identifier.</w:t>
            </w:r>
          </w:p>
        </w:tc>
      </w:tr>
      <w:tr>
        <w:trPr>
          <w:cantSplit/>
        </w:trPr>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P1-10</w:t>
            </w:r>
          </w:p>
        </w:tc>
        <w:tc>
          <w:tcPr>
            <w:tcW w:type="dxa" w:w="25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Local sensitive cache is not deliberately encrypted</w:t>
            </w:r>
          </w:p>
        </w:tc>
        <w:tc>
          <w:tcPr>
            <w:tcW w:type="dxa" w:w="59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Policy summaries and consent records are stored in the general Hive app-state box.</w:t>
            </w:r>
          </w:p>
        </w:tc>
      </w:tr>
      <w:tr>
        <w:trPr>
          <w:cantSplit/>
        </w:trPr>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P1-11</w:t>
            </w:r>
          </w:p>
        </w:tc>
        <w:tc>
          <w:tcPr>
            <w:tcW w:type="dxa" w:w="25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Object-store content type is always application/pdf</w:t>
            </w:r>
          </w:p>
        </w:tc>
        <w:tc>
          <w:tcPr>
            <w:tcW w:type="dxa" w:w="59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Image uploads are accepted but Supabase Storage metadata labels every object as PDF.</w:t>
            </w:r>
          </w:p>
        </w:tc>
      </w:tr>
      <w:tr>
        <w:trPr>
          <w:cantSplit/>
        </w:trPr>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P1-12</w:t>
            </w:r>
          </w:p>
        </w:tc>
        <w:tc>
          <w:tcPr>
            <w:tcW w:type="dxa" w:w="25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Partial multi-file upload response is weak</w:t>
            </w:r>
          </w:p>
        </w:tc>
        <w:tc>
          <w:tcPr>
            <w:tcW w:type="dxa" w:w="59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Failures are reduced to a count, while some HTTP exceptions abort the request. Users cannot reconcile which file was accepted.</w:t>
            </w:r>
          </w:p>
        </w:tc>
      </w:tr>
      <w:tr>
        <w:trPr>
          <w:cantSplit/>
        </w:trPr>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P1-13</w:t>
            </w:r>
          </w:p>
        </w:tc>
        <w:tc>
          <w:tcPr>
            <w:tcW w:type="dxa" w:w="25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Lead PII is duplicated across document metadata</w:t>
            </w:r>
          </w:p>
        </w:tc>
        <w:tc>
          <w:tcPr>
            <w:tcW w:type="dxa" w:w="59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Email, phone, notes, IP, and user-agent data are copied into every document payload rather than stored as a purpose-bound lead record.</w:t>
            </w:r>
          </w:p>
        </w:tc>
      </w:tr>
      <w:tr>
        <w:trPr>
          <w:cantSplit/>
        </w:trPr>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P1-14</w:t>
            </w:r>
          </w:p>
        </w:tc>
        <w:tc>
          <w:tcPr>
            <w:tcW w:type="dxa" w:w="25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Analytics consent fails open</w:t>
            </w:r>
          </w:p>
        </w:tc>
        <w:tc>
          <w:tcPr>
            <w:tcW w:type="dxa" w:w="59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Missing or corrupt consent defaults to analytics enabled, and initial grant is recorded automatically. This may not match required jurisdictional consent behavior.</w:t>
            </w:r>
          </w:p>
        </w:tc>
      </w:tr>
      <w:tr>
        <w:trPr>
          <w:cantSplit/>
        </w:trPr>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P1-15</w:t>
            </w:r>
          </w:p>
        </w:tc>
        <w:tc>
          <w:tcPr>
            <w:tcW w:type="dxa" w:w="25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Dependency and model contract drift</w:t>
            </w:r>
          </w:p>
        </w:tc>
        <w:tc>
          <w:tcPr>
            <w:tcW w:type="dxa" w:w="59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openai is pinned to 1.3.0 while the code references later structured-output behavior and newer model names. No compatibility gate proves the deployed client and models work together.</w:t>
            </w:r>
          </w:p>
        </w:tc>
      </w:tr>
      <w:tr>
        <w:trPr>
          <w:cantSplit/>
        </w:trPr>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P1-16</w:t>
            </w:r>
          </w:p>
        </w:tc>
        <w:tc>
          <w:tcPr>
            <w:tcW w:type="dxa" w:w="25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Child marketing app has wildcard CORS</w:t>
            </w:r>
          </w:p>
        </w:tc>
        <w:tc>
          <w:tcPr>
            <w:tcW w:type="dxa" w:w="59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The mounted frontend app adds wildcard CORS with credentials. Parent middleware may not produce the intended header behavior. Requires a T4 runtime header test.</w:t>
            </w:r>
          </w:p>
        </w:tc>
      </w:tr>
      <w:tr>
        <w:trPr>
          <w:cantSplit/>
        </w:trPr>
        <w:tc>
          <w:tcPr>
            <w:tcW w:type="dxa" w:w="9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P1-17</w:t>
            </w:r>
          </w:p>
        </w:tc>
        <w:tc>
          <w:tcPr>
            <w:tcW w:type="dxa" w:w="25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Legacy compatibility code remains in the runtime</w:t>
            </w:r>
          </w:p>
        </w:tc>
        <w:tc>
          <w:tcPr>
            <w:tcW w:type="dxa" w:w="59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Non-production upload/query adapters, internal service URLs, sample document endpoints, and old nested response shapes expand the reasoning surface.</w:t>
            </w:r>
          </w:p>
        </w:tc>
      </w:tr>
      <w:tr>
        <w:trPr>
          <w:cantSplit/>
        </w:trPr>
        <w:tc>
          <w:tcPr>
            <w:tcW w:type="dxa" w:w="9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P1-18</w:t>
            </w:r>
          </w:p>
        </w:tc>
        <w:tc>
          <w:tcPr>
            <w:tcW w:type="dxa" w:w="25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 durable extraction/version lineage</w:t>
            </w:r>
          </w:p>
        </w:tc>
        <w:tc>
          <w:tcPr>
            <w:tcW w:type="dxa" w:w="59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The system does not record document version, parser version, extraction schema, prompt version, model route, index version, or supersession relationships.</w:t>
            </w:r>
          </w:p>
        </w:tc>
      </w:tr>
    </w:tbl>
    <w:p>
      <w:pPr>
        <w:spacing w:after="0"/>
      </w:pPr>
    </w:p>
    <w:p>
      <w:pPr>
        <w:pStyle w:val="Heading2"/>
        <w:spacing w:before="160" w:after="100"/>
        <w:keepNext/>
      </w:pPr>
      <w:r>
        <w:rPr>
          <w:rFonts w:ascii="Liberation Sans" w:hAnsi="Liberation Sans" w:eastAsia="Liberation Sans"/>
          <w:b/>
          <w:i w:val="0"/>
          <w:color w:val="145BC7"/>
          <w:sz w:val="26"/>
        </w:rPr>
        <w:t>6.1 Documentation and repository topology debt</w:t>
      </w:r>
    </w:p>
    <w:p>
      <w:pPr>
        <w:spacing w:after="100" w:line="259" w:lineRule="auto"/>
      </w:pPr>
      <w:r>
        <w:rPr>
          <w:rFonts w:ascii="Liberation Sans" w:hAnsi="Liberation Sans" w:eastAsia="Liberation Sans"/>
          <w:b w:val="0"/>
          <w:i w:val="0"/>
          <w:color w:val="101828"/>
          <w:sz w:val="20"/>
        </w:rPr>
        <w:t>The README begins with a current launch correction but continues into a very large historical AWS production narrative. The repository also contains Azure deployment guides, AWS scripts, old architecture documents, a temp_migration tree, legacy OCR/RAG service concepts, and active code that still speaks in old response shapes. This is not cosmetic. It increases the probability that a contributor deploys the wrong topology, preserves a shadow adapter, or treats an obsolete status claim as evidence.</w:t>
      </w:r>
    </w:p>
    <w:tbl>
      <w:tblPr>
        <w:tblW w:type="auto" w:w="0"/>
        <w:jc w:val="center"/>
        <w:tblLayout w:type="fixed"/>
        <w:tblLook w:firstColumn="1" w:firstRow="1" w:lastColumn="0" w:lastRow="0" w:noHBand="0" w:noVBand="1" w:val="04A0"/>
      </w:tblPr>
      <w:tblGrid>
        <w:gridCol w:w="173"/>
        <w:gridCol w:w="9720"/>
      </w:tblGrid>
      <w:tr>
        <w:trPr>
          <w:cantSplit/>
        </w:trPr>
        <w:tc>
          <w:tcPr>
            <w:tcW w:type="dxa" w:w="172"/>
            <w:shd w:fill="145BC7"/>
            <w:tcMar>
              <w:top w:w="100" w:type="dxa"/>
              <w:start w:w="120" w:type="dxa"/>
              <w:bottom w:w="100" w:type="dxa"/>
              <w:end w:w="120" w:type="dxa"/>
            </w:tcMar>
            <w:tcBorders>
              <w:top w:val="nil"/>
              <w:left w:val="nil"/>
              <w:bottom w:val="nil"/>
              <w:right w:val="nil"/>
            </w:tcBorders>
            <w:vAlign w:val="center"/>
          </w:tcPr>
          <w:p/>
        </w:tc>
        <w:tc>
          <w:tcPr>
            <w:tcW w:type="dxa" w:w="9720"/>
            <w:shd w:fill="EFF6FF"/>
            <w:tcMar>
              <w:top w:w="100" w:type="dxa"/>
              <w:start w:w="120" w:type="dxa"/>
              <w:bottom w:w="100" w:type="dxa"/>
              <w:end w:w="120" w:type="dxa"/>
            </w:tcMar>
            <w:tcBorders>
              <w:top w:val="nil"/>
              <w:left w:val="nil"/>
              <w:bottom w:val="nil"/>
              <w:right w:val="nil"/>
            </w:tcBorders>
            <w:vAlign w:val="center"/>
          </w:tcPr>
          <w:p>
            <w:r>
              <w:rPr>
                <w:rFonts w:ascii="Liberation Sans" w:hAnsi="Liberation Sans" w:eastAsia="Liberation Sans"/>
                <w:b/>
                <w:i w:val="0"/>
                <w:color w:val="145BC7"/>
                <w:sz w:val="21"/>
              </w:rPr>
              <w:t>Recommendation</w:t>
              <w:br/>
            </w:r>
            <w:r>
              <w:rPr>
                <w:rFonts w:ascii="Liberation Sans" w:hAnsi="Liberation Sans" w:eastAsia="Liberation Sans"/>
                <w:b w:val="0"/>
                <w:i w:val="0"/>
                <w:color w:val="101828"/>
                <w:sz w:val="19"/>
              </w:rPr>
              <w:t>Create docs/CANONICAL_SYSTEM.md and docs/ARCHIVE_INDEX.md. Move obsolete material under docs/archive/YYYY-MM, label every archived document at the top, remove stale deployment scripts from the active root, and make the README a thin current entry point. Code and docs should use the same names for owner, document, version, extraction, evidence, chunk, answer, and deletion job.</w:t>
            </w:r>
          </w:p>
        </w:tc>
      </w:tr>
    </w:tbl>
    <w:p>
      <w:pPr>
        <w:spacing w:after="0"/>
      </w:pPr>
    </w:p>
    <w:p>
      <w:pPr>
        <w:spacing w:after="40"/>
      </w:pPr>
    </w:p>
    <w:p>
      <w:bookmarkStart w:id="7" w:name="target_architecture"/>
      <w:pPr>
        <w:pStyle w:val="Heading1"/>
        <w:spacing w:before="220" w:after="100"/>
        <w:keepNext/>
      </w:pPr>
      <w:r>
        <w:rPr>
          <w:rFonts w:ascii="Liberation Sans" w:hAnsi="Liberation Sans" w:eastAsia="Liberation Sans"/>
          <w:b/>
          <w:i w:val="0"/>
          <w:color w:val="071B33"/>
          <w:sz w:val="34"/>
        </w:rPr>
        <w:t>7. Target architecture from first principles</w:t>
      </w:r>
      <w:bookmarkEnd w:id="7"/>
    </w:p>
    <w:p>
      <w:pPr>
        <w:pStyle w:val="Heading2"/>
        <w:spacing w:before="160" w:after="100"/>
        <w:keepNext/>
      </w:pPr>
      <w:r>
        <w:rPr>
          <w:rFonts w:ascii="Liberation Sans" w:hAnsi="Liberation Sans" w:eastAsia="Liberation Sans"/>
          <w:b/>
          <w:i w:val="0"/>
          <w:color w:val="145BC7"/>
          <w:sz w:val="26"/>
        </w:rPr>
        <w:t>7.1 Product boundary</w:t>
      </w:r>
    </w:p>
    <w:tbl>
      <w:tblPr>
        <w:tblW w:type="auto" w:w="0"/>
        <w:jc w:val="center"/>
        <w:tblLayout w:type="fixed"/>
        <w:tblLook w:firstColumn="1" w:firstRow="1" w:lastColumn="0" w:lastRow="0" w:noHBand="0" w:noVBand="1" w:val="04A0"/>
      </w:tblPr>
      <w:tblGrid>
        <w:gridCol w:w="173"/>
        <w:gridCol w:w="9720"/>
      </w:tblGrid>
      <w:tr>
        <w:trPr>
          <w:cantSplit/>
        </w:trPr>
        <w:tc>
          <w:tcPr>
            <w:tcW w:type="dxa" w:w="172"/>
            <w:shd w:fill="15803D"/>
            <w:tcMar>
              <w:top w:w="100" w:type="dxa"/>
              <w:start w:w="120" w:type="dxa"/>
              <w:bottom w:w="100" w:type="dxa"/>
              <w:end w:w="120" w:type="dxa"/>
            </w:tcMar>
            <w:tcBorders>
              <w:top w:val="nil"/>
              <w:left w:val="nil"/>
              <w:bottom w:val="nil"/>
              <w:right w:val="nil"/>
            </w:tcBorders>
            <w:vAlign w:val="center"/>
          </w:tcPr>
          <w:p/>
        </w:tc>
        <w:tc>
          <w:tcPr>
            <w:tcW w:type="dxa" w:w="9720"/>
            <w:shd w:fill="ECFDF3"/>
            <w:tcMar>
              <w:top w:w="100" w:type="dxa"/>
              <w:start w:w="120" w:type="dxa"/>
              <w:bottom w:w="100" w:type="dxa"/>
              <w:end w:w="120" w:type="dxa"/>
            </w:tcMar>
            <w:tcBorders>
              <w:top w:val="nil"/>
              <w:left w:val="nil"/>
              <w:bottom w:val="nil"/>
              <w:right w:val="nil"/>
            </w:tcBorders>
            <w:vAlign w:val="center"/>
          </w:tcPr>
          <w:p>
            <w:r>
              <w:rPr>
                <w:rFonts w:ascii="Liberation Sans" w:hAnsi="Liberation Sans" w:eastAsia="Liberation Sans"/>
                <w:b/>
                <w:i w:val="0"/>
                <w:color w:val="15803D"/>
                <w:sz w:val="21"/>
              </w:rPr>
              <w:t>Canonical promise</w:t>
              <w:br/>
            </w:r>
            <w:r>
              <w:rPr>
                <w:rFonts w:ascii="Liberation Sans" w:hAnsi="Liberation Sans" w:eastAsia="Liberation Sans"/>
                <w:b w:val="0"/>
                <w:i w:val="0"/>
                <w:color w:val="101828"/>
                <w:sz w:val="19"/>
              </w:rPr>
              <w:t>CoverWise helps a person organize insurance policies, extract policy facts with direct evidence, ask grounded questions, remember renewal and contact information, and understand what the document says. It does not decide what insurance the person should buy, determine claim eligibility, or replace the insurer, broker, lawyer, or regulated advisor.</w:t>
            </w:r>
          </w:p>
        </w:tc>
      </w:tr>
    </w:tbl>
    <w:p>
      <w:pPr>
        <w:spacing w:after="0"/>
      </w:pPr>
    </w:p>
    <w:p>
      <w:pPr>
        <w:pStyle w:val="Heading2"/>
        <w:spacing w:before="160" w:after="100"/>
        <w:keepNext/>
      </w:pPr>
      <w:r>
        <w:rPr>
          <w:rFonts w:ascii="Liberation Sans" w:hAnsi="Liberation Sans" w:eastAsia="Liberation Sans"/>
          <w:b/>
          <w:i w:val="0"/>
          <w:color w:val="145BC7"/>
          <w:sz w:val="26"/>
        </w:rPr>
        <w:t>7.2 Keep the launch topology simple</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Flutter app</w:t>
              <w:br/>
            </w:r>
            <w:r>
              <w:rPr>
                <w:rFonts w:ascii="Liberation Mono" w:hAnsi="Liberation Mono" w:eastAsia="Liberation Mono"/>
                <w:b w:val="0"/>
                <w:i w:val="0"/>
                <w:color w:val="101828"/>
                <w:sz w:val="15"/>
              </w:rPr>
              <w:t xml:space="preserve">  -&gt; one authenticated API client</w:t>
              <w:br/>
            </w:r>
            <w:r>
              <w:rPr>
                <w:rFonts w:ascii="Liberation Mono" w:hAnsi="Liberation Mono" w:eastAsia="Liberation Mono"/>
                <w:b w:val="0"/>
                <w:i w:val="0"/>
                <w:color w:val="101828"/>
                <w:sz w:val="15"/>
              </w:rPr>
              <w:t xml:space="preserve">  -&gt; one FastAPI service image</w:t>
              <w:br/>
            </w:r>
            <w:r>
              <w:rPr>
                <w:rFonts w:ascii="Liberation Mono" w:hAnsi="Liberation Mono" w:eastAsia="Liberation Mono"/>
                <w:b w:val="0"/>
                <w:i w:val="0"/>
                <w:color w:val="101828"/>
                <w:sz w:val="15"/>
              </w:rPr>
              <w:t xml:space="preserve">       API routes + worker endpoint + marketing pages</w:t>
              <w:br/>
            </w:r>
            <w:r>
              <w:rPr>
                <w:rFonts w:ascii="Liberation Mono" w:hAnsi="Liberation Mono" w:eastAsia="Liberation Mono"/>
                <w:b w:val="0"/>
                <w:i w:val="0"/>
                <w:color w:val="101828"/>
                <w:sz w:val="15"/>
              </w:rPr>
              <w:t xml:space="preserve">  -&gt; one Supabase project</w:t>
              <w:br/>
            </w:r>
            <w:r>
              <w:rPr>
                <w:rFonts w:ascii="Liberation Mono" w:hAnsi="Liberation Mono" w:eastAsia="Liberation Mono"/>
                <w:b w:val="0"/>
                <w:i w:val="0"/>
                <w:color w:val="101828"/>
                <w:sz w:val="15"/>
              </w:rPr>
              <w:t xml:space="preserve">       Auth</w:t>
              <w:br/>
            </w:r>
            <w:r>
              <w:rPr>
                <w:rFonts w:ascii="Liberation Mono" w:hAnsi="Liberation Mono" w:eastAsia="Liberation Mono"/>
                <w:b w:val="0"/>
                <w:i w:val="0"/>
                <w:color w:val="101828"/>
                <w:sz w:val="15"/>
              </w:rPr>
              <w:t xml:space="preserve">       Postgres control plane</w:t>
              <w:br/>
            </w:r>
            <w:r>
              <w:rPr>
                <w:rFonts w:ascii="Liberation Mono" w:hAnsi="Liberation Mono" w:eastAsia="Liberation Mono"/>
                <w:b w:val="0"/>
                <w:i w:val="0"/>
                <w:color w:val="101828"/>
                <w:sz w:val="15"/>
              </w:rPr>
              <w:t xml:space="preserve">       pgvector retrieval index</w:t>
              <w:br/>
            </w:r>
            <w:r>
              <w:rPr>
                <w:rFonts w:ascii="Liberation Mono" w:hAnsi="Liberation Mono" w:eastAsia="Liberation Mono"/>
                <w:b w:val="0"/>
                <w:i w:val="0"/>
                <w:color w:val="101828"/>
                <w:sz w:val="15"/>
              </w:rPr>
              <w:t xml:space="preserve">       private Storage source objects</w:t>
              <w:br/>
            </w:r>
            <w:r>
              <w:rPr>
                <w:rFonts w:ascii="Liberation Mono" w:hAnsi="Liberation Mono" w:eastAsia="Liberation Mono"/>
                <w:b w:val="0"/>
                <w:i w:val="0"/>
                <w:color w:val="101828"/>
                <w:sz w:val="15"/>
              </w:rPr>
              <w:t xml:space="preserve">  -&gt; one durable job mechanism</w:t>
              <w:br/>
            </w:r>
            <w:r>
              <w:rPr>
                <w:rFonts w:ascii="Liberation Mono" w:hAnsi="Liberation Mono" w:eastAsia="Liberation Mono"/>
                <w:b w:val="0"/>
                <w:i w:val="0"/>
                <w:color w:val="101828"/>
                <w:sz w:val="15"/>
              </w:rPr>
              <w:t xml:space="preserve">       Cloud Tasks OR Supabase job table + scheduled claimer</w:t>
              <w:br/>
            </w:r>
            <w:r>
              <w:rPr>
                <w:rFonts w:ascii="Liberation Mono" w:hAnsi="Liberation Mono" w:eastAsia="Liberation Mono"/>
                <w:b w:val="0"/>
                <w:i w:val="0"/>
                <w:color w:val="101828"/>
                <w:sz w:val="15"/>
              </w:rPr>
              <w:t xml:space="preserve">  -&gt; model providers behind task-specific adapters</w:t>
              <w:br/>
            </w:r>
            <w:r>
              <w:rPr>
                <w:rFonts w:ascii="Liberation Mono" w:hAnsi="Liberation Mono" w:eastAsia="Liberation Mono"/>
                <w:b w:val="0"/>
                <w:i w:val="0"/>
                <w:color w:val="101828"/>
                <w:sz w:val="15"/>
              </w:rPr>
              <w:t xml:space="preserve">       parsing support</w:t>
              <w:br/>
            </w:r>
            <w:r>
              <w:rPr>
                <w:rFonts w:ascii="Liberation Mono" w:hAnsi="Liberation Mono" w:eastAsia="Liberation Mono"/>
                <w:b w:val="0"/>
                <w:i w:val="0"/>
                <w:color w:val="101828"/>
                <w:sz w:val="15"/>
              </w:rPr>
              <w:t xml:space="preserve">       embeddings</w:t>
              <w:br/>
            </w:r>
            <w:r>
              <w:rPr>
                <w:rFonts w:ascii="Liberation Mono" w:hAnsi="Liberation Mono" w:eastAsia="Liberation Mono"/>
                <w:b w:val="0"/>
                <w:i w:val="0"/>
                <w:color w:val="101828"/>
                <w:sz w:val="15"/>
              </w:rPr>
              <w:t xml:space="preserve">       structured extraction</w:t>
              <w:br/>
            </w:r>
            <w:r>
              <w:rPr>
                <w:rFonts w:ascii="Liberation Mono" w:hAnsi="Liberation Mono" w:eastAsia="Liberation Mono"/>
                <w:b w:val="0"/>
                <w:i w:val="0"/>
                <w:color w:val="101828"/>
                <w:sz w:val="15"/>
              </w:rPr>
              <w:t xml:space="preserve">       answer generation</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No Redis truth. No local-disk truth. No Qdrant production truth.</w:t>
              <w:br/>
            </w:r>
            <w:r>
              <w:rPr>
                <w:rFonts w:ascii="Liberation Mono" w:hAnsi="Liberation Mono" w:eastAsia="Liberation Mono"/>
                <w:b w:val="0"/>
                <w:i w:val="0"/>
                <w:color w:val="101828"/>
                <w:sz w:val="15"/>
              </w:rPr>
              <w:t>No second OCR service until scale or isolation evidence requires it.</w:t>
            </w:r>
          </w:p>
        </w:tc>
      </w:tr>
    </w:tbl>
    <w:p>
      <w:pPr>
        <w:spacing w:after="0"/>
      </w:pPr>
    </w:p>
    <w:p>
      <w:pPr>
        <w:pStyle w:val="Heading2"/>
        <w:spacing w:before="160" w:after="100"/>
        <w:keepNext/>
      </w:pPr>
      <w:r>
        <w:rPr>
          <w:rFonts w:ascii="Liberation Sans" w:hAnsi="Liberation Sans" w:eastAsia="Liberation Sans"/>
          <w:b/>
          <w:i w:val="0"/>
          <w:color w:val="145BC7"/>
          <w:sz w:val="26"/>
        </w:rPr>
        <w:t>7.3 Canonical domain model</w:t>
      </w:r>
    </w:p>
    <w:tbl>
      <w:tblPr>
        <w:tblW w:type="auto" w:w="0"/>
        <w:jc w:val="center"/>
        <w:tblLayout w:type="fixed"/>
        <w:tblLook w:firstColumn="1" w:firstRow="1" w:lastColumn="0" w:lastRow="0" w:noHBand="0" w:noVBand="1" w:val="04A0"/>
      </w:tblPr>
      <w:tblGrid>
        <w:gridCol w:w="1656"/>
        <w:gridCol w:w="3024"/>
        <w:gridCol w:w="5184"/>
      </w:tblGrid>
      <w:tr>
        <w:trPr>
          <w:tblHeader w:val="true"/>
          <w:cantSplit/>
        </w:trPr>
        <w:tc>
          <w:tcPr>
            <w:tcW w:type="dxa" w:w="1655"/>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Entity</w:t>
            </w:r>
          </w:p>
        </w:tc>
        <w:tc>
          <w:tcPr>
            <w:tcW w:type="dxa" w:w="302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Purpose</w:t>
            </w:r>
          </w:p>
        </w:tc>
        <w:tc>
          <w:tcPr>
            <w:tcW w:type="dxa" w:w="518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Non-negotiable fields</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owner</w:t>
            </w:r>
          </w:p>
        </w:tc>
        <w:tc>
          <w:tcPr>
            <w:tcW w:type="dxa" w:w="30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Anonymous device identity or account identity</w:t>
            </w:r>
          </w:p>
        </w:tc>
        <w:tc>
          <w:tcPr>
            <w:tcW w:type="dxa" w:w="51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id, identity_type, created_at, merged_into, deletion_state</w:t>
            </w:r>
          </w:p>
        </w:tc>
      </w:tr>
      <w:tr>
        <w:trPr>
          <w:cantSplit/>
        </w:trPr>
        <w:tc>
          <w:tcPr>
            <w:tcW w:type="dxa" w:w="1655"/>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document</w:t>
            </w:r>
          </w:p>
        </w:tc>
        <w:tc>
          <w:tcPr>
            <w:tcW w:type="dxa" w:w="30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Logical policy controlled by one owner</w:t>
            </w:r>
          </w:p>
        </w:tc>
        <w:tc>
          <w:tcPr>
            <w:tcW w:type="dxa" w:w="51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id, owner_id, display_name, active_version_id, lifecycle_state</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document_version</w:t>
            </w:r>
          </w:p>
        </w:tc>
        <w:tc>
          <w:tcPr>
            <w:tcW w:type="dxa" w:w="30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Immutable source revision</w:t>
            </w:r>
          </w:p>
        </w:tc>
        <w:tc>
          <w:tcPr>
            <w:tcW w:type="dxa" w:w="51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id, document_id, source_hash, object_key, media_type, byte_size, created_at</w:t>
            </w:r>
          </w:p>
        </w:tc>
      </w:tr>
      <w:tr>
        <w:trPr>
          <w:cantSplit/>
        </w:trPr>
        <w:tc>
          <w:tcPr>
            <w:tcW w:type="dxa" w:w="1655"/>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processing_job</w:t>
            </w:r>
          </w:p>
        </w:tc>
        <w:tc>
          <w:tcPr>
            <w:tcW w:type="dxa" w:w="30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Durable execution state</w:t>
            </w:r>
          </w:p>
        </w:tc>
        <w:tc>
          <w:tcPr>
            <w:tcW w:type="dxa" w:w="51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id, version_id, stage, lease, attempt, error_code, next_retry_at, idempotency_key</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page</w:t>
            </w:r>
          </w:p>
        </w:tc>
        <w:tc>
          <w:tcPr>
            <w:tcW w:type="dxa" w:w="30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Page-level source representation</w:t>
            </w:r>
          </w:p>
        </w:tc>
        <w:tc>
          <w:tcPr>
            <w:tcW w:type="dxa" w:w="51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id, version_id, page_number, text_status, image_status, checksum</w:t>
            </w:r>
          </w:p>
        </w:tc>
      </w:tr>
      <w:tr>
        <w:trPr>
          <w:cantSplit/>
        </w:trPr>
        <w:tc>
          <w:tcPr>
            <w:tcW w:type="dxa" w:w="1655"/>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section</w:t>
            </w:r>
          </w:p>
        </w:tc>
        <w:tc>
          <w:tcPr>
            <w:tcW w:type="dxa" w:w="30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Document structure</w:t>
            </w:r>
          </w:p>
        </w:tc>
        <w:tc>
          <w:tcPr>
            <w:tcW w:type="dxa" w:w="51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id, version_id, title, page range, parent_section_id</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extraction</w:t>
            </w:r>
          </w:p>
        </w:tc>
        <w:tc>
          <w:tcPr>
            <w:tcW w:type="dxa" w:w="30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Versioned structured result</w:t>
            </w:r>
          </w:p>
        </w:tc>
        <w:tc>
          <w:tcPr>
            <w:tcW w:type="dxa" w:w="51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id, version_id, schema_version, parser_version, prompt_version, model_route, status</w:t>
            </w:r>
          </w:p>
        </w:tc>
      </w:tr>
      <w:tr>
        <w:trPr>
          <w:cantSplit/>
        </w:trPr>
        <w:tc>
          <w:tcPr>
            <w:tcW w:type="dxa" w:w="1655"/>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field_fact</w:t>
            </w:r>
          </w:p>
        </w:tc>
        <w:tc>
          <w:tcPr>
            <w:tcW w:type="dxa" w:w="30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One extracted policy fact</w:t>
            </w:r>
          </w:p>
        </w:tc>
        <w:tc>
          <w:tcPr>
            <w:tcW w:type="dxa" w:w="51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extraction_id, field_name, typed_value, confidence, verification_state</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field_evidence</w:t>
            </w:r>
          </w:p>
        </w:tc>
        <w:tc>
          <w:tcPr>
            <w:tcW w:type="dxa" w:w="30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Why a fact is believed</w:t>
            </w:r>
          </w:p>
        </w:tc>
        <w:tc>
          <w:tcPr>
            <w:tcW w:type="dxa" w:w="51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field_fact_id, page_id, section_id, quote, bounding_box, method</w:t>
            </w:r>
          </w:p>
        </w:tc>
      </w:tr>
      <w:tr>
        <w:trPr>
          <w:cantSplit/>
        </w:trPr>
        <w:tc>
          <w:tcPr>
            <w:tcW w:type="dxa" w:w="1655"/>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chunk</w:t>
            </w:r>
          </w:p>
        </w:tc>
        <w:tc>
          <w:tcPr>
            <w:tcW w:type="dxa" w:w="30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Retrieval unit</w:t>
            </w:r>
          </w:p>
        </w:tc>
        <w:tc>
          <w:tcPr>
            <w:tcW w:type="dxa" w:w="51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id, version_id, owner_id, page_id, section_id, index_version, content, embedding</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answer</w:t>
            </w:r>
          </w:p>
        </w:tc>
        <w:tc>
          <w:tcPr>
            <w:tcW w:type="dxa" w:w="30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Optional durable answer record</w:t>
            </w:r>
          </w:p>
        </w:tc>
        <w:tc>
          <w:tcPr>
            <w:tcW w:type="dxa" w:w="51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id, owner_id, query_hash, route, model, latency, confidence, safety_state</w:t>
            </w:r>
          </w:p>
        </w:tc>
      </w:tr>
      <w:tr>
        <w:trPr>
          <w:cantSplit/>
        </w:trPr>
        <w:tc>
          <w:tcPr>
            <w:tcW w:type="dxa" w:w="1655"/>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answer_evidence</w:t>
            </w:r>
          </w:p>
        </w:tc>
        <w:tc>
          <w:tcPr>
            <w:tcW w:type="dxa" w:w="30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Citation relation</w:t>
            </w:r>
          </w:p>
        </w:tc>
        <w:tc>
          <w:tcPr>
            <w:tcW w:type="dxa" w:w="51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answer_id, chunk_id, quote, claim_index</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deletion_job</w:t>
            </w:r>
          </w:p>
        </w:tc>
        <w:tc>
          <w:tcPr>
            <w:tcW w:type="dxa" w:w="30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Erasure control record</w:t>
            </w:r>
          </w:p>
        </w:tc>
        <w:tc>
          <w:tcPr>
            <w:tcW w:type="dxa" w:w="51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owner/document scope, artifact steps, status, attempts, completed_at</w:t>
            </w:r>
          </w:p>
        </w:tc>
      </w:tr>
    </w:tbl>
    <w:p>
      <w:pPr>
        <w:spacing w:after="0"/>
      </w:pPr>
    </w:p>
    <w:p>
      <w:pPr>
        <w:pStyle w:val="Heading2"/>
        <w:spacing w:before="160" w:after="100"/>
        <w:keepNext/>
      </w:pPr>
      <w:r>
        <w:rPr>
          <w:rFonts w:ascii="Liberation Sans" w:hAnsi="Liberation Sans" w:eastAsia="Liberation Sans"/>
          <w:b/>
          <w:i w:val="0"/>
          <w:color w:val="145BC7"/>
          <w:sz w:val="26"/>
        </w:rPr>
        <w:t>7.4 Durable document state machine</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ACCEPTED</w:t>
              <w:br/>
            </w:r>
            <w:r>
              <w:rPr>
                <w:rFonts w:ascii="Liberation Mono" w:hAnsi="Liberation Mono" w:eastAsia="Liberation Mono"/>
                <w:b w:val="0"/>
                <w:i w:val="0"/>
                <w:color w:val="101828"/>
                <w:sz w:val="15"/>
              </w:rPr>
              <w:t xml:space="preserve">  source object and metadata committed</w:t>
              <w:br/>
            </w:r>
            <w:r>
              <w:rPr>
                <w:rFonts w:ascii="Liberation Mono" w:hAnsi="Liberation Mono" w:eastAsia="Liberation Mono"/>
                <w:b w:val="0"/>
                <w:i w:val="0"/>
                <w:color w:val="101828"/>
                <w:sz w:val="15"/>
              </w:rPr>
              <w:t xml:space="preserve">    |</w:t>
              <w:br/>
            </w:r>
            <w:r>
              <w:rPr>
                <w:rFonts w:ascii="Liberation Mono" w:hAnsi="Liberation Mono" w:eastAsia="Liberation Mono"/>
                <w:b w:val="0"/>
                <w:i w:val="0"/>
                <w:color w:val="101828"/>
                <w:sz w:val="15"/>
              </w:rPr>
              <w:t xml:space="preserve">    v</w:t>
              <w:br/>
            </w:r>
            <w:r>
              <w:rPr>
                <w:rFonts w:ascii="Liberation Mono" w:hAnsi="Liberation Mono" w:eastAsia="Liberation Mono"/>
                <w:b w:val="0"/>
                <w:i w:val="0"/>
                <w:color w:val="101828"/>
                <w:sz w:val="15"/>
              </w:rPr>
              <w:t>QUEUED</w:t>
              <w:br/>
            </w:r>
            <w:r>
              <w:rPr>
                <w:rFonts w:ascii="Liberation Mono" w:hAnsi="Liberation Mono" w:eastAsia="Liberation Mono"/>
                <w:b w:val="0"/>
                <w:i w:val="0"/>
                <w:color w:val="101828"/>
                <w:sz w:val="15"/>
              </w:rPr>
              <w:t xml:space="preserve">  durable processing job exists</w:t>
              <w:br/>
            </w:r>
            <w:r>
              <w:rPr>
                <w:rFonts w:ascii="Liberation Mono" w:hAnsi="Liberation Mono" w:eastAsia="Liberation Mono"/>
                <w:b w:val="0"/>
                <w:i w:val="0"/>
                <w:color w:val="101828"/>
                <w:sz w:val="15"/>
              </w:rPr>
              <w:t xml:space="preserve">    |</w:t>
              <w:br/>
            </w:r>
            <w:r>
              <w:rPr>
                <w:rFonts w:ascii="Liberation Mono" w:hAnsi="Liberation Mono" w:eastAsia="Liberation Mono"/>
                <w:b w:val="0"/>
                <w:i w:val="0"/>
                <w:color w:val="101828"/>
                <w:sz w:val="15"/>
              </w:rPr>
              <w:t xml:space="preserve">    v</w:t>
              <w:br/>
            </w:r>
            <w:r>
              <w:rPr>
                <w:rFonts w:ascii="Liberation Mono" w:hAnsi="Liberation Mono" w:eastAsia="Liberation Mono"/>
                <w:b w:val="0"/>
                <w:i w:val="0"/>
                <w:color w:val="101828"/>
                <w:sz w:val="15"/>
              </w:rPr>
              <w:t>EXTRACTING_SOURCE</w:t>
              <w:br/>
            </w:r>
            <w:r>
              <w:rPr>
                <w:rFonts w:ascii="Liberation Mono" w:hAnsi="Liberation Mono" w:eastAsia="Liberation Mono"/>
                <w:b w:val="0"/>
                <w:i w:val="0"/>
                <w:color w:val="101828"/>
                <w:sz w:val="15"/>
              </w:rPr>
              <w:t xml:space="preserve">  page inventory and extraction method recorded</w:t>
              <w:br/>
            </w:r>
            <w:r>
              <w:rPr>
                <w:rFonts w:ascii="Liberation Mono" w:hAnsi="Liberation Mono" w:eastAsia="Liberation Mono"/>
                <w:b w:val="0"/>
                <w:i w:val="0"/>
                <w:color w:val="101828"/>
                <w:sz w:val="15"/>
              </w:rPr>
              <w:t xml:space="preserve">    |----&gt; NEEDS_PASSWORD</w:t>
              <w:br/>
            </w:r>
            <w:r>
              <w:rPr>
                <w:rFonts w:ascii="Liberation Mono" w:hAnsi="Liberation Mono" w:eastAsia="Liberation Mono"/>
                <w:b w:val="0"/>
                <w:i w:val="0"/>
                <w:color w:val="101828"/>
                <w:sz w:val="15"/>
              </w:rPr>
              <w:t xml:space="preserve">    |----&gt; NEEDS_OCR_ASSIST</w:t>
              <w:br/>
            </w:r>
            <w:r>
              <w:rPr>
                <w:rFonts w:ascii="Liberation Mono" w:hAnsi="Liberation Mono" w:eastAsia="Liberation Mono"/>
                <w:b w:val="0"/>
                <w:i w:val="0"/>
                <w:color w:val="101828"/>
                <w:sz w:val="15"/>
              </w:rPr>
              <w:t xml:space="preserve">    |----&gt; UNSUPPORTED</w:t>
              <w:br/>
            </w:r>
            <w:r>
              <w:rPr>
                <w:rFonts w:ascii="Liberation Mono" w:hAnsi="Liberation Mono" w:eastAsia="Liberation Mono"/>
                <w:b w:val="0"/>
                <w:i w:val="0"/>
                <w:color w:val="101828"/>
                <w:sz w:val="15"/>
              </w:rPr>
              <w:t xml:space="preserve">    v</w:t>
              <w:br/>
            </w:r>
            <w:r>
              <w:rPr>
                <w:rFonts w:ascii="Liberation Mono" w:hAnsi="Liberation Mono" w:eastAsia="Liberation Mono"/>
                <w:b w:val="0"/>
                <w:i w:val="0"/>
                <w:color w:val="101828"/>
                <w:sz w:val="15"/>
              </w:rPr>
              <w:t>STRUCTURING</w:t>
              <w:br/>
            </w:r>
            <w:r>
              <w:rPr>
                <w:rFonts w:ascii="Liberation Mono" w:hAnsi="Liberation Mono" w:eastAsia="Liberation Mono"/>
                <w:b w:val="0"/>
                <w:i w:val="0"/>
                <w:color w:val="101828"/>
                <w:sz w:val="15"/>
              </w:rPr>
              <w:t xml:space="preserve">  sections and field candidates generated</w:t>
              <w:br/>
            </w:r>
            <w:r>
              <w:rPr>
                <w:rFonts w:ascii="Liberation Mono" w:hAnsi="Liberation Mono" w:eastAsia="Liberation Mono"/>
                <w:b w:val="0"/>
                <w:i w:val="0"/>
                <w:color w:val="101828"/>
                <w:sz w:val="15"/>
              </w:rPr>
              <w:t xml:space="preserve">    |</w:t>
              <w:br/>
            </w:r>
            <w:r>
              <w:rPr>
                <w:rFonts w:ascii="Liberation Mono" w:hAnsi="Liberation Mono" w:eastAsia="Liberation Mono"/>
                <w:b w:val="0"/>
                <w:i w:val="0"/>
                <w:color w:val="101828"/>
                <w:sz w:val="15"/>
              </w:rPr>
              <w:t xml:space="preserve">    v</w:t>
              <w:br/>
            </w:r>
            <w:r>
              <w:rPr>
                <w:rFonts w:ascii="Liberation Mono" w:hAnsi="Liberation Mono" w:eastAsia="Liberation Mono"/>
                <w:b w:val="0"/>
                <w:i w:val="0"/>
                <w:color w:val="101828"/>
                <w:sz w:val="15"/>
              </w:rPr>
              <w:t>EVIDENCE_VALIDATION</w:t>
              <w:br/>
            </w:r>
            <w:r>
              <w:rPr>
                <w:rFonts w:ascii="Liberation Mono" w:hAnsi="Liberation Mono" w:eastAsia="Liberation Mono"/>
                <w:b w:val="0"/>
                <w:i w:val="0"/>
                <w:color w:val="101828"/>
                <w:sz w:val="15"/>
              </w:rPr>
              <w:t xml:space="preserve">  required fields linked to valid source evidence</w:t>
              <w:br/>
            </w:r>
            <w:r>
              <w:rPr>
                <w:rFonts w:ascii="Liberation Mono" w:hAnsi="Liberation Mono" w:eastAsia="Liberation Mono"/>
                <w:b w:val="0"/>
                <w:i w:val="0"/>
                <w:color w:val="101828"/>
                <w:sz w:val="15"/>
              </w:rPr>
              <w:t xml:space="preserve">    |----&gt; PARTIAL_READY</w:t>
              <w:br/>
            </w:r>
            <w:r>
              <w:rPr>
                <w:rFonts w:ascii="Liberation Mono" w:hAnsi="Liberation Mono" w:eastAsia="Liberation Mono"/>
                <w:b w:val="0"/>
                <w:i w:val="0"/>
                <w:color w:val="101828"/>
                <w:sz w:val="15"/>
              </w:rPr>
              <w:t xml:space="preserve">    v</w:t>
              <w:br/>
            </w:r>
            <w:r>
              <w:rPr>
                <w:rFonts w:ascii="Liberation Mono" w:hAnsi="Liberation Mono" w:eastAsia="Liberation Mono"/>
                <w:b w:val="0"/>
                <w:i w:val="0"/>
                <w:color w:val="101828"/>
                <w:sz w:val="15"/>
              </w:rPr>
              <w:t>INDEXING</w:t>
              <w:br/>
            </w:r>
            <w:r>
              <w:rPr>
                <w:rFonts w:ascii="Liberation Mono" w:hAnsi="Liberation Mono" w:eastAsia="Liberation Mono"/>
                <w:b w:val="0"/>
                <w:i w:val="0"/>
                <w:color w:val="101828"/>
                <w:sz w:val="15"/>
              </w:rPr>
              <w:t xml:space="preserve">  chunks written under one index version</w:t>
              <w:br/>
            </w:r>
            <w:r>
              <w:rPr>
                <w:rFonts w:ascii="Liberation Mono" w:hAnsi="Liberation Mono" w:eastAsia="Liberation Mono"/>
                <w:b w:val="0"/>
                <w:i w:val="0"/>
                <w:color w:val="101828"/>
                <w:sz w:val="15"/>
              </w:rPr>
              <w:t xml:space="preserve">    |</w:t>
              <w:br/>
            </w:r>
            <w:r>
              <w:rPr>
                <w:rFonts w:ascii="Liberation Mono" w:hAnsi="Liberation Mono" w:eastAsia="Liberation Mono"/>
                <w:b w:val="0"/>
                <w:i w:val="0"/>
                <w:color w:val="101828"/>
                <w:sz w:val="15"/>
              </w:rPr>
              <w:t xml:space="preserve">    v</w:t>
              <w:br/>
            </w:r>
            <w:r>
              <w:rPr>
                <w:rFonts w:ascii="Liberation Mono" w:hAnsi="Liberation Mono" w:eastAsia="Liberation Mono"/>
                <w:b w:val="0"/>
                <w:i w:val="0"/>
                <w:color w:val="101828"/>
                <w:sz w:val="15"/>
              </w:rPr>
              <w:t>READY</w:t>
              <w:br/>
            </w:r>
            <w:r>
              <w:rPr>
                <w:rFonts w:ascii="Liberation Mono" w:hAnsi="Liberation Mono" w:eastAsia="Liberation Mono"/>
                <w:b w:val="0"/>
                <w:i w:val="0"/>
                <w:color w:val="101828"/>
                <w:sz w:val="15"/>
              </w:rPr>
              <w:t xml:space="preserve">  source, extraction, evidence, and retrieval invariants all hold</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Any stage -&gt; RETRYABLE_FAILED | TERMINAL_FAILED | DELETING | DELETED</w:t>
            </w:r>
          </w:p>
        </w:tc>
      </w:tr>
    </w:tbl>
    <w:p>
      <w:pPr>
        <w:spacing w:after="0"/>
      </w:pPr>
    </w:p>
    <w:p>
      <w:pPr>
        <w:pStyle w:val="Heading2"/>
        <w:spacing w:before="160" w:after="100"/>
        <w:keepNext/>
      </w:pPr>
      <w:r>
        <w:rPr>
          <w:rFonts w:ascii="Liberation Sans" w:hAnsi="Liberation Sans" w:eastAsia="Liberation Sans"/>
          <w:b/>
          <w:i w:val="0"/>
          <w:color w:val="145BC7"/>
          <w:sz w:val="26"/>
        </w:rPr>
        <w:t>7.5 Readiness invariant</w:t>
      </w:r>
    </w:p>
    <w:p>
      <w:pPr>
        <w:spacing w:after="100" w:line="259" w:lineRule="auto"/>
      </w:pPr>
      <w:r>
        <w:rPr>
          <w:rFonts w:ascii="Liberation Sans" w:hAnsi="Liberation Sans" w:eastAsia="Liberation Sans"/>
          <w:b w:val="0"/>
          <w:i w:val="0"/>
          <w:color w:val="101828"/>
          <w:sz w:val="20"/>
        </w:rPr>
        <w:t>A document may be READY only if all of the following are true:</w:t>
      </w:r>
    </w:p>
    <w:p>
      <w:pPr>
        <w:pStyle w:val="ListBullet"/>
        <w:spacing w:after="60"/>
        <w:ind w:left="317" w:hanging="173"/>
      </w:pPr>
      <w:r>
        <w:rPr>
          <w:rFonts w:ascii="Liberation Sans" w:hAnsi="Liberation Sans" w:eastAsia="Liberation Sans"/>
          <w:b w:val="0"/>
          <w:i w:val="0"/>
          <w:color w:val="101828"/>
          <w:sz w:val="20"/>
        </w:rPr>
        <w:t>The immutable source version exists in private storage and matches the stored hash and byte size.</w:t>
      </w:r>
    </w:p>
    <w:p>
      <w:pPr>
        <w:pStyle w:val="ListBullet"/>
        <w:spacing w:after="60"/>
        <w:ind w:left="317" w:hanging="173"/>
      </w:pPr>
      <w:r>
        <w:rPr>
          <w:rFonts w:ascii="Liberation Sans" w:hAnsi="Liberation Sans" w:eastAsia="Liberation Sans"/>
          <w:b w:val="0"/>
          <w:i w:val="0"/>
          <w:color w:val="101828"/>
          <w:sz w:val="20"/>
        </w:rPr>
        <w:t>Every page has an explicit extraction state: direct text, OCR, intentionally skipped, or failed.</w:t>
      </w:r>
    </w:p>
    <w:p>
      <w:pPr>
        <w:pStyle w:val="ListBullet"/>
        <w:spacing w:after="60"/>
        <w:ind w:left="317" w:hanging="173"/>
      </w:pPr>
      <w:r>
        <w:rPr>
          <w:rFonts w:ascii="Liberation Sans" w:hAnsi="Liberation Sans" w:eastAsia="Liberation Sans"/>
          <w:b w:val="0"/>
          <w:i w:val="0"/>
          <w:color w:val="101828"/>
          <w:sz w:val="20"/>
        </w:rPr>
        <w:t>The structured extraction references the active source version and an immutable extraction schema version.</w:t>
      </w:r>
    </w:p>
    <w:p>
      <w:pPr>
        <w:pStyle w:val="ListBullet"/>
        <w:spacing w:after="60"/>
        <w:ind w:left="317" w:hanging="173"/>
      </w:pPr>
      <w:r>
        <w:rPr>
          <w:rFonts w:ascii="Liberation Sans" w:hAnsi="Liberation Sans" w:eastAsia="Liberation Sans"/>
          <w:b w:val="0"/>
          <w:i w:val="0"/>
          <w:color w:val="101828"/>
          <w:sz w:val="20"/>
        </w:rPr>
        <w:t>Each customer-visible field either has valid evidence or is explicitly marked unconfirmed/missing.</w:t>
      </w:r>
    </w:p>
    <w:p>
      <w:pPr>
        <w:pStyle w:val="ListBullet"/>
        <w:spacing w:after="60"/>
        <w:ind w:left="317" w:hanging="173"/>
      </w:pPr>
      <w:r>
        <w:rPr>
          <w:rFonts w:ascii="Liberation Sans" w:hAnsi="Liberation Sans" w:eastAsia="Liberation Sans"/>
          <w:b w:val="0"/>
          <w:i w:val="0"/>
          <w:color w:val="101828"/>
          <w:sz w:val="20"/>
        </w:rPr>
        <w:t>The retrieval index contains chunks for the active source version, owner, and one declared index version.</w:t>
      </w:r>
    </w:p>
    <w:p>
      <w:pPr>
        <w:pStyle w:val="ListBullet"/>
        <w:spacing w:after="60"/>
        <w:ind w:left="317" w:hanging="173"/>
      </w:pPr>
      <w:r>
        <w:rPr>
          <w:rFonts w:ascii="Liberation Sans" w:hAnsi="Liberation Sans" w:eastAsia="Liberation Sans"/>
          <w:b w:val="0"/>
          <w:i w:val="0"/>
          <w:color w:val="101828"/>
          <w:sz w:val="20"/>
        </w:rPr>
        <w:t>The number and checksums of expected chunks match the committed index manifest.</w:t>
      </w:r>
    </w:p>
    <w:p>
      <w:pPr>
        <w:pStyle w:val="ListBullet"/>
        <w:spacing w:after="60"/>
        <w:ind w:left="317" w:hanging="173"/>
      </w:pPr>
      <w:r>
        <w:rPr>
          <w:rFonts w:ascii="Liberation Sans" w:hAnsi="Liberation Sans" w:eastAsia="Liberation Sans"/>
          <w:b w:val="0"/>
          <w:i w:val="0"/>
          <w:color w:val="101828"/>
          <w:sz w:val="20"/>
        </w:rPr>
        <w:t>No terminal error or pending deletion exists.</w:t>
      </w:r>
    </w:p>
    <w:p>
      <w:pPr>
        <w:pStyle w:val="ListBullet"/>
        <w:spacing w:after="60"/>
        <w:ind w:left="317" w:hanging="173"/>
      </w:pPr>
      <w:r>
        <w:rPr>
          <w:rFonts w:ascii="Liberation Sans" w:hAnsi="Liberation Sans" w:eastAsia="Liberation Sans"/>
          <w:b w:val="0"/>
          <w:i w:val="0"/>
          <w:color w:val="101828"/>
          <w:sz w:val="20"/>
        </w:rPr>
        <w:t>A reconciliation query can prove all required artifacts are present.</w:t>
      </w:r>
    </w:p>
    <w:p>
      <w:pPr>
        <w:pStyle w:val="Heading2"/>
        <w:spacing w:before="160" w:after="100"/>
        <w:keepNext/>
      </w:pPr>
      <w:r>
        <w:rPr>
          <w:rFonts w:ascii="Liberation Sans" w:hAnsi="Liberation Sans" w:eastAsia="Liberation Sans"/>
          <w:b/>
          <w:i w:val="0"/>
          <w:color w:val="145BC7"/>
          <w:sz w:val="26"/>
        </w:rPr>
        <w:t>7.6 AI task routing</w:t>
      </w:r>
    </w:p>
    <w:tbl>
      <w:tblPr>
        <w:tblW w:type="auto" w:w="0"/>
        <w:jc w:val="center"/>
        <w:tblLayout w:type="fixed"/>
        <w:tblLook w:firstColumn="1" w:firstRow="1" w:lastColumn="0" w:lastRow="0" w:noHBand="0" w:noVBand="1" w:val="04A0"/>
      </w:tblPr>
      <w:tblGrid>
        <w:gridCol w:w="1584"/>
        <w:gridCol w:w="2880"/>
        <w:gridCol w:w="3240"/>
        <w:gridCol w:w="2160"/>
      </w:tblGrid>
      <w:tr>
        <w:trPr>
          <w:tblHeader w:val="true"/>
          <w:cantSplit/>
        </w:trPr>
        <w:tc>
          <w:tcPr>
            <w:tcW w:type="dxa" w:w="158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Task</w:t>
            </w:r>
          </w:p>
        </w:tc>
        <w:tc>
          <w:tcPr>
            <w:tcW w:type="dxa" w:w="288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Preferred method</w:t>
            </w:r>
          </w:p>
        </w:tc>
        <w:tc>
          <w:tcPr>
            <w:tcW w:type="dxa" w:w="324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Fallback behavior</w:t>
            </w:r>
          </w:p>
        </w:tc>
        <w:tc>
          <w:tcPr>
            <w:tcW w:type="dxa" w:w="216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Required record</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Direct PDF text</w:t>
            </w:r>
          </w:p>
        </w:tc>
        <w:tc>
          <w:tcPr>
            <w:tcW w:type="dxa" w:w="288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Deterministic PyMuPDF page extraction</w:t>
            </w:r>
          </w:p>
        </w:tc>
        <w:tc>
          <w:tcPr>
            <w:tcW w:type="dxa" w:w="324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OCR only for pages without usable text</w:t>
            </w:r>
          </w:p>
        </w:tc>
        <w:tc>
          <w:tcPr>
            <w:tcW w:type="dxa" w:w="21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parser version, page method, checksum</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Image/scanned OCR</w:t>
            </w:r>
          </w:p>
        </w:tc>
        <w:tc>
          <w:tcPr>
            <w:tcW w:type="dxa" w:w="288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On-device assist or server OCR worker</w:t>
            </w:r>
          </w:p>
        </w:tc>
        <w:tc>
          <w:tcPr>
            <w:tcW w:type="dxa" w:w="324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Ask user for clearer scan, language, or password</w:t>
            </w:r>
          </w:p>
        </w:tc>
        <w:tc>
          <w:tcPr>
            <w:tcW w:type="dxa" w:w="21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OCR engine, language, page confidence</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Section parsing</w:t>
            </w:r>
          </w:p>
        </w:tc>
        <w:tc>
          <w:tcPr>
            <w:tcW w:type="dxa" w:w="288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Deterministic headings/layout plus model assist</w:t>
            </w:r>
          </w:p>
        </w:tc>
        <w:tc>
          <w:tcPr>
            <w:tcW w:type="dxa" w:w="324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Coarser page-level sections</w:t>
            </w:r>
          </w:p>
        </w:tc>
        <w:tc>
          <w:tcPr>
            <w:tcW w:type="dxa" w:w="21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parser/model route and version</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Structured facts</w:t>
            </w:r>
          </w:p>
        </w:tc>
        <w:tc>
          <w:tcPr>
            <w:tcW w:type="dxa" w:w="288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Schema-constrained extraction over evidence windows</w:t>
            </w:r>
          </w:p>
        </w:tc>
        <w:tc>
          <w:tcPr>
            <w:tcW w:type="dxa" w:w="324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Partial extraction, never invented defaults</w:t>
            </w:r>
          </w:p>
        </w:tc>
        <w:tc>
          <w:tcPr>
            <w:tcW w:type="dxa" w:w="21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prompt, model, field evidence, validation</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Embeddings</w:t>
            </w:r>
          </w:p>
        </w:tc>
        <w:tc>
          <w:tcPr>
            <w:tcW w:type="dxa" w:w="288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One pinned model per index version</w:t>
            </w:r>
          </w:p>
        </w:tc>
        <w:tc>
          <w:tcPr>
            <w:tcW w:type="dxa" w:w="324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Retry/queue; never dimension-switch in place</w:t>
            </w:r>
          </w:p>
        </w:tc>
        <w:tc>
          <w:tcPr>
            <w:tcW w:type="dxa" w:w="21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model, dimensions, index version</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Exact lookup</w:t>
            </w:r>
          </w:p>
        </w:tc>
        <w:tc>
          <w:tcPr>
            <w:tcW w:type="dxa" w:w="288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SQL lexical/entity index</w:t>
            </w:r>
          </w:p>
        </w:tc>
        <w:tc>
          <w:tcPr>
            <w:tcW w:type="dxa" w:w="324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Dense retrieval as secondary path</w:t>
            </w:r>
          </w:p>
        </w:tc>
        <w:tc>
          <w:tcPr>
            <w:tcW w:type="dxa" w:w="21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route and match evidence</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Answer generation</w:t>
            </w:r>
          </w:p>
        </w:tc>
        <w:tc>
          <w:tcPr>
            <w:tcW w:type="dxa" w:w="288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Grounded model over retrieved evidence</w:t>
            </w:r>
          </w:p>
        </w:tc>
        <w:tc>
          <w:tcPr>
            <w:tcW w:type="dxa" w:w="324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Context-only source presentation</w:t>
            </w:r>
          </w:p>
        </w:tc>
        <w:tc>
          <w:tcPr>
            <w:tcW w:type="dxa" w:w="21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model route, citations, validation outcome</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High-risk guidance</w:t>
            </w:r>
          </w:p>
        </w:tc>
        <w:tc>
          <w:tcPr>
            <w:tcW w:type="dxa" w:w="288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 autonomous advice</w:t>
            </w:r>
          </w:p>
        </w:tc>
        <w:tc>
          <w:tcPr>
            <w:tcW w:type="dxa" w:w="324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Show source text and contact channel</w:t>
            </w:r>
          </w:p>
        </w:tc>
        <w:tc>
          <w:tcPr>
            <w:tcW w:type="dxa" w:w="21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safety boundary and disclaimer version</w:t>
            </w:r>
          </w:p>
        </w:tc>
      </w:tr>
    </w:tbl>
    <w:p>
      <w:pPr>
        <w:spacing w:after="0"/>
      </w:pPr>
    </w:p>
    <w:p>
      <w:pPr>
        <w:pStyle w:val="Heading2"/>
        <w:spacing w:before="160" w:after="100"/>
        <w:keepNext/>
      </w:pPr>
      <w:r>
        <w:rPr>
          <w:rFonts w:ascii="Liberation Sans" w:hAnsi="Liberation Sans" w:eastAsia="Liberation Sans"/>
          <w:b/>
          <w:i w:val="0"/>
          <w:color w:val="145BC7"/>
          <w:sz w:val="26"/>
        </w:rPr>
        <w:t>7.7 Evidence validation contract</w:t>
      </w:r>
    </w:p>
    <w:p>
      <w:pPr>
        <w:spacing w:after="100" w:line="259" w:lineRule="auto"/>
      </w:pPr>
      <w:r>
        <w:rPr>
          <w:rFonts w:ascii="Liberation Sans" w:hAnsi="Liberation Sans" w:eastAsia="Liberation Sans"/>
          <w:b w:val="0"/>
          <w:i w:val="0"/>
          <w:color w:val="101828"/>
          <w:sz w:val="20"/>
        </w:rPr>
        <w:t>The system should validate model output after generation, not just validate JSON shape. For each answer citation and extracted field:</w:t>
      </w:r>
    </w:p>
    <w:p>
      <w:pPr>
        <w:pStyle w:val="ListBullet"/>
        <w:spacing w:after="60"/>
        <w:ind w:left="317" w:hanging="173"/>
      </w:pPr>
      <w:r>
        <w:rPr>
          <w:rFonts w:ascii="Liberation Sans" w:hAnsi="Liberation Sans" w:eastAsia="Liberation Sans"/>
          <w:b w:val="0"/>
          <w:i w:val="0"/>
          <w:color w:val="101828"/>
          <w:sz w:val="20"/>
        </w:rPr>
        <w:t>The referenced source index exists.</w:t>
      </w:r>
    </w:p>
    <w:p>
      <w:pPr>
        <w:pStyle w:val="ListBullet"/>
        <w:spacing w:after="60"/>
        <w:ind w:left="317" w:hanging="173"/>
      </w:pPr>
      <w:r>
        <w:rPr>
          <w:rFonts w:ascii="Liberation Sans" w:hAnsi="Liberation Sans" w:eastAsia="Liberation Sans"/>
          <w:b w:val="0"/>
          <w:i w:val="0"/>
          <w:color w:val="101828"/>
          <w:sz w:val="20"/>
        </w:rPr>
        <w:t>The quoted text is a normalized substring of the stored source passage or page OCR.</w:t>
      </w:r>
    </w:p>
    <w:p>
      <w:pPr>
        <w:pStyle w:val="ListBullet"/>
        <w:spacing w:after="60"/>
        <w:ind w:left="317" w:hanging="173"/>
      </w:pPr>
      <w:r>
        <w:rPr>
          <w:rFonts w:ascii="Liberation Sans" w:hAnsi="Liberation Sans" w:eastAsia="Liberation Sans"/>
          <w:b w:val="0"/>
          <w:i w:val="0"/>
          <w:color w:val="101828"/>
          <w:sz w:val="20"/>
        </w:rPr>
        <w:t>The source belongs to the authenticated owner and active document version.</w:t>
      </w:r>
    </w:p>
    <w:p>
      <w:pPr>
        <w:pStyle w:val="ListBullet"/>
        <w:spacing w:after="60"/>
        <w:ind w:left="317" w:hanging="173"/>
      </w:pPr>
      <w:r>
        <w:rPr>
          <w:rFonts w:ascii="Liberation Sans" w:hAnsi="Liberation Sans" w:eastAsia="Liberation Sans"/>
          <w:b w:val="0"/>
          <w:i w:val="0"/>
          <w:color w:val="101828"/>
          <w:sz w:val="20"/>
        </w:rPr>
        <w:t>The source document is READY or explicitly allowed for a partial preview.</w:t>
      </w:r>
    </w:p>
    <w:p>
      <w:pPr>
        <w:pStyle w:val="ListBullet"/>
        <w:spacing w:after="60"/>
        <w:ind w:left="317" w:hanging="173"/>
      </w:pPr>
      <w:r>
        <w:rPr>
          <w:rFonts w:ascii="Liberation Sans" w:hAnsi="Liberation Sans" w:eastAsia="Liberation Sans"/>
          <w:b w:val="0"/>
          <w:i w:val="0"/>
          <w:color w:val="101828"/>
          <w:sz w:val="20"/>
        </w:rPr>
        <w:t>Dates, currency, percentages, identifiers, and limits pass type and range checks.</w:t>
      </w:r>
    </w:p>
    <w:p>
      <w:pPr>
        <w:pStyle w:val="ListBullet"/>
        <w:spacing w:after="60"/>
        <w:ind w:left="317" w:hanging="173"/>
      </w:pPr>
      <w:r>
        <w:rPr>
          <w:rFonts w:ascii="Liberation Sans" w:hAnsi="Liberation Sans" w:eastAsia="Liberation Sans"/>
          <w:b w:val="0"/>
          <w:i w:val="0"/>
          <w:color w:val="101828"/>
          <w:sz w:val="20"/>
        </w:rPr>
        <w:t>Conflicting evidence produces a conflict state instead of a single confident value.</w:t>
      </w:r>
    </w:p>
    <w:p>
      <w:pPr>
        <w:pStyle w:val="ListBullet"/>
        <w:spacing w:after="60"/>
        <w:ind w:left="317" w:hanging="173"/>
      </w:pPr>
      <w:r>
        <w:rPr>
          <w:rFonts w:ascii="Liberation Sans" w:hAnsi="Liberation Sans" w:eastAsia="Liberation Sans"/>
          <w:b w:val="0"/>
          <w:i w:val="0"/>
          <w:color w:val="101828"/>
          <w:sz w:val="20"/>
        </w:rPr>
        <w:t>Confidence is calibrated from retrieval quality, evidence validity, extraction method, and model uncertainty. It is never the maximum of unrelated scores.</w:t>
      </w:r>
    </w:p>
    <w:p>
      <w:pPr>
        <w:spacing w:after="40"/>
      </w:pPr>
    </w:p>
    <w:p>
      <w:bookmarkStart w:id="8" w:name="security_privacy"/>
      <w:pPr>
        <w:pStyle w:val="Heading1"/>
        <w:spacing w:before="220" w:after="100"/>
        <w:keepNext/>
      </w:pPr>
      <w:r>
        <w:rPr>
          <w:rFonts w:ascii="Liberation Sans" w:hAnsi="Liberation Sans" w:eastAsia="Liberation Sans"/>
          <w:b/>
          <w:i w:val="0"/>
          <w:color w:val="071B33"/>
          <w:sz w:val="34"/>
        </w:rPr>
        <w:t>8. Security, privacy, trust, and regulated-boundary design</w:t>
      </w:r>
      <w:bookmarkEnd w:id="8"/>
    </w:p>
    <w:p>
      <w:pPr>
        <w:pStyle w:val="Heading2"/>
        <w:spacing w:before="160" w:after="100"/>
        <w:keepNext/>
      </w:pPr>
      <w:r>
        <w:rPr>
          <w:rFonts w:ascii="Liberation Sans" w:hAnsi="Liberation Sans" w:eastAsia="Liberation Sans"/>
          <w:b/>
          <w:i w:val="0"/>
          <w:color w:val="145BC7"/>
          <w:sz w:val="26"/>
        </w:rPr>
        <w:t>8.1 Data classification</w:t>
      </w:r>
    </w:p>
    <w:tbl>
      <w:tblPr>
        <w:tblW w:type="auto" w:w="0"/>
        <w:jc w:val="center"/>
        <w:tblLayout w:type="fixed"/>
        <w:tblLook w:firstColumn="1" w:firstRow="1" w:lastColumn="0" w:lastRow="0" w:noHBand="0" w:noVBand="1" w:val="04A0"/>
      </w:tblPr>
      <w:tblGrid>
        <w:gridCol w:w="1800"/>
        <w:gridCol w:w="3528"/>
        <w:gridCol w:w="4896"/>
      </w:tblGrid>
      <w:tr>
        <w:trPr>
          <w:tblHeader w:val="true"/>
          <w:cantSplit/>
        </w:trPr>
        <w:tc>
          <w:tcPr>
            <w:tcW w:type="dxa" w:w="180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Class</w:t>
            </w:r>
          </w:p>
        </w:tc>
        <w:tc>
          <w:tcPr>
            <w:tcW w:type="dxa" w:w="3528"/>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Examples</w:t>
            </w:r>
          </w:p>
        </w:tc>
        <w:tc>
          <w:tcPr>
            <w:tcW w:type="dxa" w:w="489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Handling</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Restricted customer content</w:t>
            </w:r>
          </w:p>
        </w:tc>
        <w:tc>
          <w:tcPr>
            <w:tcW w:type="dxa" w:w="352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Policy PDFs, OCR text, policy numbers, claims details, medical-related policy context</w:t>
            </w:r>
          </w:p>
        </w:tc>
        <w:tc>
          <w:tcPr>
            <w:tcW w:type="dxa" w:w="48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Private storage, encrypted in transit/at rest, shortest practical retention, no ordinary logs.</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Sensitive derived data</w:t>
            </w:r>
          </w:p>
        </w:tc>
        <w:tc>
          <w:tcPr>
            <w:tcW w:type="dxa" w:w="352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Coverage, premium, insured names, dates, contacts, exclusions, questions and answers</w:t>
            </w:r>
          </w:p>
        </w:tc>
        <w:tc>
          <w:tcPr>
            <w:tcW w:type="dxa" w:w="48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Owner-scoped DB, evidence links, local encrypted projection, deletion lineage.</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Identity and contact</w:t>
            </w:r>
          </w:p>
        </w:tc>
        <w:tc>
          <w:tcPr>
            <w:tcW w:type="dxa" w:w="352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Account IDs, anonymous IDs, email, phone, OAuth metadata</w:t>
            </w:r>
          </w:p>
        </w:tc>
        <w:tc>
          <w:tcPr>
            <w:tcW w:type="dxa" w:w="48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Purpose-bound tables, access control, retention and consent policy.</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Operational metadata</w:t>
            </w:r>
          </w:p>
        </w:tc>
        <w:tc>
          <w:tcPr>
            <w:tcW w:type="dxa" w:w="352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Document UUID, state, timing, provider route, token counts, error class</w:t>
            </w:r>
          </w:p>
        </w:tc>
        <w:tc>
          <w:tcPr>
            <w:tcW w:type="dxa" w:w="48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Safe structured logs with pseudonymous identifiers.</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Product analytics</w:t>
            </w:r>
          </w:p>
        </w:tc>
        <w:tc>
          <w:tcPr>
            <w:tcW w:type="dxa" w:w="352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Allowlisted event names and bucketed properties</w:t>
            </w:r>
          </w:p>
        </w:tc>
        <w:tc>
          <w:tcPr>
            <w:tcW w:type="dxa" w:w="48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Consent policy, schema rejection, role-scoped aggregate access.</w:t>
            </w:r>
          </w:p>
        </w:tc>
      </w:tr>
    </w:tbl>
    <w:p>
      <w:pPr>
        <w:spacing w:after="0"/>
      </w:pPr>
    </w:p>
    <w:p>
      <w:pPr>
        <w:pStyle w:val="Heading2"/>
        <w:spacing w:before="160" w:after="100"/>
        <w:keepNext/>
      </w:pPr>
      <w:r>
        <w:rPr>
          <w:rFonts w:ascii="Liberation Sans" w:hAnsi="Liberation Sans" w:eastAsia="Liberation Sans"/>
          <w:b/>
          <w:i w:val="0"/>
          <w:color w:val="145BC7"/>
          <w:sz w:val="26"/>
        </w:rPr>
        <w:t>8.2 Required trust controls</w:t>
      </w:r>
    </w:p>
    <w:p>
      <w:pPr>
        <w:pStyle w:val="ListBullet"/>
        <w:spacing w:after="60"/>
        <w:ind w:left="317" w:hanging="173"/>
      </w:pPr>
      <w:r>
        <w:rPr>
          <w:rFonts w:ascii="Liberation Sans" w:hAnsi="Liberation Sans" w:eastAsia="Liberation Sans"/>
          <w:b w:val="0"/>
          <w:i w:val="0"/>
          <w:color w:val="101828"/>
          <w:sz w:val="20"/>
        </w:rPr>
        <w:t>One server authorization function for every owner-bearing action, with explicit admin authorization separate from ordinary authentication.</w:t>
      </w:r>
    </w:p>
    <w:p>
      <w:pPr>
        <w:pStyle w:val="ListBullet"/>
        <w:spacing w:after="60"/>
        <w:ind w:left="317" w:hanging="173"/>
      </w:pPr>
      <w:r>
        <w:rPr>
          <w:rFonts w:ascii="Liberation Sans" w:hAnsi="Liberation Sans" w:eastAsia="Liberation Sans"/>
          <w:b w:val="0"/>
          <w:i w:val="0"/>
          <w:color w:val="101828"/>
          <w:sz w:val="20"/>
        </w:rPr>
        <w:t>No raw content in logs, traces, analytics, exception messages, or object-key paths.</w:t>
      </w:r>
    </w:p>
    <w:p>
      <w:pPr>
        <w:pStyle w:val="ListBullet"/>
        <w:spacing w:after="60"/>
        <w:ind w:left="317" w:hanging="173"/>
      </w:pPr>
      <w:r>
        <w:rPr>
          <w:rFonts w:ascii="Liberation Sans" w:hAnsi="Liberation Sans" w:eastAsia="Liberation Sans"/>
          <w:b w:val="0"/>
          <w:i w:val="0"/>
          <w:color w:val="101828"/>
          <w:sz w:val="20"/>
        </w:rPr>
        <w:t>Per-owner and per-document deletion manifests, including source, versions, chunks, summaries, answers, analytics where applicable, and local-device instructions.</w:t>
      </w:r>
    </w:p>
    <w:p>
      <w:pPr>
        <w:pStyle w:val="ListBullet"/>
        <w:spacing w:after="60"/>
        <w:ind w:left="317" w:hanging="173"/>
      </w:pPr>
      <w:r>
        <w:rPr>
          <w:rFonts w:ascii="Liberation Sans" w:hAnsi="Liberation Sans" w:eastAsia="Liberation Sans"/>
          <w:b w:val="0"/>
          <w:i w:val="0"/>
          <w:color w:val="101828"/>
          <w:sz w:val="20"/>
        </w:rPr>
        <w:t>Consent records stored as durable domain events, not merely a client-side ledger. Client state can mirror the server but cannot be the audit authority.</w:t>
      </w:r>
    </w:p>
    <w:p>
      <w:pPr>
        <w:pStyle w:val="ListBullet"/>
        <w:spacing w:after="60"/>
        <w:ind w:left="317" w:hanging="173"/>
      </w:pPr>
      <w:r>
        <w:rPr>
          <w:rFonts w:ascii="Liberation Sans" w:hAnsi="Liberation Sans" w:eastAsia="Liberation Sans"/>
          <w:b w:val="0"/>
          <w:i w:val="0"/>
          <w:color w:val="101828"/>
          <w:sz w:val="20"/>
        </w:rPr>
        <w:t>A retention policy per artifact class, including temporary processing files, failed uploads, orphaned objects, extraction versions, and telemetry.</w:t>
      </w:r>
    </w:p>
    <w:p>
      <w:pPr>
        <w:pStyle w:val="ListBullet"/>
        <w:spacing w:after="60"/>
        <w:ind w:left="317" w:hanging="173"/>
      </w:pPr>
      <w:r>
        <w:rPr>
          <w:rFonts w:ascii="Liberation Sans" w:hAnsi="Liberation Sans" w:eastAsia="Liberation Sans"/>
          <w:b w:val="0"/>
          <w:i w:val="0"/>
          <w:color w:val="101828"/>
          <w:sz w:val="20"/>
        </w:rPr>
        <w:t>A threat model for malicious PDFs, decompression bombs, encrypted PDFs, filename/path manipulation, prompt injection in document text, cross-owner filters, and poisoned citations.</w:t>
      </w:r>
    </w:p>
    <w:p>
      <w:pPr>
        <w:pStyle w:val="ListBullet"/>
        <w:spacing w:after="60"/>
        <w:ind w:left="317" w:hanging="173"/>
      </w:pPr>
      <w:r>
        <w:rPr>
          <w:rFonts w:ascii="Liberation Sans" w:hAnsi="Liberation Sans" w:eastAsia="Liberation Sans"/>
          <w:b w:val="0"/>
          <w:i w:val="0"/>
          <w:color w:val="101828"/>
          <w:sz w:val="20"/>
        </w:rPr>
        <w:t>Rate limits in a durable or distributed store. Process-memory counters cannot be the production enforcement boundary.</w:t>
      </w:r>
    </w:p>
    <w:p>
      <w:pPr>
        <w:pStyle w:val="ListBullet"/>
        <w:spacing w:after="60"/>
        <w:ind w:left="317" w:hanging="173"/>
      </w:pPr>
      <w:r>
        <w:rPr>
          <w:rFonts w:ascii="Liberation Sans" w:hAnsi="Liberation Sans" w:eastAsia="Liberation Sans"/>
          <w:b w:val="0"/>
          <w:i w:val="0"/>
          <w:color w:val="101828"/>
          <w:sz w:val="20"/>
        </w:rPr>
        <w:t>Security headers and runtime CORS tests against the mounted child app, not configuration review alone.</w:t>
      </w:r>
    </w:p>
    <w:p>
      <w:pPr>
        <w:pStyle w:val="Heading2"/>
        <w:spacing w:before="160" w:after="100"/>
        <w:keepNext/>
      </w:pPr>
      <w:r>
        <w:rPr>
          <w:rFonts w:ascii="Liberation Sans" w:hAnsi="Liberation Sans" w:eastAsia="Liberation Sans"/>
          <w:b/>
          <w:i w:val="0"/>
          <w:color w:val="145BC7"/>
          <w:sz w:val="26"/>
        </w:rPr>
        <w:t>8.3 Prompt injection and document-borne instructions</w:t>
      </w:r>
    </w:p>
    <w:p>
      <w:pPr>
        <w:spacing w:after="100" w:line="259" w:lineRule="auto"/>
      </w:pPr>
      <w:r>
        <w:rPr>
          <w:rFonts w:ascii="Liberation Sans" w:hAnsi="Liberation Sans" w:eastAsia="Liberation Sans"/>
          <w:b w:val="0"/>
          <w:i w:val="0"/>
          <w:color w:val="101828"/>
          <w:sz w:val="20"/>
        </w:rPr>
        <w:t>Insurance documents are untrusted inputs. A document can contain text that instructs the model to ignore system rules, fabricate a benefit, or disclose unrelated content. The current prompts tell the model to use context but do not establish a structured separation between source content and instructions.</w:t>
      </w:r>
    </w:p>
    <w:p>
      <w:pPr>
        <w:spacing w:after="100" w:line="259" w:lineRule="auto"/>
      </w:pPr>
      <w:r>
        <w:rPr>
          <w:rFonts w:ascii="Liberation Sans" w:hAnsi="Liberation Sans" w:eastAsia="Liberation Sans"/>
          <w:b w:val="0"/>
          <w:i w:val="0"/>
          <w:color w:val="101828"/>
          <w:sz w:val="20"/>
        </w:rPr>
        <w:t>Required pattern: mark retrieved text as untrusted data, prohibit following instructions found inside it, use structured tool/data channels where supported, validate all citations, restrict the answer to owner-scoped evidence, and run adversarial policy fixtures through the full pipeline.</w:t>
      </w:r>
    </w:p>
    <w:p>
      <w:pPr>
        <w:pStyle w:val="Heading2"/>
        <w:spacing w:before="160" w:after="100"/>
        <w:keepNext/>
      </w:pPr>
      <w:r>
        <w:rPr>
          <w:rFonts w:ascii="Liberation Sans" w:hAnsi="Liberation Sans" w:eastAsia="Liberation Sans"/>
          <w:b/>
          <w:i w:val="0"/>
          <w:color w:val="145BC7"/>
          <w:sz w:val="26"/>
        </w:rPr>
        <w:t>8.4 Product safety boundary</w:t>
      </w:r>
    </w:p>
    <w:tbl>
      <w:tblPr>
        <w:tblW w:type="auto" w:w="0"/>
        <w:jc w:val="center"/>
        <w:tblLayout w:type="fixed"/>
        <w:tblLook w:firstColumn="1" w:firstRow="1" w:lastColumn="0" w:lastRow="0" w:noHBand="0" w:noVBand="1" w:val="04A0"/>
      </w:tblPr>
      <w:tblGrid>
        <w:gridCol w:w="4824"/>
        <w:gridCol w:w="4824"/>
      </w:tblGrid>
      <w:tr>
        <w:trPr>
          <w:tblHeader w:val="true"/>
          <w:cantSplit/>
        </w:trPr>
        <w:tc>
          <w:tcPr>
            <w:tcW w:type="dxa" w:w="482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Allowed launch surface</w:t>
            </w:r>
          </w:p>
        </w:tc>
        <w:tc>
          <w:tcPr>
            <w:tcW w:type="dxa" w:w="482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Requires stronger evidence or regulated review</w:t>
            </w:r>
          </w:p>
        </w:tc>
      </w:tr>
      <w:tr>
        <w:trPr>
          <w:cantSplit/>
        </w:trPr>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Show insurer, policy number, dates, limits, contacts with page evidence</w:t>
            </w:r>
          </w:p>
        </w:tc>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Recommend buying, increasing, replacing, or cancelling coverage</w:t>
            </w:r>
          </w:p>
        </w:tc>
      </w:tr>
      <w:tr>
        <w:trPr>
          <w:cantSplit/>
        </w:trPr>
        <w:tc>
          <w:tcPr>
            <w:tcW w:type="dxa" w:w="48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Explain quoted clauses in plain language</w:t>
            </w:r>
          </w:p>
        </w:tc>
        <w:tc>
          <w:tcPr>
            <w:tcW w:type="dxa" w:w="48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Determine whether a claim will be approved</w:t>
            </w:r>
          </w:p>
        </w:tc>
      </w:tr>
      <w:tr>
        <w:trPr>
          <w:cantSplit/>
        </w:trPr>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List exclusions and waiting periods from source text</w:t>
            </w:r>
          </w:p>
        </w:tc>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State that coverage is absent because extraction did not find it</w:t>
            </w:r>
          </w:p>
        </w:tc>
      </w:tr>
      <w:tr>
        <w:trPr>
          <w:cantSplit/>
        </w:trPr>
        <w:tc>
          <w:tcPr>
            <w:tcW w:type="dxa" w:w="48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Create renewal reminders</w:t>
            </w:r>
          </w:p>
        </w:tc>
        <w:tc>
          <w:tcPr>
            <w:tcW w:type="dxa" w:w="482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Give jurisdiction-specific legal obligations without verified location/law</w:t>
            </w:r>
          </w:p>
        </w:tc>
      </w:tr>
      <w:tr>
        <w:trPr>
          <w:cantSplit/>
        </w:trPr>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Prepare questions for the insurer or advisor</w:t>
            </w:r>
          </w:p>
        </w:tc>
        <w:tc>
          <w:tcPr>
            <w:tcW w:type="dxa" w:w="482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Optimize household portfolio or financial protection level</w:t>
            </w:r>
          </w:p>
        </w:tc>
      </w:tr>
    </w:tbl>
    <w:p>
      <w:pPr>
        <w:spacing w:after="0"/>
      </w:pPr>
    </w:p>
    <w:p>
      <w:pPr>
        <w:spacing w:after="40"/>
      </w:pPr>
    </w:p>
    <w:p>
      <w:bookmarkStart w:id="9" w:name="mobile_architecture"/>
      <w:pPr>
        <w:pStyle w:val="Heading1"/>
        <w:spacing w:before="220" w:after="100"/>
        <w:keepNext/>
      </w:pPr>
      <w:r>
        <w:rPr>
          <w:rFonts w:ascii="Liberation Sans" w:hAnsi="Liberation Sans" w:eastAsia="Liberation Sans"/>
          <w:b/>
          <w:i w:val="0"/>
          <w:color w:val="071B33"/>
          <w:sz w:val="34"/>
        </w:rPr>
        <w:t>9. Mobile application architecture recommendations</w:t>
      </w:r>
      <w:bookmarkEnd w:id="9"/>
    </w:p>
    <w:p>
      <w:pPr>
        <w:pStyle w:val="Heading2"/>
        <w:spacing w:before="160" w:after="100"/>
        <w:keepNext/>
      </w:pPr>
      <w:r>
        <w:rPr>
          <w:rFonts w:ascii="Liberation Sans" w:hAnsi="Liberation Sans" w:eastAsia="Liberation Sans"/>
          <w:b/>
          <w:i w:val="0"/>
          <w:color w:val="145BC7"/>
          <w:sz w:val="26"/>
        </w:rPr>
        <w:t>9.1 One transport boundary</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ApiClient</w:t>
              <w:br/>
            </w:r>
            <w:r>
              <w:rPr>
                <w:rFonts w:ascii="Liberation Mono" w:hAnsi="Liberation Mono" w:eastAsia="Liberation Mono"/>
                <w:b w:val="0"/>
                <w:i w:val="0"/>
                <w:color w:val="101828"/>
                <w:sz w:val="15"/>
              </w:rPr>
              <w:t xml:space="preserve">  - Base URL and environment validation</w:t>
              <w:br/>
            </w:r>
            <w:r>
              <w:rPr>
                <w:rFonts w:ascii="Liberation Mono" w:hAnsi="Liberation Mono" w:eastAsia="Liberation Mono"/>
                <w:b w:val="0"/>
                <w:i w:val="0"/>
                <w:color w:val="101828"/>
                <w:sz w:val="15"/>
              </w:rPr>
              <w:t xml:space="preserve">  - Bearer token injection</w:t>
              <w:br/>
            </w:r>
            <w:r>
              <w:rPr>
                <w:rFonts w:ascii="Liberation Mono" w:hAnsi="Liberation Mono" w:eastAsia="Liberation Mono"/>
                <w:b w:val="0"/>
                <w:i w:val="0"/>
                <w:color w:val="101828"/>
                <w:sz w:val="15"/>
              </w:rPr>
              <w:t xml:space="preserve">  - Single-flight token refresh</w:t>
              <w:br/>
            </w:r>
            <w:r>
              <w:rPr>
                <w:rFonts w:ascii="Liberation Mono" w:hAnsi="Liberation Mono" w:eastAsia="Liberation Mono"/>
                <w:b w:val="0"/>
                <w:i w:val="0"/>
                <w:color w:val="101828"/>
                <w:sz w:val="15"/>
              </w:rPr>
              <w:t xml:space="preserve">  - Correlation/request ID</w:t>
              <w:br/>
            </w:r>
            <w:r>
              <w:rPr>
                <w:rFonts w:ascii="Liberation Mono" w:hAnsi="Liberation Mono" w:eastAsia="Liberation Mono"/>
                <w:b w:val="0"/>
                <w:i w:val="0"/>
                <w:color w:val="101828"/>
                <w:sz w:val="15"/>
              </w:rPr>
              <w:t xml:space="preserve">  - Retry only for idempotent operations</w:t>
              <w:br/>
            </w:r>
            <w:r>
              <w:rPr>
                <w:rFonts w:ascii="Liberation Mono" w:hAnsi="Liberation Mono" w:eastAsia="Liberation Mono"/>
                <w:b w:val="0"/>
                <w:i w:val="0"/>
                <w:color w:val="101828"/>
                <w:sz w:val="15"/>
              </w:rPr>
              <w:t xml:space="preserve">  - Typed error normalization</w:t>
              <w:br/>
            </w:r>
            <w:r>
              <w:rPr>
                <w:rFonts w:ascii="Liberation Mono" w:hAnsi="Liberation Mono" w:eastAsia="Liberation Mono"/>
                <w:b w:val="0"/>
                <w:i w:val="0"/>
                <w:color w:val="101828"/>
                <w:sz w:val="15"/>
              </w:rPr>
              <w:t xml:space="preserve">  - Connectivity and offline intent capture</w:t>
              <w:br/>
            </w:r>
            <w:r>
              <w:rPr>
                <w:rFonts w:ascii="Liberation Mono" w:hAnsi="Liberation Mono" w:eastAsia="Liberation Mono"/>
                <w:b w:val="0"/>
                <w:i w:val="0"/>
                <w:color w:val="101828"/>
                <w:sz w:val="15"/>
              </w:rPr>
              <w:t xml:space="preserve">  - Safe request metrics without content</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All feature repositories depend on ApiClient.</w:t>
              <w:br/>
            </w:r>
            <w:r>
              <w:rPr>
                <w:rFonts w:ascii="Liberation Mono" w:hAnsi="Liberation Mono" w:eastAsia="Liberation Mono"/>
                <w:b w:val="0"/>
                <w:i w:val="0"/>
                <w:color w:val="101828"/>
                <w:sz w:val="15"/>
              </w:rPr>
              <w:t>No screen or feature service constructs Dio directly.</w:t>
            </w:r>
          </w:p>
        </w:tc>
      </w:tr>
    </w:tbl>
    <w:p>
      <w:pPr>
        <w:spacing w:after="0"/>
      </w:pPr>
    </w:p>
    <w:p>
      <w:pPr>
        <w:pStyle w:val="Heading2"/>
        <w:spacing w:before="160" w:after="100"/>
        <w:keepNext/>
      </w:pPr>
      <w:r>
        <w:rPr>
          <w:rFonts w:ascii="Liberation Sans" w:hAnsi="Liberation Sans" w:eastAsia="Liberation Sans"/>
          <w:b/>
          <w:i w:val="0"/>
          <w:color w:val="145BC7"/>
          <w:sz w:val="26"/>
        </w:rPr>
        <w:t>9.2 Local data is a projection, not an independent truth</w:t>
      </w:r>
    </w:p>
    <w:tbl>
      <w:tblPr>
        <w:tblW w:type="auto" w:w="0"/>
        <w:jc w:val="center"/>
        <w:tblLayout w:type="fixed"/>
        <w:tblLook w:firstColumn="1" w:firstRow="1" w:lastColumn="0" w:lastRow="0" w:noHBand="0" w:noVBand="1" w:val="04A0"/>
      </w:tblPr>
      <w:tblGrid>
        <w:gridCol w:w="1800"/>
        <w:gridCol w:w="3384"/>
        <w:gridCol w:w="4464"/>
      </w:tblGrid>
      <w:tr>
        <w:trPr>
          <w:tblHeader w:val="true"/>
          <w:cantSplit/>
        </w:trPr>
        <w:tc>
          <w:tcPr>
            <w:tcW w:type="dxa" w:w="180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Local entity</w:t>
            </w:r>
          </w:p>
        </w:tc>
        <w:tc>
          <w:tcPr>
            <w:tcW w:type="dxa" w:w="338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Canonical source</w:t>
            </w:r>
          </w:p>
        </w:tc>
        <w:tc>
          <w:tcPr>
            <w:tcW w:type="dxa" w:w="446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Offline behavior</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Document list</w:t>
            </w:r>
          </w:p>
        </w:tc>
        <w:tc>
          <w:tcPr>
            <w:tcW w:type="dxa" w:w="33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Server documents table plus active version</w:t>
            </w:r>
          </w:p>
        </w:tc>
        <w:tc>
          <w:tcPr>
            <w:tcW w:type="dxa" w:w="446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Cache last known projection and show sync state.</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Policy summary</w:t>
            </w:r>
          </w:p>
        </w:tc>
        <w:tc>
          <w:tcPr>
            <w:tcW w:type="dxa" w:w="33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Server extraction and evidence</w:t>
            </w:r>
          </w:p>
        </w:tc>
        <w:tc>
          <w:tcPr>
            <w:tcW w:type="dxa" w:w="446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Encrypted cache with schema/version and last-verified timestamp.</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Emergency card</w:t>
            </w:r>
          </w:p>
        </w:tc>
        <w:tc>
          <w:tcPr>
            <w:tcW w:type="dxa" w:w="33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Approved subset of summary</w:t>
            </w:r>
          </w:p>
        </w:tc>
        <w:tc>
          <w:tcPr>
            <w:tcW w:type="dxa" w:w="446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Available offline, clearly labelled last updated.</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Pending upload</w:t>
            </w:r>
          </w:p>
        </w:tc>
        <w:tc>
          <w:tcPr>
            <w:tcW w:type="dxa" w:w="33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Local file plus durable client operation intent</w:t>
            </w:r>
          </w:p>
        </w:tc>
        <w:tc>
          <w:tcPr>
            <w:tcW w:type="dxa" w:w="446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Retry with idempotency key; user can cancel or delete.</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Pending deletion</w:t>
            </w:r>
          </w:p>
        </w:tc>
        <w:tc>
          <w:tcPr>
            <w:tcW w:type="dxa" w:w="33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Server deletion job intent</w:t>
            </w:r>
          </w:p>
        </w:tc>
        <w:tc>
          <w:tcPr>
            <w:tcW w:type="dxa" w:w="446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Hide or mark deleting locally; reconcile until confirmed.</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Consent</w:t>
            </w:r>
          </w:p>
        </w:tc>
        <w:tc>
          <w:tcPr>
            <w:tcW w:type="dxa" w:w="33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Server ledger mirrored locally</w:t>
            </w:r>
          </w:p>
        </w:tc>
        <w:tc>
          <w:tcPr>
            <w:tcW w:type="dxa" w:w="446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No processing without current required consent.</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Analytics queue</w:t>
            </w:r>
          </w:p>
        </w:tc>
        <w:tc>
          <w:tcPr>
            <w:tcW w:type="dxa" w:w="33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Local allowlisted events</w:t>
            </w:r>
          </w:p>
        </w:tc>
        <w:tc>
          <w:tcPr>
            <w:tcW w:type="dxa" w:w="446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Drop on revocation; authenticate flush; bounded retention.</w:t>
            </w:r>
          </w:p>
        </w:tc>
      </w:tr>
    </w:tbl>
    <w:p>
      <w:pPr>
        <w:spacing w:after="0"/>
      </w:pPr>
    </w:p>
    <w:p>
      <w:pPr>
        <w:pStyle w:val="Heading2"/>
        <w:spacing w:before="160" w:after="100"/>
        <w:keepNext/>
      </w:pPr>
      <w:r>
        <w:rPr>
          <w:rFonts w:ascii="Liberation Sans" w:hAnsi="Liberation Sans" w:eastAsia="Liberation Sans"/>
          <w:b/>
          <w:i w:val="0"/>
          <w:color w:val="145BC7"/>
          <w:sz w:val="26"/>
        </w:rPr>
        <w:t>9.3 State management and feature boundaries</w:t>
      </w:r>
    </w:p>
    <w:p>
      <w:pPr>
        <w:spacing w:after="100" w:line="259" w:lineRule="auto"/>
      </w:pPr>
      <w:r>
        <w:rPr>
          <w:rFonts w:ascii="Liberation Sans" w:hAnsi="Liberation Sans" w:eastAsia="Liberation Sans"/>
          <w:b w:val="0"/>
          <w:i w:val="0"/>
          <w:color w:val="101828"/>
          <w:sz w:val="20"/>
        </w:rPr>
        <w:t>Riverpod is already the dominant state mechanism. Keep it as the single application-state system and remove Provider unless a concrete package boundary requires it. Feature repositories should expose typed asynchronous state for documents, extraction, emergency data, query sessions, auth, pending operations, and deletion. Screens should not infer backend state from filenames, parse natural-language answers into people, or run 13-question extraction workflows.</w:t>
      </w:r>
    </w:p>
    <w:p>
      <w:pPr>
        <w:pStyle w:val="Heading2"/>
        <w:spacing w:before="160" w:after="100"/>
        <w:keepNext/>
      </w:pPr>
      <w:r>
        <w:rPr>
          <w:rFonts w:ascii="Liberation Sans" w:hAnsi="Liberation Sans" w:eastAsia="Liberation Sans"/>
          <w:b/>
          <w:i w:val="0"/>
          <w:color w:val="145BC7"/>
          <w:sz w:val="26"/>
        </w:rPr>
        <w:t>9.4 Correct upload UX state</w:t>
      </w:r>
    </w:p>
    <w:tbl>
      <w:tblPr>
        <w:tblW w:type="auto" w:w="0"/>
        <w:jc w:val="center"/>
        <w:tblLayout w:type="fixed"/>
        <w:tblLook w:firstColumn="1" w:firstRow="1" w:lastColumn="0" w:lastRow="0" w:noHBand="0" w:noVBand="1" w:val="04A0"/>
      </w:tblPr>
      <w:tblGrid>
        <w:gridCol w:w="1368"/>
        <w:gridCol w:w="4680"/>
        <w:gridCol w:w="3600"/>
      </w:tblGrid>
      <w:tr>
        <w:trPr>
          <w:tblHeader w:val="true"/>
          <w:cantSplit/>
        </w:trPr>
        <w:tc>
          <w:tcPr>
            <w:tcW w:type="dxa" w:w="1368"/>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State</w:t>
            </w:r>
          </w:p>
        </w:tc>
        <w:tc>
          <w:tcPr>
            <w:tcW w:type="dxa" w:w="468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User message</w:t>
            </w:r>
          </w:p>
        </w:tc>
        <w:tc>
          <w:tcPr>
            <w:tcW w:type="dxa" w:w="360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Permitted action</w:t>
            </w:r>
          </w:p>
        </w:tc>
      </w:tr>
      <w:tr>
        <w:trPr>
          <w:cantSplit/>
        </w:trPr>
        <w:tc>
          <w:tcPr>
            <w:tcW w:type="dxa" w:w="136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Local only</w:t>
            </w:r>
          </w:p>
        </w:tc>
        <w:tc>
          <w:tcPr>
            <w:tcW w:type="dxa" w:w="468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Saved on this device, waiting to upload</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Retry, cancel, delete local copy</w:t>
            </w:r>
          </w:p>
        </w:tc>
      </w:tr>
      <w:tr>
        <w:trPr>
          <w:cantSplit/>
        </w:trPr>
        <w:tc>
          <w:tcPr>
            <w:tcW w:type="dxa" w:w="136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Accepted</w:t>
            </w:r>
          </w:p>
        </w:tc>
        <w:tc>
          <w:tcPr>
            <w:tcW w:type="dxa" w:w="468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Securely received by CoverWise</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Leave screen, view progress</w:t>
            </w:r>
          </w:p>
        </w:tc>
      </w:tr>
      <w:tr>
        <w:trPr>
          <w:cantSplit/>
        </w:trPr>
        <w:tc>
          <w:tcPr>
            <w:tcW w:type="dxa" w:w="136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Needs input</w:t>
            </w:r>
          </w:p>
        </w:tc>
        <w:tc>
          <w:tcPr>
            <w:tcW w:type="dxa" w:w="468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Password, clearer scan, or OCR permission required</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Provide input or remove policy</w:t>
            </w:r>
          </w:p>
        </w:tc>
      </w:tr>
      <w:tr>
        <w:trPr>
          <w:cantSplit/>
        </w:trPr>
        <w:tc>
          <w:tcPr>
            <w:tcW w:type="dxa" w:w="136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Processing</w:t>
            </w:r>
          </w:p>
        </w:tc>
        <w:tc>
          <w:tcPr>
            <w:tcW w:type="dxa" w:w="468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Reading and organizing the policy</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Leave screen, background notification</w:t>
            </w:r>
          </w:p>
        </w:tc>
      </w:tr>
      <w:tr>
        <w:trPr>
          <w:cantSplit/>
        </w:trPr>
        <w:tc>
          <w:tcPr>
            <w:tcW w:type="dxa" w:w="136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Partial</w:t>
            </w:r>
          </w:p>
        </w:tc>
        <w:tc>
          <w:tcPr>
            <w:tcW w:type="dxa" w:w="468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Some pages or fields could not be read</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Review missing pages and confirmed fields</w:t>
            </w:r>
          </w:p>
        </w:tc>
      </w:tr>
      <w:tr>
        <w:trPr>
          <w:cantSplit/>
        </w:trPr>
        <w:tc>
          <w:tcPr>
            <w:tcW w:type="dxa" w:w="136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Ready</w:t>
            </w:r>
          </w:p>
        </w:tc>
        <w:tc>
          <w:tcPr>
            <w:tcW w:type="dxa" w:w="468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Policy facts and source evidence are available</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Open summary and ask questions</w:t>
            </w:r>
          </w:p>
        </w:tc>
      </w:tr>
      <w:tr>
        <w:trPr>
          <w:cantSplit/>
        </w:trPr>
        <w:tc>
          <w:tcPr>
            <w:tcW w:type="dxa" w:w="136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Failed</w:t>
            </w:r>
          </w:p>
        </w:tc>
        <w:tc>
          <w:tcPr>
            <w:tcW w:type="dxa" w:w="468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Processing stopped and no ready data was published</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Retry with explicit reason</w:t>
            </w:r>
          </w:p>
        </w:tc>
      </w:tr>
      <w:tr>
        <w:trPr>
          <w:cantSplit/>
        </w:trPr>
        <w:tc>
          <w:tcPr>
            <w:tcW w:type="dxa" w:w="136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Deleting</w:t>
            </w:r>
          </w:p>
        </w:tc>
        <w:tc>
          <w:tcPr>
            <w:tcW w:type="dxa" w:w="468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Erasure is in progress</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View status, retry if needed</w:t>
            </w:r>
          </w:p>
        </w:tc>
      </w:tr>
    </w:tbl>
    <w:p>
      <w:pPr>
        <w:spacing w:after="0"/>
      </w:pPr>
    </w:p>
    <w:p>
      <w:pPr>
        <w:spacing w:after="40"/>
      </w:pPr>
    </w:p>
    <w:p>
      <w:bookmarkStart w:id="10" w:name="deployment_ci"/>
      <w:pPr>
        <w:pStyle w:val="Heading1"/>
        <w:spacing w:before="220" w:after="100"/>
        <w:keepNext/>
      </w:pPr>
      <w:r>
        <w:rPr>
          <w:rFonts w:ascii="Liberation Sans" w:hAnsi="Liberation Sans" w:eastAsia="Liberation Sans"/>
          <w:b/>
          <w:i w:val="0"/>
          <w:color w:val="071B33"/>
          <w:sz w:val="34"/>
        </w:rPr>
        <w:t>10. Deployment, CI, and operability</w:t>
      </w:r>
      <w:bookmarkEnd w:id="10"/>
    </w:p>
    <w:p>
      <w:pPr>
        <w:pStyle w:val="Heading2"/>
        <w:spacing w:before="160" w:after="100"/>
        <w:keepNext/>
      </w:pPr>
      <w:r>
        <w:rPr>
          <w:rFonts w:ascii="Liberation Sans" w:hAnsi="Liberation Sans" w:eastAsia="Liberation Sans"/>
          <w:b/>
          <w:i w:val="0"/>
          <w:color w:val="145BC7"/>
          <w:sz w:val="26"/>
        </w:rPr>
        <w:t>10.1 Current delivery gaps</w:t>
      </w:r>
    </w:p>
    <w:p>
      <w:pPr>
        <w:pStyle w:val="ListBullet"/>
        <w:spacing w:after="60"/>
        <w:ind w:left="317" w:hanging="173"/>
      </w:pPr>
      <w:r>
        <w:rPr>
          <w:rFonts w:ascii="Liberation Sans" w:hAnsi="Liberation Sans" w:eastAsia="Liberation Sans"/>
          <w:b w:val="0"/>
          <w:i w:val="0"/>
          <w:color w:val="101828"/>
          <w:sz w:val="20"/>
        </w:rPr>
        <w:t>The audited commit has no GitHub Actions run or combined status.</w:t>
      </w:r>
    </w:p>
    <w:p>
      <w:pPr>
        <w:pStyle w:val="ListBullet"/>
        <w:spacing w:after="60"/>
        <w:ind w:left="317" w:hanging="173"/>
      </w:pPr>
      <w:r>
        <w:rPr>
          <w:rFonts w:ascii="Liberation Sans" w:hAnsi="Liberation Sans" w:eastAsia="Liberation Sans"/>
          <w:b w:val="0"/>
          <w:i w:val="0"/>
          <w:color w:val="101828"/>
          <w:sz w:val="20"/>
        </w:rPr>
        <w:t>CI runs Python unit tests and lint, plus a Node 16 build, but does not run Flutter analyze/test/build.</w:t>
      </w:r>
    </w:p>
    <w:p>
      <w:pPr>
        <w:pStyle w:val="ListBullet"/>
        <w:spacing w:after="60"/>
        <w:ind w:left="317" w:hanging="173"/>
      </w:pPr>
      <w:r>
        <w:rPr>
          <w:rFonts w:ascii="Liberation Sans" w:hAnsi="Liberation Sans" w:eastAsia="Liberation Sans"/>
          <w:b w:val="0"/>
          <w:i w:val="0"/>
          <w:color w:val="101828"/>
          <w:sz w:val="20"/>
        </w:rPr>
        <w:t>CI does not start or migrate Supabase, exercise pgvector RPCs, verify private Storage, or test ownership transfer and deletion.</w:t>
      </w:r>
    </w:p>
    <w:p>
      <w:pPr>
        <w:pStyle w:val="ListBullet"/>
        <w:spacing w:after="60"/>
        <w:ind w:left="317" w:hanging="173"/>
      </w:pPr>
      <w:r>
        <w:rPr>
          <w:rFonts w:ascii="Liberation Sans" w:hAnsi="Liberation Sans" w:eastAsia="Liberation Sans"/>
          <w:b w:val="0"/>
          <w:i w:val="0"/>
          <w:color w:val="101828"/>
          <w:sz w:val="20"/>
        </w:rPr>
        <w:t>The Docker job pushes a mutable DockerHub latest tag rather than an immutable digest tied to a reviewed commit.</w:t>
      </w:r>
    </w:p>
    <w:p>
      <w:pPr>
        <w:pStyle w:val="ListBullet"/>
        <w:spacing w:after="60"/>
        <w:ind w:left="317" w:hanging="173"/>
      </w:pPr>
      <w:r>
        <w:rPr>
          <w:rFonts w:ascii="Liberation Sans" w:hAnsi="Liberation Sans" w:eastAsia="Liberation Sans"/>
          <w:b w:val="0"/>
          <w:i w:val="0"/>
          <w:color w:val="101828"/>
          <w:sz w:val="20"/>
        </w:rPr>
        <w:t>No dependency, container, secret, or infrastructure security scan is present in the inspected workflow.</w:t>
      </w:r>
    </w:p>
    <w:p>
      <w:pPr>
        <w:pStyle w:val="ListBullet"/>
        <w:spacing w:after="60"/>
        <w:ind w:left="317" w:hanging="173"/>
      </w:pPr>
      <w:r>
        <w:rPr>
          <w:rFonts w:ascii="Liberation Sans" w:hAnsi="Liberation Sans" w:eastAsia="Liberation Sans"/>
          <w:b w:val="0"/>
          <w:i w:val="0"/>
          <w:color w:val="101828"/>
          <w:sz w:val="20"/>
        </w:rPr>
        <w:t>No production configuration contract test validates model compatibility, vector dimensions, required RPCs, storage bucket, CORS headers, or public URLs.</w:t>
      </w:r>
    </w:p>
    <w:p>
      <w:pPr>
        <w:pStyle w:val="ListBullet"/>
        <w:spacing w:after="60"/>
        <w:ind w:left="317" w:hanging="173"/>
      </w:pPr>
      <w:r>
        <w:rPr>
          <w:rFonts w:ascii="Liberation Sans" w:hAnsi="Liberation Sans" w:eastAsia="Liberation Sans"/>
          <w:b w:val="0"/>
          <w:i w:val="0"/>
          <w:color w:val="101828"/>
          <w:sz w:val="20"/>
        </w:rPr>
        <w:t>The image runs a single Uvicorn process with no explicit request timeout or graceful worker shutdown contract for accepted background jobs.</w:t>
      </w:r>
    </w:p>
    <w:p>
      <w:pPr>
        <w:pStyle w:val="Heading2"/>
        <w:spacing w:before="160" w:after="100"/>
        <w:keepNext/>
      </w:pPr>
      <w:r>
        <w:rPr>
          <w:rFonts w:ascii="Liberation Sans" w:hAnsi="Liberation Sans" w:eastAsia="Liberation Sans"/>
          <w:b/>
          <w:i w:val="0"/>
          <w:color w:val="145BC7"/>
          <w:sz w:val="26"/>
        </w:rPr>
        <w:t>10.2 Minimum CI gate</w:t>
      </w:r>
    </w:p>
    <w:tbl>
      <w:tblPr>
        <w:tblW w:type="auto" w:w="0"/>
        <w:jc w:val="center"/>
        <w:tblLook w:firstColumn="1" w:firstRow="1" w:lastColumn="0" w:lastRow="0" w:noHBand="0" w:noVBand="1" w:val="04A0"/>
      </w:tblPr>
      <w:tblGrid>
        <w:gridCol w:w="10282"/>
      </w:tblGrid>
      <w:tr>
        <w:trPr>
          <w:cantSplit/>
        </w:trPr>
        <w:tc>
          <w:tcPr>
            <w:tcW w:type="dxa" w:w="10282"/>
            <w:shd w:fill="F8FAFC"/>
            <w:tcMar>
              <w:top w:w="100" w:type="dxa"/>
              <w:start w:w="120" w:type="dxa"/>
              <w:bottom w:w="100" w:type="dxa"/>
              <w:end w:w="120" w:type="dxa"/>
            </w:tcMar>
            <w:tcBorders>
              <w:top w:val="single" w:sz="4" w:color="D0D5DD"/>
              <w:left w:val="single" w:sz="4" w:color="D0D5DD"/>
              <w:bottom w:val="single" w:sz="4" w:color="D0D5DD"/>
              <w:right w:val="single" w:sz="4" w:color="D0D5DD"/>
            </w:tcBorders>
          </w:tcPr>
          <w:p>
            <w:pPr>
              <w:spacing w:after="0"/>
            </w:pPr>
            <w:r>
              <w:rPr>
                <w:rFonts w:ascii="Liberation Mono" w:hAnsi="Liberation Mono" w:eastAsia="Liberation Mono"/>
                <w:b w:val="0"/>
                <w:i w:val="0"/>
                <w:color w:val="101828"/>
                <w:sz w:val="15"/>
              </w:rPr>
              <w:t>Stage 1: static correctness</w:t>
              <w:br/>
            </w:r>
            <w:r>
              <w:rPr>
                <w:rFonts w:ascii="Liberation Mono" w:hAnsi="Liberation Mono" w:eastAsia="Liberation Mono"/>
                <w:b w:val="0"/>
                <w:i w:val="0"/>
                <w:color w:val="101828"/>
                <w:sz w:val="15"/>
              </w:rPr>
              <w:t xml:space="preserve">  python format/lint/type checks</w:t>
              <w:br/>
            </w:r>
            <w:r>
              <w:rPr>
                <w:rFonts w:ascii="Liberation Mono" w:hAnsi="Liberation Mono" w:eastAsia="Liberation Mono"/>
                <w:b w:val="0"/>
                <w:i w:val="0"/>
                <w:color w:val="101828"/>
                <w:sz w:val="15"/>
              </w:rPr>
              <w:t xml:space="preserve">  flutter format/analyze</w:t>
              <w:br/>
            </w:r>
            <w:r>
              <w:rPr>
                <w:rFonts w:ascii="Liberation Mono" w:hAnsi="Liberation Mono" w:eastAsia="Liberation Mono"/>
                <w:b w:val="0"/>
                <w:i w:val="0"/>
                <w:color w:val="101828"/>
                <w:sz w:val="15"/>
              </w:rPr>
              <w:t xml:space="preserve">  migration lint</w:t>
              <w:br/>
            </w:r>
            <w:r>
              <w:rPr>
                <w:rFonts w:ascii="Liberation Mono" w:hAnsi="Liberation Mono" w:eastAsia="Liberation Mono"/>
                <w:b w:val="0"/>
                <w:i w:val="0"/>
                <w:color w:val="101828"/>
                <w:sz w:val="15"/>
              </w:rPr>
              <w:t xml:space="preserve">  dependency lock verification</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Stage 2: unit and contract tests</w:t>
              <w:br/>
            </w:r>
            <w:r>
              <w:rPr>
                <w:rFonts w:ascii="Liberation Mono" w:hAnsi="Liberation Mono" w:eastAsia="Liberation Mono"/>
                <w:b w:val="0"/>
                <w:i w:val="0"/>
                <w:color w:val="101828"/>
                <w:sz w:val="15"/>
              </w:rPr>
              <w:t xml:space="preserve">  Python service/domain tests</w:t>
              <w:br/>
            </w:r>
            <w:r>
              <w:rPr>
                <w:rFonts w:ascii="Liberation Mono" w:hAnsi="Liberation Mono" w:eastAsia="Liberation Mono"/>
                <w:b w:val="0"/>
                <w:i w:val="0"/>
                <w:color w:val="101828"/>
                <w:sz w:val="15"/>
              </w:rPr>
              <w:t xml:space="preserve">  Flutter repository/provider/widget tests</w:t>
              <w:br/>
            </w:r>
            <w:r>
              <w:rPr>
                <w:rFonts w:ascii="Liberation Mono" w:hAnsi="Liberation Mono" w:eastAsia="Liberation Mono"/>
                <w:b w:val="0"/>
                <w:i w:val="0"/>
                <w:color w:val="101828"/>
                <w:sz w:val="15"/>
              </w:rPr>
              <w:t xml:space="preserve">  OpenAPI and generated client contract test</w:t>
              <w:br/>
            </w:r>
            <w:r>
              <w:rPr>
                <w:rFonts w:ascii="Liberation Mono" w:hAnsi="Liberation Mono" w:eastAsia="Liberation Mono"/>
                <w:b w:val="0"/>
                <w:i w:val="0"/>
                <w:color w:val="101828"/>
                <w:sz w:val="15"/>
              </w:rPr>
              <w:t xml:space="preserve">  logging schema and PII rejection tests</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Stage 3: integration</w:t>
              <w:br/>
            </w:r>
            <w:r>
              <w:rPr>
                <w:rFonts w:ascii="Liberation Mono" w:hAnsi="Liberation Mono" w:eastAsia="Liberation Mono"/>
                <w:b w:val="0"/>
                <w:i w:val="0"/>
                <w:color w:val="101828"/>
                <w:sz w:val="15"/>
              </w:rPr>
              <w:t xml:space="preserve">  disposable Supabase project or local stack</w:t>
              <w:br/>
            </w:r>
            <w:r>
              <w:rPr>
                <w:rFonts w:ascii="Liberation Mono" w:hAnsi="Liberation Mono" w:eastAsia="Liberation Mono"/>
                <w:b w:val="0"/>
                <w:i w:val="0"/>
                <w:color w:val="101828"/>
                <w:sz w:val="15"/>
              </w:rPr>
              <w:t xml:space="preserve">  migrations + storage bucket + pgvector</w:t>
              <w:br/>
            </w:r>
            <w:r>
              <w:rPr>
                <w:rFonts w:ascii="Liberation Mono" w:hAnsi="Liberation Mono" w:eastAsia="Liberation Mono"/>
                <w:b w:val="0"/>
                <w:i w:val="0"/>
                <w:color w:val="101828"/>
                <w:sz w:val="15"/>
              </w:rPr>
              <w:t xml:space="preserve">  anonymous upload -&gt; process -&gt; query -&gt; account claim -&gt; delete</w:t>
              <w:br/>
            </w:r>
            <w:r>
              <w:rPr>
                <w:rFonts w:ascii="Liberation Mono" w:hAnsi="Liberation Mono" w:eastAsia="Liberation Mono"/>
                <w:b w:val="0"/>
                <w:i w:val="0"/>
                <w:color w:val="101828"/>
                <w:sz w:val="15"/>
              </w:rPr>
              <w:t xml:space="preserve">  old-owner denial and new-owner access</w:t>
              <w:br/>
            </w:r>
            <w:r>
              <w:rPr>
                <w:rFonts w:ascii="Liberation Mono" w:hAnsi="Liberation Mono" w:eastAsia="Liberation Mono"/>
                <w:b w:val="0"/>
                <w:i w:val="0"/>
                <w:color w:val="101828"/>
                <w:sz w:val="15"/>
              </w:rPr>
              <w:t xml:space="preserve">  failed OCR, failed embedding, restart, duplicate job, lease expiry</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Stage 4: artifact</w:t>
              <w:br/>
            </w:r>
            <w:r>
              <w:rPr>
                <w:rFonts w:ascii="Liberation Mono" w:hAnsi="Liberation Mono" w:eastAsia="Liberation Mono"/>
                <w:b w:val="0"/>
                <w:i w:val="0"/>
                <w:color w:val="101828"/>
                <w:sz w:val="15"/>
              </w:rPr>
              <w:t xml:space="preserve">  reproducible image tagged by commit SHA</w:t>
              <w:br/>
            </w:r>
            <w:r>
              <w:rPr>
                <w:rFonts w:ascii="Liberation Mono" w:hAnsi="Liberation Mono" w:eastAsia="Liberation Mono"/>
                <w:b w:val="0"/>
                <w:i w:val="0"/>
                <w:color w:val="101828"/>
                <w:sz w:val="15"/>
              </w:rPr>
              <w:t xml:space="preserve">  SBOM and vulnerability scan</w:t>
              <w:br/>
            </w:r>
            <w:r>
              <w:rPr>
                <w:rFonts w:ascii="Liberation Mono" w:hAnsi="Liberation Mono" w:eastAsia="Liberation Mono"/>
                <w:b w:val="0"/>
                <w:i w:val="0"/>
                <w:color w:val="101828"/>
                <w:sz w:val="15"/>
              </w:rPr>
              <w:t xml:space="preserve">  immutable registry digest</w:t>
              <w:br/>
            </w:r>
            <w:r>
              <w:rPr>
                <w:rFonts w:ascii="Liberation Mono" w:hAnsi="Liberation Mono" w:eastAsia="Liberation Mono"/>
                <w:b w:val="0"/>
                <w:i w:val="0"/>
                <w:color w:val="101828"/>
                <w:sz w:val="15"/>
              </w:rPr>
              <w:t xml:space="preserve">  Flutter signed release artifacts</w:t>
              <w:br/>
            </w:r>
            <w:r>
              <w:rPr>
                <w:rFonts w:ascii="Liberation Mono" w:hAnsi="Liberation Mono" w:eastAsia="Liberation Mono"/>
                <w:b w:val="0"/>
                <w:i w:val="0"/>
                <w:color w:val="101828"/>
                <w:sz w:val="15"/>
              </w:rPr>
              <w:br/>
            </w:r>
            <w:r>
              <w:rPr>
                <w:rFonts w:ascii="Liberation Mono" w:hAnsi="Liberation Mono" w:eastAsia="Liberation Mono"/>
                <w:b w:val="0"/>
                <w:i w:val="0"/>
                <w:color w:val="101828"/>
                <w:sz w:val="15"/>
              </w:rPr>
              <w:t>Stage 5: pre-release verification</w:t>
              <w:br/>
            </w:r>
            <w:r>
              <w:rPr>
                <w:rFonts w:ascii="Liberation Mono" w:hAnsi="Liberation Mono" w:eastAsia="Liberation Mono"/>
                <w:b w:val="0"/>
                <w:i w:val="0"/>
                <w:color w:val="101828"/>
                <w:sz w:val="15"/>
              </w:rPr>
              <w:t xml:space="preserve">  deploy to staging</w:t>
              <w:br/>
            </w:r>
            <w:r>
              <w:rPr>
                <w:rFonts w:ascii="Liberation Mono" w:hAnsi="Liberation Mono" w:eastAsia="Liberation Mono"/>
                <w:b w:val="0"/>
                <w:i w:val="0"/>
                <w:color w:val="101828"/>
                <w:sz w:val="15"/>
              </w:rPr>
              <w:t xml:space="preserve">  smoke tests against actual headers, auth, storage, provider APIs</w:t>
              <w:br/>
            </w:r>
            <w:r>
              <w:rPr>
                <w:rFonts w:ascii="Liberation Mono" w:hAnsi="Liberation Mono" w:eastAsia="Liberation Mono"/>
                <w:b w:val="0"/>
                <w:i w:val="0"/>
                <w:color w:val="101828"/>
                <w:sz w:val="15"/>
              </w:rPr>
              <w:t xml:space="preserve">  latency and cost budgets</w:t>
              <w:br/>
            </w:r>
            <w:r>
              <w:rPr>
                <w:rFonts w:ascii="Liberation Mono" w:hAnsi="Liberation Mono" w:eastAsia="Liberation Mono"/>
                <w:b w:val="0"/>
                <w:i w:val="0"/>
                <w:color w:val="101828"/>
                <w:sz w:val="15"/>
              </w:rPr>
              <w:t xml:space="preserve">  deletion evidence and rollback drill</w:t>
            </w:r>
          </w:p>
        </w:tc>
      </w:tr>
    </w:tbl>
    <w:p>
      <w:pPr>
        <w:spacing w:after="0"/>
      </w:pPr>
    </w:p>
    <w:p>
      <w:pPr>
        <w:pStyle w:val="Heading2"/>
        <w:spacing w:before="160" w:after="100"/>
        <w:keepNext/>
      </w:pPr>
      <w:r>
        <w:rPr>
          <w:rFonts w:ascii="Liberation Sans" w:hAnsi="Liberation Sans" w:eastAsia="Liberation Sans"/>
          <w:b/>
          <w:i w:val="0"/>
          <w:color w:val="145BC7"/>
          <w:sz w:val="26"/>
        </w:rPr>
        <w:t>10.3 Observability model</w:t>
      </w:r>
    </w:p>
    <w:tbl>
      <w:tblPr>
        <w:tblW w:type="auto" w:w="0"/>
        <w:jc w:val="center"/>
        <w:tblLayout w:type="fixed"/>
        <w:tblLook w:firstColumn="1" w:firstRow="1" w:lastColumn="0" w:lastRow="0" w:noHBand="0" w:noVBand="1" w:val="04A0"/>
      </w:tblPr>
      <w:tblGrid>
        <w:gridCol w:w="1656"/>
        <w:gridCol w:w="4536"/>
        <w:gridCol w:w="3744"/>
      </w:tblGrid>
      <w:tr>
        <w:trPr>
          <w:tblHeader w:val="true"/>
          <w:cantSplit/>
        </w:trPr>
        <w:tc>
          <w:tcPr>
            <w:tcW w:type="dxa" w:w="1655"/>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Signal</w:t>
            </w:r>
          </w:p>
        </w:tc>
        <w:tc>
          <w:tcPr>
            <w:tcW w:type="dxa" w:w="453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Dimensions</w:t>
            </w:r>
          </w:p>
        </w:tc>
        <w:tc>
          <w:tcPr>
            <w:tcW w:type="dxa" w:w="374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Never include</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Upload acceptance</w:t>
            </w:r>
          </w:p>
        </w:tc>
        <w:tc>
          <w:tcPr>
            <w:tcW w:type="dxa" w:w="45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route, media type, byte bucket, owner hash, idempotent replay, result</w:t>
            </w:r>
          </w:p>
        </w:tc>
        <w:tc>
          <w:tcPr>
            <w:tcW w:type="dxa" w:w="37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filename, source bytes, email, phone</w:t>
            </w:r>
          </w:p>
        </w:tc>
      </w:tr>
      <w:tr>
        <w:trPr>
          <w:cantSplit/>
        </w:trPr>
        <w:tc>
          <w:tcPr>
            <w:tcW w:type="dxa" w:w="1655"/>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Processing stage</w:t>
            </w:r>
          </w:p>
        </w:tc>
        <w:tc>
          <w:tcPr>
            <w:tcW w:type="dxa" w:w="45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job ID, document hash, stage, attempt, duration, error code</w:t>
            </w:r>
          </w:p>
        </w:tc>
        <w:tc>
          <w:tcPr>
            <w:tcW w:type="dxa" w:w="37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OCR text, extracted fields, object path</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Model call</w:t>
            </w:r>
          </w:p>
        </w:tc>
        <w:tc>
          <w:tcPr>
            <w:tcW w:type="dxa" w:w="45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task, provider, model, prompt version, tokens, latency, result</w:t>
            </w:r>
          </w:p>
        </w:tc>
        <w:tc>
          <w:tcPr>
            <w:tcW w:type="dxa" w:w="37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prompt content, document content, answer</w:t>
            </w:r>
          </w:p>
        </w:tc>
      </w:tr>
      <w:tr>
        <w:trPr>
          <w:cantSplit/>
        </w:trPr>
        <w:tc>
          <w:tcPr>
            <w:tcW w:type="dxa" w:w="1655"/>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Retrieval</w:t>
            </w:r>
          </w:p>
        </w:tc>
        <w:tc>
          <w:tcPr>
            <w:tcW w:type="dxa" w:w="45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route, index version, top-k, score bands, filter count</w:t>
            </w:r>
          </w:p>
        </w:tc>
        <w:tc>
          <w:tcPr>
            <w:tcW w:type="dxa" w:w="37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query text, retrieved text</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Answer validation</w:t>
            </w:r>
          </w:p>
        </w:tc>
        <w:tc>
          <w:tcPr>
            <w:tcW w:type="dxa" w:w="45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citation count, valid/invalid count, confidence band</w:t>
            </w:r>
          </w:p>
        </w:tc>
        <w:tc>
          <w:tcPr>
            <w:tcW w:type="dxa" w:w="37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question, answer, quotes</w:t>
            </w:r>
          </w:p>
        </w:tc>
      </w:tr>
      <w:tr>
        <w:trPr>
          <w:cantSplit/>
        </w:trPr>
        <w:tc>
          <w:tcPr>
            <w:tcW w:type="dxa" w:w="1655"/>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Deletion</w:t>
            </w:r>
          </w:p>
        </w:tc>
        <w:tc>
          <w:tcPr>
            <w:tcW w:type="dxa" w:w="453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job, artifact type, attempt, result</w:t>
            </w:r>
          </w:p>
        </w:tc>
        <w:tc>
          <w:tcPr>
            <w:tcW w:type="dxa" w:w="37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raw path, source content</w:t>
            </w:r>
          </w:p>
        </w:tc>
      </w:tr>
      <w:tr>
        <w:trPr>
          <w:cantSplit/>
        </w:trPr>
        <w:tc>
          <w:tcPr>
            <w:tcW w:type="dxa" w:w="1655"/>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Mobile sync</w:t>
            </w:r>
          </w:p>
        </w:tc>
        <w:tc>
          <w:tcPr>
            <w:tcW w:type="dxa" w:w="453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operation type, state, retry count, network class</w:t>
            </w:r>
          </w:p>
        </w:tc>
        <w:tc>
          <w:tcPr>
            <w:tcW w:type="dxa" w:w="37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policy values, contact data</w:t>
            </w:r>
          </w:p>
        </w:tc>
      </w:tr>
    </w:tbl>
    <w:p>
      <w:pPr>
        <w:spacing w:after="0"/>
      </w:pPr>
    </w:p>
    <w:p>
      <w:pPr>
        <w:pStyle w:val="Heading2"/>
        <w:spacing w:before="160" w:after="100"/>
        <w:keepNext/>
      </w:pPr>
      <w:r>
        <w:rPr>
          <w:rFonts w:ascii="Liberation Sans" w:hAnsi="Liberation Sans" w:eastAsia="Liberation Sans"/>
          <w:b/>
          <w:i w:val="0"/>
          <w:color w:val="145BC7"/>
          <w:sz w:val="26"/>
        </w:rPr>
        <w:t>10.4 Liveness and readiness</w:t>
      </w:r>
    </w:p>
    <w:tbl>
      <w:tblPr>
        <w:tblW w:type="auto" w:w="0"/>
        <w:jc w:val="center"/>
        <w:tblLayout w:type="fixed"/>
        <w:tblLook w:firstColumn="1" w:firstRow="1" w:lastColumn="0" w:lastRow="0" w:noHBand="0" w:noVBand="1" w:val="04A0"/>
      </w:tblPr>
      <w:tblGrid>
        <w:gridCol w:w="1584"/>
        <w:gridCol w:w="4392"/>
        <w:gridCol w:w="3960"/>
      </w:tblGrid>
      <w:tr>
        <w:trPr>
          <w:tblHeader w:val="true"/>
          <w:cantSplit/>
        </w:trPr>
        <w:tc>
          <w:tcPr>
            <w:tcW w:type="dxa" w:w="158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Endpoint</w:t>
            </w:r>
          </w:p>
        </w:tc>
        <w:tc>
          <w:tcPr>
            <w:tcW w:type="dxa" w:w="4392"/>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Meaning</w:t>
            </w:r>
          </w:p>
        </w:tc>
        <w:tc>
          <w:tcPr>
            <w:tcW w:type="dxa" w:w="396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Dependency policy</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/livez</w:t>
            </w:r>
          </w:p>
        </w:tc>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Process is alive and event loop responds</w:t>
            </w:r>
          </w:p>
        </w:tc>
        <w:tc>
          <w:tcPr>
            <w:tcW w:type="dxa" w:w="39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No external calls.</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/readyz</w:t>
            </w:r>
          </w:p>
        </w:tc>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Can accept new requests under local configuration</w:t>
            </w:r>
          </w:p>
        </w:tc>
        <w:tc>
          <w:tcPr>
            <w:tcW w:type="dxa" w:w="39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Check startup composition and DB connection with strict timeout.</w:t>
            </w:r>
          </w:p>
        </w:tc>
      </w:tr>
      <w:tr>
        <w:trPr>
          <w:cantSplit/>
        </w:trPr>
        <w:tc>
          <w:tcPr>
            <w:tcW w:type="dxa" w:w="158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/dependencies</w:t>
            </w:r>
          </w:p>
        </w:tc>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Operator-only dependency status</w:t>
            </w:r>
          </w:p>
        </w:tc>
        <w:tc>
          <w:tcPr>
            <w:tcW w:type="dxa" w:w="39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Supabase, Storage, model providers, job backlog, migrations. Does not control liveness.</w:t>
            </w:r>
          </w:p>
        </w:tc>
      </w:tr>
      <w:tr>
        <w:trPr>
          <w:cantSplit/>
        </w:trPr>
        <w:tc>
          <w:tcPr>
            <w:tcW w:type="dxa" w:w="158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/metrics</w:t>
            </w:r>
          </w:p>
        </w:tc>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Aggregated safe metrics</w:t>
            </w:r>
          </w:p>
        </w:tc>
        <w:tc>
          <w:tcPr>
            <w:tcW w:type="dxa" w:w="39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Admin/monitoring auth only.</w:t>
            </w:r>
          </w:p>
        </w:tc>
      </w:tr>
    </w:tbl>
    <w:p>
      <w:pPr>
        <w:spacing w:after="0"/>
      </w:pPr>
    </w:p>
    <w:p>
      <w:pPr>
        <w:spacing w:after="40"/>
      </w:pPr>
    </w:p>
    <w:p>
      <w:bookmarkStart w:id="11" w:name="remediation_plan"/>
      <w:pPr>
        <w:pStyle w:val="Heading1"/>
        <w:spacing w:before="220" w:after="100"/>
        <w:keepNext/>
      </w:pPr>
      <w:r>
        <w:rPr>
          <w:rFonts w:ascii="Liberation Sans" w:hAnsi="Liberation Sans" w:eastAsia="Liberation Sans"/>
          <w:b/>
          <w:i w:val="0"/>
          <w:color w:val="071B33"/>
          <w:sz w:val="34"/>
        </w:rPr>
        <w:t>11. Ordered remediation plan</w:t>
      </w:r>
      <w:bookmarkEnd w:id="11"/>
    </w:p>
    <w:p>
      <w:pPr>
        <w:spacing w:after="100" w:line="259" w:lineRule="auto"/>
      </w:pPr>
      <w:r>
        <w:rPr>
          <w:rFonts w:ascii="Liberation Sans" w:hAnsi="Liberation Sans" w:eastAsia="Liberation Sans"/>
          <w:b w:val="0"/>
          <w:i w:val="0"/>
          <w:color w:val="101828"/>
          <w:sz w:val="20"/>
        </w:rPr>
        <w:t>The order matters. Do not start by polishing more screens or adding models. First make the current promise true end to end, then improve retrieval, then expand the product.</w:t>
      </w:r>
    </w:p>
    <w:p>
      <w:pPr>
        <w:pStyle w:val="Heading2"/>
        <w:spacing w:before="160" w:after="100"/>
        <w:keepNext/>
      </w:pPr>
      <w:r>
        <w:rPr>
          <w:rFonts w:ascii="Liberation Sans" w:hAnsi="Liberation Sans" w:eastAsia="Liberation Sans"/>
          <w:b/>
          <w:i w:val="0"/>
          <w:color w:val="145BC7"/>
          <w:sz w:val="26"/>
        </w:rPr>
        <w:t>Phase A - Freeze the product boundary and canonical truths</w:t>
      </w:r>
    </w:p>
    <w:p>
      <w:pPr>
        <w:pStyle w:val="ListNumber"/>
        <w:spacing w:after="60"/>
        <w:ind w:left="317" w:hanging="173"/>
      </w:pPr>
      <w:r>
        <w:rPr>
          <w:rFonts w:ascii="Liberation Sans" w:hAnsi="Liberation Sans" w:eastAsia="Liberation Sans"/>
          <w:b w:val="0"/>
          <w:i w:val="0"/>
          <w:color w:val="101828"/>
          <w:sz w:val="20"/>
        </w:rPr>
        <w:t>Declare the launch promise and prohibited advisory claims in one product doctrine document.</w:t>
      </w:r>
    </w:p>
    <w:p>
      <w:pPr>
        <w:pStyle w:val="ListNumber"/>
        <w:spacing w:after="60"/>
        <w:ind w:left="317" w:hanging="173"/>
      </w:pPr>
      <w:r>
        <w:rPr>
          <w:rFonts w:ascii="Liberation Sans" w:hAnsi="Liberation Sans" w:eastAsia="Liberation Sans"/>
          <w:b w:val="0"/>
          <w:i w:val="0"/>
          <w:color w:val="101828"/>
          <w:sz w:val="20"/>
        </w:rPr>
        <w:t>Declare Supabase Postgres, pgvector, and private Storage as the only production truth sources.</w:t>
      </w:r>
    </w:p>
    <w:p>
      <w:pPr>
        <w:pStyle w:val="ListNumber"/>
        <w:spacing w:after="60"/>
        <w:ind w:left="317" w:hanging="173"/>
      </w:pPr>
      <w:r>
        <w:rPr>
          <w:rFonts w:ascii="Liberation Sans" w:hAnsi="Liberation Sans" w:eastAsia="Liberation Sans"/>
          <w:b w:val="0"/>
          <w:i w:val="0"/>
          <w:color w:val="101828"/>
          <w:sz w:val="20"/>
        </w:rPr>
        <w:t>Archive obsolete AWS/Azure/multi-service documents and root deployment scripts.</w:t>
      </w:r>
    </w:p>
    <w:p>
      <w:pPr>
        <w:pStyle w:val="ListNumber"/>
        <w:spacing w:after="60"/>
        <w:ind w:left="317" w:hanging="173"/>
      </w:pPr>
      <w:r>
        <w:rPr>
          <w:rFonts w:ascii="Liberation Sans" w:hAnsi="Liberation Sans" w:eastAsia="Liberation Sans"/>
          <w:b w:val="0"/>
          <w:i w:val="0"/>
          <w:color w:val="101828"/>
          <w:sz w:val="20"/>
        </w:rPr>
        <w:t>Name the canonical entities and lifecycle states. Remove ambiguous received/uploaded/completed/ready aliases.</w:t>
      </w:r>
    </w:p>
    <w:p>
      <w:pPr>
        <w:pStyle w:val="ListNumber"/>
        <w:spacing w:after="60"/>
        <w:ind w:left="317" w:hanging="173"/>
      </w:pPr>
      <w:r>
        <w:rPr>
          <w:rFonts w:ascii="Liberation Sans" w:hAnsi="Liberation Sans" w:eastAsia="Liberation Sans"/>
          <w:b w:val="0"/>
          <w:i w:val="0"/>
          <w:color w:val="101828"/>
          <w:sz w:val="20"/>
        </w:rPr>
        <w:t>Create an OpenAPI contract and one generated or hand-maintained typed mobile client surface.</w:t>
      </w:r>
    </w:p>
    <w:p>
      <w:pPr>
        <w:pStyle w:val="Heading2"/>
        <w:spacing w:before="160" w:after="100"/>
        <w:keepNext/>
      </w:pPr>
      <w:r>
        <w:rPr>
          <w:rFonts w:ascii="Liberation Sans" w:hAnsi="Liberation Sans" w:eastAsia="Liberation Sans"/>
          <w:b/>
          <w:i w:val="0"/>
          <w:color w:val="145BC7"/>
          <w:sz w:val="26"/>
        </w:rPr>
        <w:t>Phase B - Repair ownership, deletion, and client integration</w:t>
      </w:r>
    </w:p>
    <w:p>
      <w:pPr>
        <w:pStyle w:val="ListNumber"/>
        <w:spacing w:after="60"/>
        <w:ind w:left="317" w:hanging="173"/>
      </w:pPr>
      <w:r>
        <w:rPr>
          <w:rFonts w:ascii="Liberation Sans" w:hAnsi="Liberation Sans" w:eastAsia="Liberation Sans"/>
          <w:b w:val="0"/>
          <w:i w:val="0"/>
          <w:color w:val="101828"/>
          <w:sz w:val="20"/>
        </w:rPr>
        <w:t>Centralize mobile networking and migrate every raw Dio client to it.</w:t>
      </w:r>
    </w:p>
    <w:p>
      <w:pPr>
        <w:pStyle w:val="ListNumber"/>
        <w:spacing w:after="60"/>
        <w:ind w:left="317" w:hanging="173"/>
      </w:pPr>
      <w:r>
        <w:rPr>
          <w:rFonts w:ascii="Liberation Sans" w:hAnsi="Liberation Sans" w:eastAsia="Liberation Sans"/>
          <w:b w:val="0"/>
          <w:i w:val="0"/>
          <w:color w:val="101828"/>
          <w:sz w:val="20"/>
        </w:rPr>
        <w:t>Fix account claim as one transaction across documents, chunks, summaries, evidence, and related owner data.</w:t>
      </w:r>
    </w:p>
    <w:p>
      <w:pPr>
        <w:pStyle w:val="ListNumber"/>
        <w:spacing w:after="60"/>
        <w:ind w:left="317" w:hanging="173"/>
      </w:pPr>
      <w:r>
        <w:rPr>
          <w:rFonts w:ascii="Liberation Sans" w:hAnsi="Liberation Sans" w:eastAsia="Liberation Sans"/>
          <w:b w:val="0"/>
          <w:i w:val="0"/>
          <w:color w:val="101828"/>
          <w:sz w:val="20"/>
        </w:rPr>
        <w:t>Implement remote-first document deletion with offline deletion intents.</w:t>
      </w:r>
    </w:p>
    <w:p>
      <w:pPr>
        <w:pStyle w:val="ListNumber"/>
        <w:spacing w:after="60"/>
        <w:ind w:left="317" w:hanging="173"/>
      </w:pPr>
      <w:r>
        <w:rPr>
          <w:rFonts w:ascii="Liberation Sans" w:hAnsi="Liberation Sans" w:eastAsia="Liberation Sans"/>
          <w:b w:val="0"/>
          <w:i w:val="0"/>
          <w:color w:val="101828"/>
          <w:sz w:val="20"/>
        </w:rPr>
        <w:t>Implement a resumable account-erasure job and truthful completion states.</w:t>
      </w:r>
    </w:p>
    <w:p>
      <w:pPr>
        <w:pStyle w:val="ListNumber"/>
        <w:spacing w:after="60"/>
        <w:ind w:left="317" w:hanging="173"/>
      </w:pPr>
      <w:r>
        <w:rPr>
          <w:rFonts w:ascii="Liberation Sans" w:hAnsi="Liberation Sans" w:eastAsia="Liberation Sans"/>
          <w:b w:val="0"/>
          <w:i w:val="0"/>
          <w:color w:val="101828"/>
          <w:sz w:val="20"/>
        </w:rPr>
        <w:t>Move analytics to durable storage and require admin authorization for aggregate/operator endpoints.</w:t>
      </w:r>
    </w:p>
    <w:p>
      <w:pPr>
        <w:pStyle w:val="ListNumber"/>
        <w:spacing w:after="60"/>
        <w:ind w:left="317" w:hanging="173"/>
      </w:pPr>
      <w:r>
        <w:rPr>
          <w:rFonts w:ascii="Liberation Sans" w:hAnsi="Liberation Sans" w:eastAsia="Liberation Sans"/>
          <w:b w:val="0"/>
          <w:i w:val="0"/>
          <w:color w:val="101828"/>
          <w:sz w:val="20"/>
        </w:rPr>
        <w:t>Remove sensitive logging and add automated log-schema tests.</w:t>
      </w:r>
    </w:p>
    <w:p>
      <w:pPr>
        <w:pStyle w:val="Heading2"/>
        <w:spacing w:before="160" w:after="100"/>
        <w:keepNext/>
      </w:pPr>
      <w:r>
        <w:rPr>
          <w:rFonts w:ascii="Liberation Sans" w:hAnsi="Liberation Sans" w:eastAsia="Liberation Sans"/>
          <w:b/>
          <w:i w:val="0"/>
          <w:color w:val="145BC7"/>
          <w:sz w:val="26"/>
        </w:rPr>
        <w:t>Phase C - Make processing durable and semantically correct</w:t>
      </w:r>
    </w:p>
    <w:p>
      <w:pPr>
        <w:pStyle w:val="ListNumber"/>
        <w:spacing w:after="60"/>
        <w:ind w:left="317" w:hanging="173"/>
      </w:pPr>
      <w:r>
        <w:rPr>
          <w:rFonts w:ascii="Liberation Sans" w:hAnsi="Liberation Sans" w:eastAsia="Liberation Sans"/>
          <w:b w:val="0"/>
          <w:i w:val="0"/>
          <w:color w:val="101828"/>
          <w:sz w:val="20"/>
        </w:rPr>
        <w:t>Replace request-bound BackgroundTasks with durable jobs and idempotent stage writes.</w:t>
      </w:r>
    </w:p>
    <w:p>
      <w:pPr>
        <w:pStyle w:val="ListNumber"/>
        <w:spacing w:after="60"/>
        <w:ind w:left="317" w:hanging="173"/>
      </w:pPr>
      <w:r>
        <w:rPr>
          <w:rFonts w:ascii="Liberation Sans" w:hAnsi="Liberation Sans" w:eastAsia="Liberation Sans"/>
          <w:b w:val="0"/>
          <w:i w:val="0"/>
          <w:color w:val="101828"/>
          <w:sz w:val="20"/>
        </w:rPr>
        <w:t>Use secure temporary files with generated names and unconditional cleanup.</w:t>
      </w:r>
    </w:p>
    <w:p>
      <w:pPr>
        <w:pStyle w:val="ListNumber"/>
        <w:spacing w:after="60"/>
        <w:ind w:left="317" w:hanging="173"/>
      </w:pPr>
      <w:r>
        <w:rPr>
          <w:rFonts w:ascii="Liberation Sans" w:hAnsi="Liberation Sans" w:eastAsia="Liberation Sans"/>
          <w:b w:val="0"/>
          <w:i w:val="0"/>
          <w:color w:val="101828"/>
          <w:sz w:val="20"/>
        </w:rPr>
        <w:t>Create page, section, extraction, field-fact, and field-evidence records.</w:t>
      </w:r>
    </w:p>
    <w:p>
      <w:pPr>
        <w:pStyle w:val="ListNumber"/>
        <w:spacing w:after="60"/>
        <w:ind w:left="317" w:hanging="173"/>
      </w:pPr>
      <w:r>
        <w:rPr>
          <w:rFonts w:ascii="Liberation Sans" w:hAnsi="Liberation Sans" w:eastAsia="Liberation Sans"/>
          <w:b w:val="0"/>
          <w:i w:val="0"/>
          <w:color w:val="101828"/>
          <w:sz w:val="20"/>
        </w:rPr>
        <w:t>Define READY invariants and a reconciliation query. Publish PARTIAL and NEEDS_ACTION states.</w:t>
      </w:r>
    </w:p>
    <w:p>
      <w:pPr>
        <w:pStyle w:val="ListNumber"/>
        <w:spacing w:after="60"/>
        <w:ind w:left="317" w:hanging="173"/>
      </w:pPr>
      <w:r>
        <w:rPr>
          <w:rFonts w:ascii="Liberation Sans" w:hAnsi="Liberation Sans" w:eastAsia="Liberation Sans"/>
          <w:b w:val="0"/>
          <w:i w:val="0"/>
          <w:color w:val="101828"/>
          <w:sz w:val="20"/>
        </w:rPr>
        <w:t>Pin an embedding model per index version and remove dimension-changing runtime fallback.</w:t>
      </w:r>
    </w:p>
    <w:p>
      <w:pPr>
        <w:pStyle w:val="ListNumber"/>
        <w:spacing w:after="60"/>
        <w:ind w:left="317" w:hanging="173"/>
      </w:pPr>
      <w:r>
        <w:rPr>
          <w:rFonts w:ascii="Liberation Sans" w:hAnsi="Liberation Sans" w:eastAsia="Liberation Sans"/>
          <w:b w:val="0"/>
          <w:i w:val="0"/>
          <w:color w:val="101828"/>
          <w:sz w:val="20"/>
        </w:rPr>
        <w:t>Make re-ingestion replace one version atomically and remove stale chunks.</w:t>
      </w:r>
    </w:p>
    <w:p>
      <w:pPr>
        <w:pStyle w:val="Heading2"/>
        <w:spacing w:before="160" w:after="100"/>
        <w:keepNext/>
      </w:pPr>
      <w:r>
        <w:rPr>
          <w:rFonts w:ascii="Liberation Sans" w:hAnsi="Liberation Sans" w:eastAsia="Liberation Sans"/>
          <w:b/>
          <w:i w:val="0"/>
          <w:color w:val="145BC7"/>
          <w:sz w:val="26"/>
        </w:rPr>
        <w:t>Phase D - Simplify and validate retrieval</w:t>
      </w:r>
    </w:p>
    <w:p>
      <w:pPr>
        <w:pStyle w:val="ListNumber"/>
        <w:spacing w:after="60"/>
        <w:ind w:left="317" w:hanging="173"/>
      </w:pPr>
      <w:r>
        <w:rPr>
          <w:rFonts w:ascii="Liberation Sans" w:hAnsi="Liberation Sans" w:eastAsia="Liberation Sans"/>
          <w:b w:val="0"/>
          <w:i w:val="0"/>
          <w:color w:val="101828"/>
          <w:sz w:val="20"/>
        </w:rPr>
        <w:t>Implement SQL-level exact/entity search with owner, document, version, and readiness filters.</w:t>
      </w:r>
    </w:p>
    <w:p>
      <w:pPr>
        <w:pStyle w:val="ListNumber"/>
        <w:spacing w:after="60"/>
        <w:ind w:left="317" w:hanging="173"/>
      </w:pPr>
      <w:r>
        <w:rPr>
          <w:rFonts w:ascii="Liberation Sans" w:hAnsi="Liberation Sans" w:eastAsia="Liberation Sans"/>
          <w:b w:val="0"/>
          <w:i w:val="0"/>
          <w:color w:val="101828"/>
          <w:sz w:val="20"/>
        </w:rPr>
        <w:t>Move document filters into the pgvector RPC before ranking and limiting.</w:t>
      </w:r>
    </w:p>
    <w:p>
      <w:pPr>
        <w:pStyle w:val="ListNumber"/>
        <w:spacing w:after="60"/>
        <w:ind w:left="317" w:hanging="173"/>
      </w:pPr>
      <w:r>
        <w:rPr>
          <w:rFonts w:ascii="Liberation Sans" w:hAnsi="Liberation Sans" w:eastAsia="Liberation Sans"/>
          <w:b w:val="0"/>
          <w:i w:val="0"/>
          <w:color w:val="101828"/>
          <w:sz w:val="20"/>
        </w:rPr>
        <w:t>Add citation validation and field-evidence validation.</w:t>
      </w:r>
    </w:p>
    <w:p>
      <w:pPr>
        <w:pStyle w:val="ListNumber"/>
        <w:spacing w:after="60"/>
        <w:ind w:left="317" w:hanging="173"/>
      </w:pPr>
      <w:r>
        <w:rPr>
          <w:rFonts w:ascii="Liberation Sans" w:hAnsi="Liberation Sans" w:eastAsia="Liberation Sans"/>
          <w:b w:val="0"/>
          <w:i w:val="0"/>
          <w:color w:val="101828"/>
          <w:sz w:val="20"/>
        </w:rPr>
        <w:t>Gate HyDE, query variants, contextualization, and reranking behind measured query classes and feature flags.</w:t>
      </w:r>
    </w:p>
    <w:p>
      <w:pPr>
        <w:pStyle w:val="ListNumber"/>
        <w:spacing w:after="60"/>
        <w:ind w:left="317" w:hanging="173"/>
      </w:pPr>
      <w:r>
        <w:rPr>
          <w:rFonts w:ascii="Liberation Sans" w:hAnsi="Liberation Sans" w:eastAsia="Liberation Sans"/>
          <w:b w:val="0"/>
          <w:i w:val="0"/>
          <w:color w:val="101828"/>
          <w:sz w:val="20"/>
        </w:rPr>
        <w:t>Define latency and cost budgets by task. Record the actual route used in the response and metrics.</w:t>
      </w:r>
    </w:p>
    <w:p>
      <w:pPr>
        <w:pStyle w:val="ListNumber"/>
        <w:spacing w:after="60"/>
        <w:ind w:left="317" w:hanging="173"/>
      </w:pPr>
      <w:r>
        <w:rPr>
          <w:rFonts w:ascii="Liberation Sans" w:hAnsi="Liberation Sans" w:eastAsia="Liberation Sans"/>
          <w:b w:val="0"/>
          <w:i w:val="0"/>
          <w:color w:val="101828"/>
          <w:sz w:val="20"/>
        </w:rPr>
        <w:t>Build an evaluation corpus of real policy question types, including missing information and adversarial instructions.</w:t>
      </w:r>
    </w:p>
    <w:p>
      <w:pPr>
        <w:pStyle w:val="Heading2"/>
        <w:spacing w:before="160" w:after="100"/>
        <w:keepNext/>
      </w:pPr>
      <w:r>
        <w:rPr>
          <w:rFonts w:ascii="Liberation Sans" w:hAnsi="Liberation Sans" w:eastAsia="Liberation Sans"/>
          <w:b/>
          <w:i w:val="0"/>
          <w:color w:val="145BC7"/>
          <w:sz w:val="26"/>
        </w:rPr>
        <w:t>Phase E - Rebuild product features on evidence</w:t>
      </w:r>
    </w:p>
    <w:p>
      <w:pPr>
        <w:pStyle w:val="ListNumber"/>
        <w:spacing w:after="60"/>
        <w:ind w:left="317" w:hanging="173"/>
      </w:pPr>
      <w:r>
        <w:rPr>
          <w:rFonts w:ascii="Liberation Sans" w:hAnsi="Liberation Sans" w:eastAsia="Liberation Sans"/>
          <w:b w:val="0"/>
          <w:i w:val="0"/>
          <w:color w:val="101828"/>
          <w:sz w:val="20"/>
        </w:rPr>
        <w:t>Emergency card uses an encrypted local projection of verified fields with last-updated state.</w:t>
      </w:r>
    </w:p>
    <w:p>
      <w:pPr>
        <w:pStyle w:val="ListNumber"/>
        <w:spacing w:after="60"/>
        <w:ind w:left="317" w:hanging="173"/>
      </w:pPr>
      <w:r>
        <w:rPr>
          <w:rFonts w:ascii="Liberation Sans" w:hAnsi="Liberation Sans" w:eastAsia="Liberation Sans"/>
          <w:b w:val="0"/>
          <w:i w:val="0"/>
          <w:color w:val="101828"/>
          <w:sz w:val="20"/>
        </w:rPr>
        <w:t>Renewal reminders come from verified dates and are invalidated when a newer policy version arrives.</w:t>
      </w:r>
    </w:p>
    <w:p>
      <w:pPr>
        <w:pStyle w:val="ListNumber"/>
        <w:spacing w:after="60"/>
        <w:ind w:left="317" w:hanging="173"/>
      </w:pPr>
      <w:r>
        <w:rPr>
          <w:rFonts w:ascii="Liberation Sans" w:hAnsi="Liberation Sans" w:eastAsia="Liberation Sans"/>
          <w:b w:val="0"/>
          <w:i w:val="0"/>
          <w:color w:val="101828"/>
          <w:sz w:val="20"/>
        </w:rPr>
        <w:t>Policy comparison compares evidence-backed fields and shows missing/conflicting data.</w:t>
      </w:r>
    </w:p>
    <w:p>
      <w:pPr>
        <w:pStyle w:val="ListNumber"/>
        <w:spacing w:after="60"/>
        <w:ind w:left="317" w:hanging="173"/>
      </w:pPr>
      <w:r>
        <w:rPr>
          <w:rFonts w:ascii="Liberation Sans" w:hAnsi="Liberation Sans" w:eastAsia="Liberation Sans"/>
          <w:b w:val="0"/>
          <w:i w:val="0"/>
          <w:color w:val="101828"/>
          <w:sz w:val="20"/>
        </w:rPr>
        <w:t>Coverage gaps become questions to verify, not purchase recommendations.</w:t>
      </w:r>
    </w:p>
    <w:p>
      <w:pPr>
        <w:pStyle w:val="ListNumber"/>
        <w:spacing w:after="60"/>
        <w:ind w:left="317" w:hanging="173"/>
      </w:pPr>
      <w:r>
        <w:rPr>
          <w:rFonts w:ascii="Liberation Sans" w:hAnsi="Liberation Sans" w:eastAsia="Liberation Sans"/>
          <w:b w:val="0"/>
          <w:i w:val="0"/>
          <w:color w:val="101828"/>
          <w:sz w:val="20"/>
        </w:rPr>
        <w:t>Claim assistance shows insurer-specific contacts, quoted requirements, and questions to ask, not approval predictions.</w:t>
      </w:r>
    </w:p>
    <w:p>
      <w:pPr>
        <w:pStyle w:val="ListNumber"/>
        <w:spacing w:after="60"/>
        <w:ind w:left="317" w:hanging="173"/>
      </w:pPr>
      <w:r>
        <w:rPr>
          <w:rFonts w:ascii="Liberation Sans" w:hAnsi="Liberation Sans" w:eastAsia="Liberation Sans"/>
          <w:b w:val="0"/>
          <w:i w:val="0"/>
          <w:color w:val="101828"/>
          <w:sz w:val="20"/>
        </w:rPr>
        <w:t>Family sharing is deferred until roles, consent, ownership, revocation, and audit are designed explicitly.</w:t>
      </w:r>
    </w:p>
    <w:p>
      <w:pPr>
        <w:pStyle w:val="Heading2"/>
        <w:spacing w:before="160" w:after="100"/>
        <w:keepNext/>
      </w:pPr>
      <w:r>
        <w:rPr>
          <w:rFonts w:ascii="Liberation Sans" w:hAnsi="Liberation Sans" w:eastAsia="Liberation Sans"/>
          <w:b/>
          <w:i w:val="0"/>
          <w:color w:val="145BC7"/>
          <w:sz w:val="26"/>
        </w:rPr>
        <w:t>11.1 What not to do</w:t>
      </w:r>
    </w:p>
    <w:p>
      <w:pPr>
        <w:pStyle w:val="ListBullet"/>
        <w:spacing w:after="60"/>
        <w:ind w:left="317" w:hanging="173"/>
      </w:pPr>
      <w:r>
        <w:rPr>
          <w:rFonts w:ascii="Liberation Sans" w:hAnsi="Liberation Sans" w:eastAsia="Liberation Sans"/>
          <w:b w:val="0"/>
          <w:i w:val="0"/>
          <w:color w:val="101828"/>
          <w:sz w:val="20"/>
        </w:rPr>
        <w:t>Do not split into microservices to solve code quality. The current failure is weak contracts, not insufficient network boundaries.</w:t>
      </w:r>
    </w:p>
    <w:p>
      <w:pPr>
        <w:pStyle w:val="ListBullet"/>
        <w:spacing w:after="60"/>
        <w:ind w:left="317" w:hanging="173"/>
      </w:pPr>
      <w:r>
        <w:rPr>
          <w:rFonts w:ascii="Liberation Sans" w:hAnsi="Liberation Sans" w:eastAsia="Liberation Sans"/>
          <w:b w:val="0"/>
          <w:i w:val="0"/>
          <w:color w:val="101828"/>
          <w:sz w:val="20"/>
        </w:rPr>
        <w:t>Do not add another vector database, cache, or model provider before the canonical Supabase path is correct.</w:t>
      </w:r>
    </w:p>
    <w:p>
      <w:pPr>
        <w:pStyle w:val="ListBullet"/>
        <w:spacing w:after="60"/>
        <w:ind w:left="317" w:hanging="173"/>
      </w:pPr>
      <w:r>
        <w:rPr>
          <w:rFonts w:ascii="Liberation Sans" w:hAnsi="Liberation Sans" w:eastAsia="Liberation Sans"/>
          <w:b w:val="0"/>
          <w:i w:val="0"/>
          <w:color w:val="101828"/>
          <w:sz w:val="20"/>
        </w:rPr>
        <w:t>Do not call a document ready because one model returned JSON.</w:t>
      </w:r>
    </w:p>
    <w:p>
      <w:pPr>
        <w:pStyle w:val="ListBullet"/>
        <w:spacing w:after="60"/>
        <w:ind w:left="317" w:hanging="173"/>
      </w:pPr>
      <w:r>
        <w:rPr>
          <w:rFonts w:ascii="Liberation Sans" w:hAnsi="Liberation Sans" w:eastAsia="Liberation Sans"/>
          <w:b w:val="0"/>
          <w:i w:val="0"/>
          <w:color w:val="101828"/>
          <w:sz w:val="20"/>
        </w:rPr>
        <w:t>Do not use model sophistication to compensate for missing page structure and evidence.</w:t>
      </w:r>
    </w:p>
    <w:p>
      <w:pPr>
        <w:pStyle w:val="ListBullet"/>
        <w:spacing w:after="60"/>
        <w:ind w:left="317" w:hanging="173"/>
      </w:pPr>
      <w:r>
        <w:rPr>
          <w:rFonts w:ascii="Liberation Sans" w:hAnsi="Liberation Sans" w:eastAsia="Liberation Sans"/>
          <w:b w:val="0"/>
          <w:i w:val="0"/>
          <w:color w:val="101828"/>
          <w:sz w:val="20"/>
        </w:rPr>
        <w:t>Do not preserve legacy paths merely because tests reference them. Move tests to the canonical contract.</w:t>
      </w:r>
    </w:p>
    <w:p>
      <w:pPr>
        <w:pStyle w:val="ListBullet"/>
        <w:spacing w:after="60"/>
        <w:ind w:left="317" w:hanging="173"/>
      </w:pPr>
      <w:r>
        <w:rPr>
          <w:rFonts w:ascii="Liberation Sans" w:hAnsi="Liberation Sans" w:eastAsia="Liberation Sans"/>
          <w:b w:val="0"/>
          <w:i w:val="0"/>
          <w:color w:val="101828"/>
          <w:sz w:val="20"/>
        </w:rPr>
        <w:t>Do not expand recommendations, family collaboration, or financial planning before deletion, provenance, and ownership are trustworthy.</w:t>
      </w:r>
    </w:p>
    <w:p>
      <w:pPr>
        <w:spacing w:after="40"/>
      </w:pPr>
    </w:p>
    <w:p>
      <w:bookmarkStart w:id="12" w:name="verification_plan"/>
      <w:pPr>
        <w:pStyle w:val="Heading1"/>
        <w:spacing w:before="220" w:after="100"/>
        <w:keepNext/>
      </w:pPr>
      <w:r>
        <w:rPr>
          <w:rFonts w:ascii="Liberation Sans" w:hAnsi="Liberation Sans" w:eastAsia="Liberation Sans"/>
          <w:b/>
          <w:i w:val="0"/>
          <w:color w:val="071B33"/>
          <w:sz w:val="34"/>
        </w:rPr>
        <w:t>12. Verification plan and release gates</w:t>
      </w:r>
      <w:bookmarkEnd w:id="12"/>
    </w:p>
    <w:p>
      <w:pPr>
        <w:spacing w:after="100" w:line="259" w:lineRule="auto"/>
      </w:pPr>
      <w:r>
        <w:rPr>
          <w:rFonts w:ascii="Liberation Sans" w:hAnsi="Liberation Sans" w:eastAsia="Liberation Sans"/>
          <w:b w:val="0"/>
          <w:i w:val="0"/>
          <w:color w:val="101828"/>
          <w:sz w:val="20"/>
        </w:rPr>
        <w:t>The following tests are the minimum evidence needed to move the primary path from T1 to T3/T4. Each test should create durable artifacts, assert the user-visible result, and inspect cleanup.</w:t>
      </w:r>
    </w:p>
    <w:tbl>
      <w:tblPr>
        <w:tblW w:type="auto" w:w="0"/>
        <w:jc w:val="center"/>
        <w:tblLayout w:type="fixed"/>
        <w:tblLook w:firstColumn="1" w:firstRow="1" w:lastColumn="0" w:lastRow="0" w:noHBand="0" w:noVBand="1" w:val="04A0"/>
      </w:tblPr>
      <w:tblGrid>
        <w:gridCol w:w="792"/>
        <w:gridCol w:w="2376"/>
        <w:gridCol w:w="5760"/>
        <w:gridCol w:w="792"/>
      </w:tblGrid>
      <w:tr>
        <w:trPr>
          <w:tblHeader w:val="true"/>
          <w:cantSplit/>
        </w:trPr>
        <w:tc>
          <w:tcPr>
            <w:tcW w:type="dxa" w:w="792"/>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ID</w:t>
            </w:r>
          </w:p>
        </w:tc>
        <w:tc>
          <w:tcPr>
            <w:tcW w:type="dxa" w:w="237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Scenario</w:t>
            </w:r>
          </w:p>
        </w:tc>
        <w:tc>
          <w:tcPr>
            <w:tcW w:type="dxa" w:w="576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Pass condition</w:t>
            </w:r>
          </w:p>
        </w:tc>
        <w:tc>
          <w:tcPr>
            <w:tcW w:type="dxa" w:w="792"/>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Tier</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V-01</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Anonymous digital PDF</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Upload -&gt; READY -&gt; field evidence -&gt; grounded answer</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V-02</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Scanned PDF without OCR assist</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NEEDS_OCR_ASSIST, never READY</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V-03</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Mixed text/image pages</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PARTIAL or OCR completion with page inventory</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V-04</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Encrypted PDF</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NEEDS_PASSWORD, safe retry, no raw temp residue</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V-05</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Duplicate upload</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One source/version/job/index only</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V-06</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Worker termination after 202</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Job resumes without user action or duplicate artifacts</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V-07</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Processing exceeds lease</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Lease renews; second worker cannot publish duplicate result</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V-08</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OpenAI embedding outage</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Job retries; no dimension switch; no READY state</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V-09</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Policy number exact lookup</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Correct SQL route under production Supabase backend</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V-10</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Document-specific query with many other policies</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Only requested version participates before limit/rank</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V-11</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Prompt injection inside policy text</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Answer ignores instructions and cites evidence only</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V-12</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Invalid model citation</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Validator rejects or repairs unsupported citation</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V-13</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Anonymous account claim</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New owner can list/query/delete; old owner denied everywhere</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V-14</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Mobile status polling</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Authenticated stage transitions and background completion</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V-15</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Mobile summary fetch</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One authenticated summary call, no 13-query fallback on contract success</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V-16</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Offline upload then reconnect</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One idempotent remote document; local state reconciles</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V-17</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Document deletion offline/online</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Deletion intent persists and all server/local artifacts disappear</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V-18</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Account deletion with injected storage failure</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 false success; job retries and eventually proves erasure</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V-19</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Analytics consent revoked</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 event collection, persistence, or sync after revocation</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V-20</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Operator analytics authorization</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Ordinary authenticated user receives denial</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T3</w:t>
            </w:r>
          </w:p>
        </w:tc>
      </w:tr>
      <w:tr>
        <w:trPr>
          <w:cantSplit/>
        </w:trPr>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V-21</w:t>
            </w:r>
          </w:p>
        </w:tc>
        <w:tc>
          <w:tcPr>
            <w:tcW w:type="dxa" w:w="23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Log privacy scan</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 source/query/answer/policy/contact/token data in logs</w:t>
            </w:r>
          </w:p>
        </w:tc>
        <w:tc>
          <w:tcPr>
            <w:tcW w:type="dxa" w:w="7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w:t>
            </w:r>
          </w:p>
        </w:tc>
      </w:tr>
      <w:tr>
        <w:trPr>
          <w:cantSplit/>
        </w:trPr>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V-22</w:t>
            </w:r>
          </w:p>
        </w:tc>
        <w:tc>
          <w:tcPr>
            <w:tcW w:type="dxa" w:w="23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CORS and security headers</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Actual mounted app headers match approved origins</w:t>
            </w:r>
          </w:p>
        </w:tc>
        <w:tc>
          <w:tcPr>
            <w:tcW w:type="dxa" w:w="7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w:t>
            </w:r>
          </w:p>
        </w:tc>
      </w:tr>
    </w:tbl>
    <w:p>
      <w:pPr>
        <w:spacing w:after="0"/>
      </w:pPr>
    </w:p>
    <w:p>
      <w:pPr>
        <w:pStyle w:val="Heading2"/>
        <w:spacing w:before="160" w:after="100"/>
        <w:keepNext/>
      </w:pPr>
      <w:r>
        <w:rPr>
          <w:rFonts w:ascii="Liberation Sans" w:hAnsi="Liberation Sans" w:eastAsia="Liberation Sans"/>
          <w:b/>
          <w:i w:val="0"/>
          <w:color w:val="145BC7"/>
          <w:sz w:val="26"/>
        </w:rPr>
        <w:t>12.1 Quantitative release budgets</w:t>
      </w:r>
    </w:p>
    <w:tbl>
      <w:tblPr>
        <w:tblW w:type="auto" w:w="0"/>
        <w:jc w:val="center"/>
        <w:tblLayout w:type="fixed"/>
        <w:tblLook w:firstColumn="1" w:firstRow="1" w:lastColumn="0" w:lastRow="0" w:noHBand="0" w:noVBand="1" w:val="04A0"/>
      </w:tblPr>
      <w:tblGrid>
        <w:gridCol w:w="1944"/>
        <w:gridCol w:w="2952"/>
        <w:gridCol w:w="4896"/>
      </w:tblGrid>
      <w:tr>
        <w:trPr>
          <w:tblHeader w:val="true"/>
          <w:cantSplit/>
        </w:trPr>
        <w:tc>
          <w:tcPr>
            <w:tcW w:type="dxa" w:w="194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Budget</w:t>
            </w:r>
          </w:p>
        </w:tc>
        <w:tc>
          <w:tcPr>
            <w:tcW w:type="dxa" w:w="2951"/>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Initial gate</w:t>
            </w:r>
          </w:p>
        </w:tc>
        <w:tc>
          <w:tcPr>
            <w:tcW w:type="dxa" w:w="489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6"/>
              </w:rPr>
              <w:t>Why</w:t>
            </w:r>
          </w:p>
        </w:tc>
      </w:tr>
      <w:tr>
        <w:trPr>
          <w:cantSplit/>
        </w:trPr>
        <w:tc>
          <w:tcPr>
            <w:tcW w:type="dxa" w:w="19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READY correctness</w:t>
            </w:r>
          </w:p>
        </w:tc>
        <w:tc>
          <w:tcPr>
            <w:tcW w:type="dxa" w:w="2951"/>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100% of READY fixtures satisfy all invariants</w:t>
            </w:r>
          </w:p>
        </w:tc>
        <w:tc>
          <w:tcPr>
            <w:tcW w:type="dxa" w:w="48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A false ready state contaminates every downstream feature.</w:t>
            </w:r>
          </w:p>
        </w:tc>
      </w:tr>
      <w:tr>
        <w:trPr>
          <w:cantSplit/>
        </w:trPr>
        <w:tc>
          <w:tcPr>
            <w:tcW w:type="dxa" w:w="19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Cross-owner leakage</w:t>
            </w:r>
          </w:p>
        </w:tc>
        <w:tc>
          <w:tcPr>
            <w:tcW w:type="dxa" w:w="2951"/>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0 findings across route, SQL, cache, logs, and migration tests</w:t>
            </w:r>
          </w:p>
        </w:tc>
        <w:tc>
          <w:tcPr>
            <w:tcW w:type="dxa" w:w="48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Ownership failure is catastrophic.</w:t>
            </w:r>
          </w:p>
        </w:tc>
      </w:tr>
      <w:tr>
        <w:trPr>
          <w:cantSplit/>
        </w:trPr>
        <w:tc>
          <w:tcPr>
            <w:tcW w:type="dxa" w:w="19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Citation validity</w:t>
            </w:r>
          </w:p>
        </w:tc>
        <w:tc>
          <w:tcPr>
            <w:tcW w:type="dxa" w:w="2951"/>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100% indices valid; 100% quotes grounded after normalization</w:t>
            </w:r>
          </w:p>
        </w:tc>
        <w:tc>
          <w:tcPr>
            <w:tcW w:type="dxa" w:w="48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Customer trust depends on verifiable evidence.</w:t>
            </w:r>
          </w:p>
        </w:tc>
      </w:tr>
      <w:tr>
        <w:trPr>
          <w:cantSplit/>
        </w:trPr>
        <w:tc>
          <w:tcPr>
            <w:tcW w:type="dxa" w:w="19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Deletion completion</w:t>
            </w:r>
          </w:p>
        </w:tc>
        <w:tc>
          <w:tcPr>
            <w:tcW w:type="dxa" w:w="2951"/>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100% artifact steps confirmed or truthful non-complete state</w:t>
            </w:r>
          </w:p>
        </w:tc>
        <w:tc>
          <w:tcPr>
            <w:tcW w:type="dxa" w:w="48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No false erasure claims.</w:t>
            </w:r>
          </w:p>
        </w:tc>
      </w:tr>
      <w:tr>
        <w:trPr>
          <w:cantSplit/>
        </w:trPr>
        <w:tc>
          <w:tcPr>
            <w:tcW w:type="dxa" w:w="19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Digital PDF processing</w:t>
            </w:r>
          </w:p>
        </w:tc>
        <w:tc>
          <w:tcPr>
            <w:tcW w:type="dxa" w:w="2951"/>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p95 target defined and measured under staging load</w:t>
            </w:r>
          </w:p>
        </w:tc>
        <w:tc>
          <w:tcPr>
            <w:tcW w:type="dxa" w:w="48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Current LLM fan-out can produce unbounded latency.</w:t>
            </w:r>
          </w:p>
        </w:tc>
      </w:tr>
      <w:tr>
        <w:trPr>
          <w:cantSplit/>
        </w:trPr>
        <w:tc>
          <w:tcPr>
            <w:tcW w:type="dxa" w:w="19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Query latency/cost</w:t>
            </w:r>
          </w:p>
        </w:tc>
        <w:tc>
          <w:tcPr>
            <w:tcW w:type="dxa" w:w="2951"/>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Per-route p50/p95 and cost ceiling</w:t>
            </w:r>
          </w:p>
        </w:tc>
        <w:tc>
          <w:tcPr>
            <w:tcW w:type="dxa" w:w="48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Techniques should be selected by measured value.</w:t>
            </w:r>
          </w:p>
        </w:tc>
      </w:tr>
      <w:tr>
        <w:trPr>
          <w:cantSplit/>
        </w:trPr>
        <w:tc>
          <w:tcPr>
            <w:tcW w:type="dxa" w:w="19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Unhandled mobile auth failures</w:t>
            </w:r>
          </w:p>
        </w:tc>
        <w:tc>
          <w:tcPr>
            <w:tcW w:type="dxa" w:w="2951"/>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0 in canonical flows</w:t>
            </w:r>
          </w:p>
        </w:tc>
        <w:tc>
          <w:tcPr>
            <w:tcW w:type="dxa" w:w="48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Fallbacks cannot be the normal path.</w:t>
            </w:r>
          </w:p>
        </w:tc>
      </w:tr>
      <w:tr>
        <w:trPr>
          <w:cantSplit/>
        </w:trPr>
        <w:tc>
          <w:tcPr>
            <w:tcW w:type="dxa" w:w="19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6"/>
              </w:rPr>
              <w:t>Sensitive log violations</w:t>
            </w:r>
          </w:p>
        </w:tc>
        <w:tc>
          <w:tcPr>
            <w:tcW w:type="dxa" w:w="2951"/>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0 in automated scan and staging review</w:t>
            </w:r>
          </w:p>
        </w:tc>
        <w:tc>
          <w:tcPr>
            <w:tcW w:type="dxa" w:w="48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6"/>
              </w:rPr>
              <w:t>Logs are a data plane.</w:t>
            </w:r>
          </w:p>
        </w:tc>
      </w:tr>
    </w:tbl>
    <w:p>
      <w:pPr>
        <w:spacing w:after="0"/>
      </w:pPr>
    </w:p>
    <w:p>
      <w:pPr>
        <w:pStyle w:val="Heading2"/>
        <w:spacing w:before="160" w:after="100"/>
        <w:keepNext/>
      </w:pPr>
      <w:r>
        <w:rPr>
          <w:rFonts w:ascii="Liberation Sans" w:hAnsi="Liberation Sans" w:eastAsia="Liberation Sans"/>
          <w:b/>
          <w:i w:val="0"/>
          <w:color w:val="145BC7"/>
          <w:sz w:val="26"/>
        </w:rPr>
        <w:t>12.2 Definition of done for production readiness</w:t>
      </w:r>
    </w:p>
    <w:p>
      <w:pPr>
        <w:spacing w:after="100" w:line="259" w:lineRule="auto"/>
      </w:pPr>
      <w:r>
        <w:rPr>
          <w:rFonts w:ascii="Liberation Sans" w:hAnsi="Liberation Sans" w:eastAsia="Liberation Sans"/>
          <w:b w:val="0"/>
          <w:i w:val="0"/>
          <w:color w:val="101828"/>
          <w:sz w:val="20"/>
        </w:rPr>
        <w:t>CoverWise can be called production-ready only when:</w:t>
      </w:r>
    </w:p>
    <w:p>
      <w:pPr>
        <w:pStyle w:val="ListBullet"/>
        <w:spacing w:after="60"/>
        <w:ind w:left="317" w:hanging="173"/>
      </w:pPr>
      <w:r>
        <w:rPr>
          <w:rFonts w:ascii="Liberation Sans" w:hAnsi="Liberation Sans" w:eastAsia="Liberation Sans"/>
          <w:b w:val="0"/>
          <w:i w:val="0"/>
          <w:color w:val="101828"/>
          <w:sz w:val="20"/>
        </w:rPr>
        <w:t>The current commit has green CI covering Python, Flutter, migrations, integration, artifact security, and staging smoke tests.</w:t>
      </w:r>
    </w:p>
    <w:p>
      <w:pPr>
        <w:pStyle w:val="ListBullet"/>
        <w:spacing w:after="60"/>
        <w:ind w:left="317" w:hanging="173"/>
      </w:pPr>
      <w:r>
        <w:rPr>
          <w:rFonts w:ascii="Liberation Sans" w:hAnsi="Liberation Sans" w:eastAsia="Liberation Sans"/>
          <w:b w:val="0"/>
          <w:i w:val="0"/>
          <w:color w:val="101828"/>
          <w:sz w:val="20"/>
        </w:rPr>
        <w:t>The primary upload-to-answer flow has T4 runtime evidence against the real production topology.</w:t>
      </w:r>
    </w:p>
    <w:p>
      <w:pPr>
        <w:pStyle w:val="ListBullet"/>
        <w:spacing w:after="60"/>
        <w:ind w:left="317" w:hanging="173"/>
      </w:pPr>
      <w:r>
        <w:rPr>
          <w:rFonts w:ascii="Liberation Sans" w:hAnsi="Liberation Sans" w:eastAsia="Liberation Sans"/>
          <w:b w:val="0"/>
          <w:i w:val="0"/>
          <w:color w:val="101828"/>
          <w:sz w:val="20"/>
        </w:rPr>
        <w:t>Ownership transfer and deletion have T3/T4 evidence, including injected partial failures.</w:t>
      </w:r>
    </w:p>
    <w:p>
      <w:pPr>
        <w:pStyle w:val="ListBullet"/>
        <w:spacing w:after="60"/>
        <w:ind w:left="317" w:hanging="173"/>
      </w:pPr>
      <w:r>
        <w:rPr>
          <w:rFonts w:ascii="Liberation Sans" w:hAnsi="Liberation Sans" w:eastAsia="Liberation Sans"/>
          <w:b w:val="0"/>
          <w:i w:val="0"/>
          <w:color w:val="101828"/>
          <w:sz w:val="20"/>
        </w:rPr>
        <w:t>Every customer-visible policy fact can open its source page or is visibly marked unconfirmed.</w:t>
      </w:r>
    </w:p>
    <w:p>
      <w:pPr>
        <w:pStyle w:val="ListBullet"/>
        <w:spacing w:after="60"/>
        <w:ind w:left="317" w:hanging="173"/>
      </w:pPr>
      <w:r>
        <w:rPr>
          <w:rFonts w:ascii="Liberation Sans" w:hAnsi="Liberation Sans" w:eastAsia="Liberation Sans"/>
          <w:b w:val="0"/>
          <w:i w:val="0"/>
          <w:color w:val="101828"/>
          <w:sz w:val="20"/>
        </w:rPr>
        <w:t>No raw policy content or user questions appear in ordinary logs or analytics.</w:t>
      </w:r>
    </w:p>
    <w:p>
      <w:pPr>
        <w:pStyle w:val="ListBullet"/>
        <w:spacing w:after="60"/>
        <w:ind w:left="317" w:hanging="173"/>
      </w:pPr>
      <w:r>
        <w:rPr>
          <w:rFonts w:ascii="Liberation Sans" w:hAnsi="Liberation Sans" w:eastAsia="Liberation Sans"/>
          <w:b w:val="0"/>
          <w:i w:val="0"/>
          <w:color w:val="101828"/>
          <w:sz w:val="20"/>
        </w:rPr>
        <w:t>A restart or provider outage cannot produce a false READY state or lose an accepted job.</w:t>
      </w:r>
    </w:p>
    <w:p>
      <w:pPr>
        <w:pStyle w:val="ListBullet"/>
        <w:spacing w:after="60"/>
        <w:ind w:left="317" w:hanging="173"/>
      </w:pPr>
      <w:r>
        <w:rPr>
          <w:rFonts w:ascii="Liberation Sans" w:hAnsi="Liberation Sans" w:eastAsia="Liberation Sans"/>
          <w:b w:val="0"/>
          <w:i w:val="0"/>
          <w:color w:val="101828"/>
          <w:sz w:val="20"/>
        </w:rPr>
        <w:t>The README and canonical architecture document describe the deployed system, and obsolete material is clearly archived.</w:t>
      </w:r>
    </w:p>
    <w:p>
      <w:pPr>
        <w:pStyle w:val="ListBullet"/>
        <w:spacing w:after="60"/>
        <w:ind w:left="317" w:hanging="173"/>
      </w:pPr>
      <w:r>
        <w:rPr>
          <w:rFonts w:ascii="Liberation Sans" w:hAnsi="Liberation Sans" w:eastAsia="Liberation Sans"/>
          <w:b w:val="0"/>
          <w:i w:val="0"/>
          <w:color w:val="101828"/>
          <w:sz w:val="20"/>
        </w:rPr>
        <w:t>The product claim excludes ungrounded insurance recommendations and claim-eligibility decisions.</w:t>
      </w:r>
    </w:p>
    <w:p>
      <w:pPr>
        <w:spacing w:after="40"/>
      </w:pPr>
    </w:p>
    <w:p>
      <w:bookmarkStart w:id="13" w:name="motto_alignment"/>
      <w:pPr>
        <w:pStyle w:val="Heading1"/>
        <w:spacing w:before="220" w:after="100"/>
        <w:keepNext/>
      </w:pPr>
      <w:r>
        <w:rPr>
          <w:rFonts w:ascii="Liberation Sans" w:hAnsi="Liberation Sans" w:eastAsia="Liberation Sans"/>
          <w:b/>
          <w:i w:val="0"/>
          <w:color w:val="071B33"/>
          <w:sz w:val="34"/>
        </w:rPr>
        <w:t>13. Motto_v3 alignment matrix</w:t>
      </w:r>
      <w:bookmarkEnd w:id="13"/>
    </w:p>
    <w:tbl>
      <w:tblPr>
        <w:tblW w:type="auto" w:w="0"/>
        <w:jc w:val="center"/>
        <w:tblLayout w:type="fixed"/>
        <w:tblLook w:firstColumn="1" w:firstRow="1" w:lastColumn="0" w:lastRow="0" w:noHBand="0" w:noVBand="1" w:val="04A0"/>
      </w:tblPr>
      <w:tblGrid>
        <w:gridCol w:w="2448"/>
        <w:gridCol w:w="3600"/>
        <w:gridCol w:w="3744"/>
      </w:tblGrid>
      <w:tr>
        <w:trPr>
          <w:tblHeader w:val="true"/>
          <w:cantSplit/>
        </w:trPr>
        <w:tc>
          <w:tcPr>
            <w:tcW w:type="dxa" w:w="2448"/>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motto_v3 principle</w:t>
            </w:r>
          </w:p>
        </w:tc>
        <w:tc>
          <w:tcPr>
            <w:tcW w:type="dxa" w:w="360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Current alignment</w:t>
            </w:r>
          </w:p>
        </w:tc>
        <w:tc>
          <w:tcPr>
            <w:tcW w:type="dxa" w:w="3744"/>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Required change</w:t>
            </w:r>
          </w:p>
        </w:tc>
      </w:tr>
      <w:tr>
        <w:trPr>
          <w:cantSplit/>
        </w:trPr>
        <w:tc>
          <w:tcPr>
            <w:tcW w:type="dxa" w:w="244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Understand before changing</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Improving. Recent reviews exist, but stale docs remain active.</w:t>
            </w:r>
          </w:p>
        </w:tc>
        <w:tc>
          <w:tcPr>
            <w:tcW w:type="dxa" w:w="37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Make the canonical architecture and evidence status machine-readable and current.</w:t>
            </w:r>
          </w:p>
        </w:tc>
      </w:tr>
      <w:tr>
        <w:trPr>
          <w:cantSplit/>
        </w:trPr>
        <w:tc>
          <w:tcPr>
            <w:tcW w:type="dxa" w:w="244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Durable solutions over expedient patches</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Mixed. Supabase direction is durable; disk/Redis summaries and BackgroundTasks are not.</w:t>
            </w:r>
          </w:p>
        </w:tc>
        <w:tc>
          <w:tcPr>
            <w:tcW w:type="dxa" w:w="37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Consolidate all durable artifacts and async work in the canonical control plane.</w:t>
            </w:r>
          </w:p>
        </w:tc>
      </w:tr>
      <w:tr>
        <w:trPr>
          <w:cantSplit/>
        </w:trPr>
        <w:tc>
          <w:tcPr>
            <w:tcW w:type="dxa" w:w="244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One canonical path</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Not met. Multiple source, status, summary, analytics, and retrieval paths coexist.</w:t>
            </w:r>
          </w:p>
        </w:tc>
        <w:tc>
          <w:tcPr>
            <w:tcW w:type="dxa" w:w="37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Remove shadow stores and compatibility adapters from production.</w:t>
            </w:r>
          </w:p>
        </w:tc>
      </w:tr>
      <w:tr>
        <w:trPr>
          <w:cantSplit/>
        </w:trPr>
        <w:tc>
          <w:tcPr>
            <w:tcW w:type="dxa" w:w="244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End-to-end flow ownership</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Partially met. Strong route ownership, weak cross-layer reconciliation.</w:t>
            </w:r>
          </w:p>
        </w:tc>
        <w:tc>
          <w:tcPr>
            <w:tcW w:type="dxa" w:w="37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Define lifecycle invariants and integration tests across every boundary.</w:t>
            </w:r>
          </w:p>
        </w:tc>
      </w:tr>
      <w:tr>
        <w:trPr>
          <w:cantSplit/>
        </w:trPr>
        <w:tc>
          <w:tcPr>
            <w:tcW w:type="dxa" w:w="244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Evidence tiers</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Not operationalized in product status.</w:t>
            </w:r>
          </w:p>
        </w:tc>
        <w:tc>
          <w:tcPr>
            <w:tcW w:type="dxa" w:w="37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Attach evidence tier to reviews, release claims, and high-risk tests.</w:t>
            </w:r>
          </w:p>
        </w:tc>
      </w:tr>
      <w:tr>
        <w:trPr>
          <w:cantSplit/>
        </w:trPr>
        <w:tc>
          <w:tcPr>
            <w:tcW w:type="dxa" w:w="244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AI output is proposal, not fact</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Not met for policy summary and gap analysis.</w:t>
            </w:r>
          </w:p>
        </w:tc>
        <w:tc>
          <w:tcPr>
            <w:tcW w:type="dxa" w:w="37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Persist evidence and validation state for every field and answer citation.</w:t>
            </w:r>
          </w:p>
        </w:tc>
      </w:tr>
      <w:tr>
        <w:trPr>
          <w:cantSplit/>
        </w:trPr>
        <w:tc>
          <w:tcPr>
            <w:tcW w:type="dxa" w:w="244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Data and config are product code</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Partially met. Migrations exist; provider/config compatibility is not gated.</w:t>
            </w:r>
          </w:p>
        </w:tc>
        <w:tc>
          <w:tcPr>
            <w:tcW w:type="dxa" w:w="37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Version schemas, prompts, models, indexes, and release configuration together.</w:t>
            </w:r>
          </w:p>
        </w:tc>
      </w:tr>
      <w:tr>
        <w:trPr>
          <w:cantSplit/>
        </w:trPr>
        <w:tc>
          <w:tcPr>
            <w:tcW w:type="dxa" w:w="244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Claims must be operationally true</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Not met for completed, permanently deleted, and some advice surfaces.</w:t>
            </w:r>
          </w:p>
        </w:tc>
        <w:tc>
          <w:tcPr>
            <w:tcW w:type="dxa" w:w="37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Align copy with durable state and measured evidence.</w:t>
            </w:r>
          </w:p>
        </w:tc>
      </w:tr>
      <w:tr>
        <w:trPr>
          <w:cantSplit/>
        </w:trPr>
        <w:tc>
          <w:tcPr>
            <w:tcW w:type="dxa" w:w="244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Observability is delivery</w:t>
            </w:r>
          </w:p>
        </w:tc>
        <w:tc>
          <w:tcPr>
            <w:tcW w:type="dxa" w:w="36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Partially met. Metrics ideas exist, analytics path is broken/ephemeral.</w:t>
            </w:r>
          </w:p>
        </w:tc>
        <w:tc>
          <w:tcPr>
            <w:tcW w:type="dxa" w:w="3744"/>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Build safe durable telemetry and role-scoped operator views.</w:t>
            </w:r>
          </w:p>
        </w:tc>
      </w:tr>
      <w:tr>
        <w:trPr>
          <w:cantSplit/>
        </w:trPr>
        <w:tc>
          <w:tcPr>
            <w:tcW w:type="dxa" w:w="244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Three-pass review</w:t>
            </w:r>
          </w:p>
        </w:tc>
        <w:tc>
          <w:tcPr>
            <w:tcW w:type="dxa" w:w="36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Not evidenced on current commit.</w:t>
            </w:r>
          </w:p>
        </w:tc>
        <w:tc>
          <w:tcPr>
            <w:tcW w:type="dxa" w:w="3744"/>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Require local/component, integration, and system review gates in CI/release process.</w:t>
            </w:r>
          </w:p>
        </w:tc>
      </w:tr>
    </w:tbl>
    <w:p>
      <w:pPr>
        <w:spacing w:after="0"/>
      </w:pPr>
    </w:p>
    <w:p>
      <w:pPr>
        <w:spacing w:after="40"/>
      </w:pPr>
    </w:p>
    <w:p>
      <w:bookmarkStart w:id="14" w:name="decisions"/>
      <w:pPr>
        <w:pStyle w:val="Heading1"/>
        <w:spacing w:before="220" w:after="100"/>
        <w:keepNext/>
      </w:pPr>
      <w:r>
        <w:rPr>
          <w:rFonts w:ascii="Liberation Sans" w:hAnsi="Liberation Sans" w:eastAsia="Liberation Sans"/>
          <w:b/>
          <w:i w:val="0"/>
          <w:color w:val="071B33"/>
          <w:sz w:val="34"/>
        </w:rPr>
        <w:t>14. Recommended architecture decisions</w:t>
      </w:r>
      <w:bookmarkEnd w:id="14"/>
    </w:p>
    <w:tbl>
      <w:tblPr>
        <w:tblW w:type="auto" w:w="0"/>
        <w:jc w:val="center"/>
        <w:tblLayout w:type="fixed"/>
        <w:tblLook w:firstColumn="1" w:firstRow="1" w:lastColumn="0" w:lastRow="0" w:noHBand="0" w:noVBand="1" w:val="04A0"/>
      </w:tblPr>
      <w:tblGrid>
        <w:gridCol w:w="1800"/>
        <w:gridCol w:w="3816"/>
        <w:gridCol w:w="4176"/>
      </w:tblGrid>
      <w:tr>
        <w:trPr>
          <w:tblHeader w:val="true"/>
          <w:cantSplit/>
        </w:trPr>
        <w:tc>
          <w:tcPr>
            <w:tcW w:type="dxa" w:w="180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Decision</w:t>
            </w:r>
          </w:p>
        </w:tc>
        <w:tc>
          <w:tcPr>
            <w:tcW w:type="dxa" w:w="381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Recommendation</w:t>
            </w:r>
          </w:p>
        </w:tc>
        <w:tc>
          <w:tcPr>
            <w:tcW w:type="dxa" w:w="417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Rationale</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ADR-01 Runtime</w:t>
            </w:r>
          </w:p>
        </w:tc>
        <w:tc>
          <w:tcPr>
            <w:tcW w:type="dxa" w:w="381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Keep one FastAPI service for launch.</w:t>
            </w:r>
          </w:p>
        </w:tc>
        <w:tc>
          <w:tcPr>
            <w:tcW w:type="dxa" w:w="41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Operational simplicity is valuable; durable jobs do not require microservices.</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ADR-02 Durable data</w:t>
            </w:r>
          </w:p>
        </w:tc>
        <w:tc>
          <w:tcPr>
            <w:tcW w:type="dxa" w:w="381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Supabase is the sole production control plane and source store.</w:t>
            </w:r>
          </w:p>
        </w:tc>
        <w:tc>
          <w:tcPr>
            <w:tcW w:type="dxa" w:w="41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One owner model, one migration system, one deletion surface.</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ADR-03 Work queue</w:t>
            </w:r>
          </w:p>
        </w:tc>
        <w:tc>
          <w:tcPr>
            <w:tcW w:type="dxa" w:w="381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Use Cloud Tasks or Supabase job/outbox with a scheduled claimer.</w:t>
            </w:r>
          </w:p>
        </w:tc>
        <w:tc>
          <w:tcPr>
            <w:tcW w:type="dxa" w:w="41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Accepted jobs survive process death and can be retried idempotently.</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ADR-04 Summary model</w:t>
            </w:r>
          </w:p>
        </w:tc>
        <w:tc>
          <w:tcPr>
            <w:tcW w:type="dxa" w:w="381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Store versioned extractions and field evidence in Postgres.</w:t>
            </w:r>
          </w:p>
        </w:tc>
        <w:tc>
          <w:tcPr>
            <w:tcW w:type="dxa" w:w="41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Supports trust, comparison, audit, deletion, and offline projection.</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ADR-05 Retrieval</w:t>
            </w:r>
          </w:p>
        </w:tc>
        <w:tc>
          <w:tcPr>
            <w:tcW w:type="dxa" w:w="381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pgvector plus SQL lexical/entity search, both filtered before rank/limit.</w:t>
            </w:r>
          </w:p>
        </w:tc>
        <w:tc>
          <w:tcPr>
            <w:tcW w:type="dxa" w:w="41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Avoids local FTS divergence and exact-lookup failure.</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ADR-06 Embeddings</w:t>
            </w:r>
          </w:p>
        </w:tc>
        <w:tc>
          <w:tcPr>
            <w:tcW w:type="dxa" w:w="381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One model and dimension per index version.</w:t>
            </w:r>
          </w:p>
        </w:tc>
        <w:tc>
          <w:tcPr>
            <w:tcW w:type="dxa" w:w="41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Prevents mixed vector spaces and destructive fallback.</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ADR-07 Mobile networking</w:t>
            </w:r>
          </w:p>
        </w:tc>
        <w:tc>
          <w:tcPr>
            <w:tcW w:type="dxa" w:w="381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One injected authenticated ApiClient.</w:t>
            </w:r>
          </w:p>
        </w:tc>
        <w:tc>
          <w:tcPr>
            <w:tcW w:type="dxa" w:w="41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Eliminates silent 401 fallbacks and inconsistent retry behavior.</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ADR-08 Local storage</w:t>
            </w:r>
          </w:p>
        </w:tc>
        <w:tc>
          <w:tcPr>
            <w:tcW w:type="dxa" w:w="381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Encrypted, versioned projection with pending-operation log.</w:t>
            </w:r>
          </w:p>
        </w:tc>
        <w:tc>
          <w:tcPr>
            <w:tcW w:type="dxa" w:w="41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Preserves offline value without creating independent truth.</w:t>
            </w:r>
          </w:p>
        </w:tc>
      </w:tr>
      <w:tr>
        <w:trPr>
          <w:cantSplit/>
        </w:trPr>
        <w:tc>
          <w:tcPr>
            <w:tcW w:type="dxa" w:w="180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ADR-09 Product safety</w:t>
            </w:r>
          </w:p>
        </w:tc>
        <w:tc>
          <w:tcPr>
            <w:tcW w:type="dxa" w:w="381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Document understanding first; advice only when evidence and regulatory design support it.</w:t>
            </w:r>
          </w:p>
        </w:tc>
        <w:tc>
          <w:tcPr>
            <w:tcW w:type="dxa" w:w="417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Protects users and keeps the launch promise defensible.</w:t>
            </w:r>
          </w:p>
        </w:tc>
      </w:tr>
      <w:tr>
        <w:trPr>
          <w:cantSplit/>
        </w:trPr>
        <w:tc>
          <w:tcPr>
            <w:tcW w:type="dxa" w:w="180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ADR-10 Documentation</w:t>
            </w:r>
          </w:p>
        </w:tc>
        <w:tc>
          <w:tcPr>
            <w:tcW w:type="dxa" w:w="381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One canonical architecture plus clearly archived history.</w:t>
            </w:r>
          </w:p>
        </w:tc>
        <w:tc>
          <w:tcPr>
            <w:tcW w:type="dxa" w:w="417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Reduces operational and contributor error.</w:t>
            </w:r>
          </w:p>
        </w:tc>
      </w:tr>
    </w:tbl>
    <w:p>
      <w:pPr>
        <w:spacing w:after="0"/>
      </w:pPr>
    </w:p>
    <w:p>
      <w:pPr>
        <w:pStyle w:val="Heading2"/>
        <w:spacing w:before="160" w:after="100"/>
        <w:keepNext/>
      </w:pPr>
      <w:r>
        <w:rPr>
          <w:rFonts w:ascii="Liberation Sans" w:hAnsi="Liberation Sans" w:eastAsia="Liberation Sans"/>
          <w:b/>
          <w:i w:val="0"/>
          <w:color w:val="145BC7"/>
          <w:sz w:val="26"/>
        </w:rPr>
        <w:t>14.1 Strong recommendation</w:t>
      </w:r>
    </w:p>
    <w:tbl>
      <w:tblPr>
        <w:tblW w:type="auto" w:w="0"/>
        <w:jc w:val="center"/>
        <w:tblLayout w:type="fixed"/>
        <w:tblLook w:firstColumn="1" w:firstRow="1" w:lastColumn="0" w:lastRow="0" w:noHBand="0" w:noVBand="1" w:val="04A0"/>
      </w:tblPr>
      <w:tblGrid>
        <w:gridCol w:w="173"/>
        <w:gridCol w:w="9720"/>
      </w:tblGrid>
      <w:tr>
        <w:trPr>
          <w:cantSplit/>
        </w:trPr>
        <w:tc>
          <w:tcPr>
            <w:tcW w:type="dxa" w:w="172"/>
            <w:shd w:fill="15803D"/>
            <w:tcMar>
              <w:top w:w="100" w:type="dxa"/>
              <w:start w:w="120" w:type="dxa"/>
              <w:bottom w:w="100" w:type="dxa"/>
              <w:end w:w="120" w:type="dxa"/>
            </w:tcMar>
            <w:tcBorders>
              <w:top w:val="nil"/>
              <w:left w:val="nil"/>
              <w:bottom w:val="nil"/>
              <w:right w:val="nil"/>
            </w:tcBorders>
            <w:vAlign w:val="center"/>
          </w:tcPr>
          <w:p/>
        </w:tc>
        <w:tc>
          <w:tcPr>
            <w:tcW w:type="dxa" w:w="9720"/>
            <w:shd w:fill="ECFDF3"/>
            <w:tcMar>
              <w:top w:w="100" w:type="dxa"/>
              <w:start w:w="120" w:type="dxa"/>
              <w:bottom w:w="100" w:type="dxa"/>
              <w:end w:w="120" w:type="dxa"/>
            </w:tcMar>
            <w:tcBorders>
              <w:top w:val="nil"/>
              <w:left w:val="nil"/>
              <w:bottom w:val="nil"/>
              <w:right w:val="nil"/>
            </w:tcBorders>
            <w:vAlign w:val="center"/>
          </w:tcPr>
          <w:p>
            <w:r>
              <w:rPr>
                <w:rFonts w:ascii="Liberation Sans" w:hAnsi="Liberation Sans" w:eastAsia="Liberation Sans"/>
                <w:b/>
                <w:i w:val="0"/>
                <w:color w:val="15803D"/>
                <w:sz w:val="21"/>
              </w:rPr>
              <w:t>Do not rebuild from scratch</w:t>
              <w:br/>
            </w:r>
            <w:r>
              <w:rPr>
                <w:rFonts w:ascii="Liberation Sans" w:hAnsi="Liberation Sans" w:eastAsia="Liberation Sans"/>
                <w:b w:val="0"/>
                <w:i w:val="0"/>
                <w:color w:val="101828"/>
                <w:sz w:val="19"/>
              </w:rPr>
              <w:t>The correct move is a controlled architecture convergence. Preserve the Flutter product shell, FastAPI composition, Supabase direction, anonymous-first identity, private source storage, and grounded-answer schema. Replace the lifecycle, summary persistence, evidence model, job execution, client transport, deletion, and retrieval filters underneath them. A rewrite would discard working product surfaces while leaving the same domain contracts to rediscover.</w:t>
            </w:r>
          </w:p>
        </w:tc>
      </w:tr>
    </w:tbl>
    <w:p>
      <w:pPr>
        <w:spacing w:after="0"/>
      </w:pPr>
    </w:p>
    <w:p>
      <w:pPr>
        <w:spacing w:after="40"/>
      </w:pPr>
    </w:p>
    <w:p>
      <w:bookmarkStart w:id="15" w:name="evidence_inventory"/>
      <w:pPr>
        <w:pStyle w:val="Heading1"/>
        <w:spacing w:before="220" w:after="100"/>
        <w:keepNext/>
      </w:pPr>
      <w:r>
        <w:rPr>
          <w:rFonts w:ascii="Liberation Sans" w:hAnsi="Liberation Sans" w:eastAsia="Liberation Sans"/>
          <w:b/>
          <w:i w:val="0"/>
          <w:color w:val="071B33"/>
          <w:sz w:val="34"/>
        </w:rPr>
        <w:t>Appendix A. Evidence inventory</w:t>
      </w:r>
      <w:bookmarkEnd w:id="15"/>
    </w:p>
    <w:p>
      <w:pPr>
        <w:spacing w:after="100" w:line="259" w:lineRule="auto"/>
      </w:pPr>
      <w:r>
        <w:rPr>
          <w:rFonts w:ascii="Liberation Sans" w:hAnsi="Liberation Sans" w:eastAsia="Liberation Sans"/>
          <w:b w:val="0"/>
          <w:i w:val="0"/>
          <w:color w:val="101828"/>
          <w:sz w:val="20"/>
        </w:rPr>
        <w:t>The following files materially support the findings. Paths are relative to pranaysuyash/insurance_q at main commit e3440a5da174c0cbbe279878bdff21950d8cab63.</w:t>
      </w:r>
    </w:p>
    <w:tbl>
      <w:tblPr>
        <w:tblW w:type="auto" w:w="0"/>
        <w:jc w:val="center"/>
        <w:tblLayout w:type="fixed"/>
        <w:tblLook w:firstColumn="1" w:firstRow="1" w:lastColumn="0" w:lastRow="0" w:noHBand="0" w:noVBand="1" w:val="04A0"/>
      </w:tblPr>
      <w:tblGrid>
        <w:gridCol w:w="3888"/>
        <w:gridCol w:w="5760"/>
      </w:tblGrid>
      <w:tr>
        <w:trPr>
          <w:tblHeader w:val="true"/>
          <w:cantSplit/>
        </w:trPr>
        <w:tc>
          <w:tcPr>
            <w:tcW w:type="dxa" w:w="3888"/>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4"/>
              </w:rPr>
              <w:t>File</w:t>
            </w:r>
          </w:p>
        </w:tc>
        <w:tc>
          <w:tcPr>
            <w:tcW w:type="dxa" w:w="5760"/>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4"/>
              </w:rPr>
              <w:t>Audit relevance</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motto_v3.md</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Engineering doctrine, evidence tiers, canonical-path rule, AI validation, observability, acceptance.</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README.md</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Current Cloud Run/Supabase correction plus extensive conflicting historical production narrative.</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docs/planning/coverwise_long_term_platform_decision_2026-07-12.md</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Declared canonical launch architecture and data model direction.</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docs/technical/architecture/current_system_architecture.md</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Stale historical multi-service AWS architecture.</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docs/review/coverwise_architecture_review_2026-07-16.md</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Earlier T1 review; several findings now fixed or superseded.</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docs/strategic_assessment_2026-07-17.md</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Product and flow assessment; treated as context, not runtime proof.</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src/app/main.py</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Runtime composition, startup recovery, CORS, health/readiness, root query, mounted marketing app.</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src/api/document.py</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Upload, processing task, status, query, list, delete, lead capture, summaries.</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src/api/user.py</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Anonymous claim and account deletion.</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src/api/analytics.py</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Authenticated ingestion, ephemeral SQLite storage, global operator endpoints.</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src/services/document_repository.py</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Owner-scoped repositories, Supabase RPC calls, recovery and deletion behavior.</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src/services/document_object_store.py</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Local/S3/Supabase source stores and content-type behavior.</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src/services/document_processing_service.py</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Raw temp copy, OCR, extraction, RAG ingestion, completion semantics.</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src/services/policy_extraction_service.py</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First-8,000-character extraction, Redis/disk persistence, policy-field logging.</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src/services/supabase_vector_store.py</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Owner-required search, post-limit document filter, upsert behavior.</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src/rag/pipeline.py</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Embedding fallback, exact lookup, HyDE, Fusion, contextualization, answer confidence and logging.</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src/llm/client.py</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Provider/model retry logic, structured outputs, global cost tracker.</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src/models/rag.py</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Citation and confidence schemas.</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src/config/settings.py</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Provider/model defaults and production behavior.</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src/utils/runtime_config.py</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Fail-closed production configuration.</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src/utils/anonymous_auth.py</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Anonymous JWT issuance, verification, key rotation.</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src/utils/supabase_auth.py</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Account token verification.</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infra/supabase/001_coverwise_schema.sql</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Documents/chunks schema, ownership claim, processing claim, vector RPC.</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infra/supabase/002_document_processing_leases.sql</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Lease upgrade.</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mobile/lib/main.dart</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Startup, navigation, app composition, feature surface.</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mobile/lib/services/auth_service.dart</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Token storage, account auth, claim, interceptor, account deletion client.</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mobile/lib/providers/auth_provider.dart</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Reactive account session state.</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mobile/lib/services/document_service.dart</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Upload, local fallback, local-only deletion, status helper.</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mobile/lib/screens/processing_status_screen.dart</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Raw unauthenticated polling and local fallback.</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mobile/lib/services/policy_extraction_service.dart</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Raw summary fetch and 13-query fallback; local summary storage.</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mobile/lib/providers/policy_providers.dart</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Summary state, demo injection, gap analysis dependencies.</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mobile/lib/screens/emergency_screen.dart</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Offline emergency projection and background refresh.</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mobile/lib/services/consent_ledger.dart</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Client-side consent records.</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mobile/lib/services/analytics_service.dart</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Fail-open consent, unauthenticated flush, local queue.</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mobile/pubspec.yaml</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Dependencies, app assets, Supabase/ML Kit/local storage stack.</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src/frontend/app.py</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Mounted child app, wildcard CORS, legacy compatibility and content logging paths.</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Dockerfile</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Single-process slim image and instance storage directories.</w:t>
            </w:r>
          </w:p>
        </w:tc>
      </w:tr>
      <w:tr>
        <w:trPr>
          <w:cantSplit/>
        </w:trPr>
        <w:tc>
          <w:tcPr>
            <w:tcW w:type="dxa" w:w="3888"/>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requirements.txt</w:t>
            </w:r>
          </w:p>
        </w:tc>
        <w:tc>
          <w:tcPr>
            <w:tcW w:type="dxa" w:w="5760"/>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Production dependency versions and excluded OCR/embedding models.</w:t>
            </w:r>
          </w:p>
        </w:tc>
      </w:tr>
      <w:tr>
        <w:trPr>
          <w:cantSplit/>
        </w:trPr>
        <w:tc>
          <w:tcPr>
            <w:tcW w:type="dxa" w:w="3888"/>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4"/>
              </w:rPr>
              <w:t>.github/workflows/ci.yml</w:t>
            </w:r>
          </w:p>
        </w:tc>
        <w:tc>
          <w:tcPr>
            <w:tcW w:type="dxa" w:w="5760"/>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4"/>
              </w:rPr>
              <w:t>Python/Node CI, no Flutter/integration gates, mutable DockerHub latest push.</w:t>
            </w:r>
          </w:p>
        </w:tc>
      </w:tr>
    </w:tbl>
    <w:p>
      <w:pPr>
        <w:spacing w:after="0"/>
      </w:pPr>
    </w:p>
    <w:p>
      <w:bookmarkStart w:id="16" w:name="facts_inferences"/>
      <w:pPr>
        <w:pStyle w:val="Heading1"/>
        <w:spacing w:before="220" w:after="100"/>
        <w:keepNext/>
      </w:pPr>
      <w:r>
        <w:rPr>
          <w:rFonts w:ascii="Liberation Sans" w:hAnsi="Liberation Sans" w:eastAsia="Liberation Sans"/>
          <w:b/>
          <w:i w:val="0"/>
          <w:color w:val="071B33"/>
          <w:sz w:val="34"/>
        </w:rPr>
        <w:t>Appendix B. Verified facts versus inferences</w:t>
      </w:r>
      <w:bookmarkEnd w:id="16"/>
    </w:p>
    <w:tbl>
      <w:tblPr>
        <w:tblW w:type="auto" w:w="0"/>
        <w:jc w:val="center"/>
        <w:tblLayout w:type="fixed"/>
        <w:tblLook w:firstColumn="1" w:firstRow="1" w:lastColumn="0" w:lastRow="0" w:noHBand="0" w:noVBand="1" w:val="04A0"/>
      </w:tblPr>
      <w:tblGrid>
        <w:gridCol w:w="4392"/>
        <w:gridCol w:w="2232"/>
        <w:gridCol w:w="3096"/>
      </w:tblGrid>
      <w:tr>
        <w:trPr>
          <w:tblHeader w:val="true"/>
          <w:cantSplit/>
        </w:trPr>
        <w:tc>
          <w:tcPr>
            <w:tcW w:type="dxa" w:w="4392"/>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Statement</w:t>
            </w:r>
          </w:p>
        </w:tc>
        <w:tc>
          <w:tcPr>
            <w:tcW w:type="dxa" w:w="2232"/>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Classification</w:t>
            </w:r>
          </w:p>
        </w:tc>
        <w:tc>
          <w:tcPr>
            <w:tcW w:type="dxa" w:w="3096"/>
            <w:shd w:fill="071B33"/>
            <w:tcMar>
              <w:top w:w="80" w:type="dxa"/>
              <w:start w:w="90" w:type="dxa"/>
              <w:bottom w:w="80" w:type="dxa"/>
              <w:end w:w="90" w:type="dxa"/>
            </w:tcMar>
            <w:vAlign w:val="center"/>
          </w:tcPr>
          <w:p>
            <w:pPr>
              <w:spacing w:after="0"/>
              <w:jc w:val="left"/>
            </w:pPr>
            <w:r>
              <w:rPr>
                <w:rFonts w:ascii="Liberation Sans" w:hAnsi="Liberation Sans" w:eastAsia="Liberation Sans"/>
                <w:b/>
                <w:i w:val="0"/>
                <w:color w:val="FFFFFF"/>
                <w:sz w:val="15"/>
              </w:rPr>
              <w:t>What would change confidence</w:t>
            </w:r>
          </w:p>
        </w:tc>
      </w:tr>
      <w:tr>
        <w:trPr>
          <w:cantSplit/>
        </w:trPr>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Processing can return completed after a failed stage.</w:t>
            </w:r>
          </w:p>
        </w:tc>
        <w:tc>
          <w:tcPr>
            <w:tcW w:type="dxa" w:w="22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Verified T1 code fact</w:t>
            </w:r>
          </w:p>
        </w:tc>
        <w:tc>
          <w:tcPr>
            <w:tcW w:type="dxa" w:w="30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 later uninspected guard or transaction would need to override the returned result before metadata update.</w:t>
            </w:r>
          </w:p>
        </w:tc>
      </w:tr>
      <w:tr>
        <w:trPr>
          <w:cantSplit/>
        </w:trPr>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Anonymous claim leaves chunk ownership unchanged.</w:t>
            </w:r>
          </w:p>
        </w:tc>
        <w:tc>
          <w:tcPr>
            <w:tcW w:type="dxa" w:w="22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Verified T1 schema/RPC fact</w:t>
            </w:r>
          </w:p>
        </w:tc>
        <w:tc>
          <w:tcPr>
            <w:tcW w:type="dxa" w:w="30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 separate trigger or later migration not found in current main could change this.</w:t>
            </w:r>
          </w:p>
        </w:tc>
      </w:tr>
      <w:tr>
        <w:trPr>
          <w:cantSplit/>
        </w:trPr>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Raw mobile Dio calls receive 401.</w:t>
            </w:r>
          </w:p>
        </w:tc>
        <w:tc>
          <w:tcPr>
            <w:tcW w:type="dxa" w:w="22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Strong T1 inference from endpoint dependencies and client construction</w:t>
            </w:r>
          </w:p>
        </w:tc>
        <w:tc>
          <w:tcPr>
            <w:tcW w:type="dxa" w:w="30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 request trace could reveal an external interceptor or proxy adding auth, though none appears in the inspected code.</w:t>
            </w:r>
          </w:p>
        </w:tc>
      </w:tr>
      <w:tr>
        <w:trPr>
          <w:cantSplit/>
        </w:trPr>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Raw processing copies persist until instance recycle.</w:t>
            </w:r>
          </w:p>
        </w:tc>
        <w:tc>
          <w:tcPr>
            <w:tcW w:type="dxa" w:w="22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Verified T1 code fact</w:t>
            </w:r>
          </w:p>
        </w:tc>
        <w:tc>
          <w:tcPr>
            <w:tcW w:type="dxa" w:w="30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 separate cleanup process not found in current main could remove them.</w:t>
            </w:r>
          </w:p>
        </w:tc>
      </w:tr>
      <w:tr>
        <w:trPr>
          <w:cantSplit/>
        </w:trPr>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Exact lookup can reference dense_error before assignment.</w:t>
            </w:r>
          </w:p>
        </w:tc>
        <w:tc>
          <w:tcPr>
            <w:tcW w:type="dxa" w:w="22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Verified T1 control-flow fact</w:t>
            </w:r>
          </w:p>
        </w:tc>
        <w:tc>
          <w:tcPr>
            <w:tcW w:type="dxa" w:w="30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 test could show the branch never classifies as exact lookup, which would still mean the route is ineffective.</w:t>
            </w:r>
          </w:p>
        </w:tc>
      </w:tr>
      <w:tr>
        <w:trPr>
          <w:cantSplit/>
        </w:trPr>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The mounted child app produces unsafe production CORS headers.</w:t>
            </w:r>
          </w:p>
        </w:tc>
        <w:tc>
          <w:tcPr>
            <w:tcW w:type="dxa" w:w="22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T1 risk, not verified runtime fact</w:t>
            </w:r>
          </w:p>
        </w:tc>
        <w:tc>
          <w:tcPr>
            <w:tcW w:type="dxa" w:w="30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T4 header inspection through the parent and child middleware stack.</w:t>
            </w:r>
          </w:p>
        </w:tc>
      </w:tr>
      <w:tr>
        <w:trPr>
          <w:cantSplit/>
        </w:trPr>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Current tests pass.</w:t>
            </w:r>
          </w:p>
        </w:tc>
        <w:tc>
          <w:tcPr>
            <w:tcW w:type="dxa" w:w="22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Unverified</w:t>
            </w:r>
          </w:p>
        </w:tc>
        <w:tc>
          <w:tcPr>
            <w:tcW w:type="dxa" w:w="30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 workflow or local test run against the audited commit.</w:t>
            </w:r>
          </w:p>
        </w:tc>
      </w:tr>
      <w:tr>
        <w:trPr>
          <w:cantSplit/>
        </w:trPr>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The app is deployed and production traffic exists.</w:t>
            </w:r>
          </w:p>
        </w:tc>
        <w:tc>
          <w:tcPr>
            <w:tcW w:type="dxa" w:w="22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Unverified</w:t>
            </w:r>
          </w:p>
        </w:tc>
        <w:tc>
          <w:tcPr>
            <w:tcW w:type="dxa" w:w="30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Deployment evidence, live URL, runtime logs, and version/digest match.</w:t>
            </w:r>
          </w:p>
        </w:tc>
      </w:tr>
      <w:tr>
        <w:trPr>
          <w:cantSplit/>
        </w:trPr>
        <w:tc>
          <w:tcPr>
            <w:tcW w:type="dxa" w:w="439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Supabase migrations are applied in the target project.</w:t>
            </w:r>
          </w:p>
        </w:tc>
        <w:tc>
          <w:tcPr>
            <w:tcW w:type="dxa" w:w="2232"/>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Unverified</w:t>
            </w:r>
          </w:p>
        </w:tc>
        <w:tc>
          <w:tcPr>
            <w:tcW w:type="dxa" w:w="3096"/>
            <w:shd w:fill="FFFFFF"/>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Database migration/version inspection.</w:t>
            </w:r>
          </w:p>
        </w:tc>
      </w:tr>
      <w:tr>
        <w:trPr>
          <w:cantSplit/>
        </w:trPr>
        <w:tc>
          <w:tcPr>
            <w:tcW w:type="dxa" w:w="439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i w:val="0"/>
                <w:color w:val="101828"/>
                <w:sz w:val="15"/>
              </w:rPr>
              <w:t>Model names and structured output work with openai 1.3.0.</w:t>
            </w:r>
          </w:p>
        </w:tc>
        <w:tc>
          <w:tcPr>
            <w:tcW w:type="dxa" w:w="2232"/>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Unverified compatibility risk</w:t>
            </w:r>
          </w:p>
        </w:tc>
        <w:tc>
          <w:tcPr>
            <w:tcW w:type="dxa" w:w="3096"/>
            <w:shd w:fill="F9FAFB"/>
            <w:tcMar>
              <w:top w:w="70" w:type="dxa"/>
              <w:start w:w="90" w:type="dxa"/>
              <w:bottom w:w="70" w:type="dxa"/>
              <w:end w:w="90" w:type="dxa"/>
            </w:tcMar>
            <w:vAlign w:val="top"/>
            <w:tcBorders>
              <w:top w:val="single" w:sz="3" w:color="EAECF0"/>
              <w:left w:val="single" w:sz="3" w:color="EAECF0"/>
              <w:bottom w:val="single" w:sz="3" w:color="EAECF0"/>
              <w:right w:val="single" w:sz="3" w:color="EAECF0"/>
            </w:tcBorders>
          </w:tcPr>
          <w:p>
            <w:pPr>
              <w:spacing w:after="0"/>
            </w:pPr>
            <w:r>
              <w:rPr>
                <w:rFonts w:ascii="Liberation Sans" w:hAnsi="Liberation Sans" w:eastAsia="Liberation Sans"/>
                <w:b w:val="0"/>
                <w:i w:val="0"/>
                <w:color w:val="101828"/>
                <w:sz w:val="15"/>
              </w:rPr>
              <w:t>A production-container provider contract test.</w:t>
            </w:r>
          </w:p>
        </w:tc>
      </w:tr>
    </w:tbl>
    <w:p>
      <w:pPr>
        <w:spacing w:after="0"/>
      </w:pPr>
    </w:p>
    <w:p>
      <w:bookmarkStart w:id="17" w:name="audit_closeout"/>
      <w:pPr>
        <w:pStyle w:val="Heading1"/>
        <w:spacing w:before="220" w:after="100"/>
        <w:keepNext/>
      </w:pPr>
      <w:r>
        <w:rPr>
          <w:rFonts w:ascii="Liberation Sans" w:hAnsi="Liberation Sans" w:eastAsia="Liberation Sans"/>
          <w:b/>
          <w:i w:val="0"/>
          <w:color w:val="071B33"/>
          <w:sz w:val="34"/>
        </w:rPr>
        <w:t>Appendix C. Audit closeout</w:t>
      </w:r>
      <w:bookmarkEnd w:id="17"/>
    </w:p>
    <w:p>
      <w:pPr>
        <w:spacing w:after="100" w:line="259" w:lineRule="auto"/>
      </w:pPr>
      <w:r>
        <w:rPr>
          <w:rFonts w:ascii="Liberation Sans" w:hAnsi="Liberation Sans" w:eastAsia="Liberation Sans"/>
          <w:b w:val="0"/>
          <w:i w:val="0"/>
          <w:color w:val="101828"/>
          <w:sz w:val="20"/>
        </w:rPr>
        <w:t>Audit deliverable status: complete at T1 for the inspected commit and scope.</w:t>
      </w:r>
    </w:p>
    <w:p>
      <w:pPr>
        <w:spacing w:after="100" w:line="259" w:lineRule="auto"/>
      </w:pPr>
      <w:r>
        <w:rPr>
          <w:rFonts w:ascii="Liberation Sans" w:hAnsi="Liberation Sans" w:eastAsia="Liberation Sans"/>
          <w:b w:val="0"/>
          <w:i w:val="0"/>
          <w:color w:val="101828"/>
          <w:sz w:val="20"/>
        </w:rPr>
        <w:t>Production readiness status: not demonstrated. The system should remain NO-GO until P0 ownership, lifecycle, deletion, privacy, client-auth, durable-processing, evidence, retrieval, analytics, and product-boundary issues have at least T3 evidence, with T4 evidence for the real deployment topology.</w:t>
      </w:r>
    </w:p>
    <w:p>
      <w:pPr>
        <w:spacing w:after="100" w:line="259" w:lineRule="auto"/>
      </w:pPr>
      <w:r>
        <w:rPr>
          <w:rFonts w:ascii="Liberation Sans" w:hAnsi="Liberation Sans" w:eastAsia="Liberation Sans"/>
          <w:b w:val="0"/>
          <w:i w:val="0"/>
          <w:color w:val="101828"/>
          <w:sz w:val="20"/>
        </w:rPr>
        <w:t>No repository changes, branches, pull requests, issues, commits, or comments were created during this audit.</w:t>
      </w:r>
    </w:p>
    <w:sectPr w:rsidR="00FC693F" w:rsidRPr="0006063C" w:rsidSect="00034616">
      <w:headerReference w:type="default" r:id="rId9"/>
      <w:footerReference w:type="default" r:id="rId10"/>
      <w:pgSz w:w="12240" w:h="15840"/>
      <w:pgMar w:top="835"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8496"/>
      <w:gridCol w:w="1368"/>
    </w:tblGrid>
    <w:tr>
      <w:tc>
        <w:tcPr>
          <w:tcW w:type="dxa" w:w="4932"/>
          <w:tcBorders>
            <w:top w:val="nil"/>
            <w:left w:val="nil"/>
            <w:bottom w:val="nil"/>
            <w:right w:val="nil"/>
          </w:tcBorders>
          <w:tcMar>
            <w:top w:w="0" w:type="dxa"/>
            <w:start w:w="0" w:type="dxa"/>
            <w:bottom w:w="0" w:type="dxa"/>
            <w:end w:w="0" w:type="dxa"/>
          </w:tcMar>
        </w:tcPr>
        <w:p>
          <w:pPr>
            <w:jc w:val="left"/>
          </w:pPr>
          <w:r>
            <w:rPr>
              <w:rFonts w:ascii="Liberation Sans" w:hAnsi="Liberation Sans" w:eastAsia="Liberation Sans"/>
              <w:b w:val="0"/>
              <w:i w:val="0"/>
              <w:color w:val="475467"/>
              <w:sz w:val="15"/>
            </w:rPr>
            <w:t>Confidential working document  |  18 July 2026</w:t>
          </w:r>
        </w:p>
      </w:tc>
      <w:tc>
        <w:tcPr>
          <w:tcW w:type="dxa" w:w="4932"/>
          <w:tcBorders>
            <w:top w:val="nil"/>
            <w:left w:val="nil"/>
            <w:bottom w:val="nil"/>
            <w:right w:val="nil"/>
          </w:tcBorders>
          <w:tcMar>
            <w:top w:w="0" w:type="dxa"/>
            <w:start w:w="0" w:type="dxa"/>
            <w:bottom w:w="0" w:type="dxa"/>
            <w:end w:w="0" w:type="dxa"/>
          </w:tcMar>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i w:val="0"/>
        <w:color w:val="071B33"/>
        <w:sz w:val="16"/>
      </w:rPr>
      <w:t>COVERWISE  |  ARCHITECTURE AUDIT</w:t>
    </w:r>
    <w:r>
      <w:rPr>
        <w:rFonts w:ascii="Liberation Sans" w:hAnsi="Liberation Sans" w:eastAsia="Liberation Sans"/>
        <w:b w:val="0"/>
        <w:i w:val="0"/>
        <w:color w:val="475467"/>
        <w:sz w:val="16"/>
      </w:rPr>
      <w:t xml:space="preserve">    Current main at e3440a5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071B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45B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071B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CoverWise Architecture, Flow and Long-Term Systems Audit</dc:title>
  <dc:subject>First-principles architecture audit aligned to motto_v3</dc:subject>
  <dc:creator>OpenAI</dc:creator>
  <cp:keywords>CoverWise, insurance_q, architecture audit, motto_v3, first principles</cp:keywords>
  <dc:description>Static T1 audit of main commit e3440a5da174c0cbbe279878bdff21950d8cab63</dc:description>
  <cp:lastModifiedBy/>
  <cp:revision>1</cp:revision>
  <dcterms:created xsi:type="dcterms:W3CDTF">2013-12-23T23:15:00Z</dcterms:created>
  <dcterms:modified xsi:type="dcterms:W3CDTF">2013-12-23T23:15:00Z</dcterms:modified>
  <cp:category/>
</cp:coreProperties>
</file>