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4E79"/>
          <w:sz w:val="48"/>
          <w:szCs w:val="48"/>
        </w:rPr>
        <w:t xml:space="preserve">Nutritional &amp; Compositional Analysis</w:t>
      </w:r>
    </w:p>
    <w:p>
      <w:pPr>
        <w:spacing w:after="80"/>
        <w:jc w:val="center"/>
      </w:pPr>
      <w:r>
        <w:rPr>
          <w:rFonts w:ascii="Arial" w:cs="Arial" w:eastAsia="Arial" w:hAnsi="Arial"/>
          <w:b/>
          <w:bCs/>
          <w:color w:val="1F4E79"/>
          <w:sz w:val="40"/>
          <w:szCs w:val="40"/>
        </w:rPr>
        <w:t xml:space="preserve">Food Products Platform</w:t>
      </w:r>
    </w:p>
    <w:p>
      <w:pPr>
        <w:spacing w:after="80"/>
        <w:jc w:val="center"/>
      </w:pPr>
      <w:r>
        <w:rPr>
          <w:rFonts w:ascii="Arial" w:cs="Arial" w:eastAsia="Arial" w:hAnsi="Arial"/>
          <w:i/>
          <w:iCs/>
          <w:color w:val="555555"/>
          <w:sz w:val="28"/>
          <w:szCs w:val="28"/>
        </w:rPr>
        <w:t xml:space="preserve">Feature List &amp; Implementation Arc</w:t>
      </w:r>
    </w:p>
    <w:p>
      <w:pPr>
        <w:pBdr>
          <w:bottom w:val="single" w:color="1F4E79" w:sz="6" w:space="1"/>
        </w:pBdr>
        <w:spacing w:after="400"/>
        <w:jc w:val="center"/>
      </w:pPr>
      <w:r>
        <w:rPr>
          <w:rFonts w:ascii="Arial" w:cs="Arial" w:eastAsia="Arial" w:hAnsi="Arial"/>
          <w:color w:val="888888"/>
          <w:sz w:val="20"/>
          <w:szCs w:val="20"/>
        </w:rPr>
        <w:t xml:space="preserve">Version 1.0  |  Development Roadmap</w:t>
      </w:r>
    </w:p>
    <w:p>
      <w:pPr>
        <w:pStyle w:val="Heading1"/>
      </w:pPr>
      <w:r>
        <w:rPr>
          <w:rFonts w:ascii="Arial" w:cs="Arial" w:eastAsia="Arial" w:hAnsi="Arial"/>
          <w:color w:val="1F4E79"/>
        </w:rPr>
        <w:t xml:space="preserve">Project Overview</w:t>
      </w:r>
    </w:p>
    <w:p>
      <w:pPr>
        <w:spacing w:after="120"/>
      </w:pPr>
      <w:r>
        <w:rPr>
          <w:rFonts w:ascii="Arial" w:cs="Arial" w:eastAsia="Arial" w:hAnsi="Arial"/>
          <w:sz w:val="22"/>
          <w:szCs w:val="22"/>
        </w:rPr>
        <w:t xml:space="preserve">The Food Product Analysis Platform is a unified, production-level ecosystem that integrates advanced food intelligence, scientific validation, and deep personalisation into a single application. The features below are organised into five sequential implementation phases, each building on the stability of the previous one.</w:t>
      </w:r>
    </w:p>
    <w:p>
      <w:pPr>
        <w:spacing w:after="120"/>
      </w:pPr>
      <w:r>
        <w:rPr>
          <w:rFonts w:ascii="Arial" w:cs="Arial" w:eastAsia="Arial" w:hAnsi="Arial"/>
          <w:sz w:val="22"/>
          <w:szCs w:val="22"/>
        </w:rPr>
        <w:t xml:space="preserve">The arc progresses from foundational infrastructure → ingredient intelligence → personalisation → community and dashboard → traceability and expansion. This order ensures that every high-complexity AI feature has reliable data and APIs to depend on before it is implemented.</w:t>
      </w:r>
    </w:p>
    <w:p>
      <w:pPr>
        <w:spacing w:after="160"/>
      </w:pPr>
    </w:p>
    <w:p>
      <w:pPr>
        <w:pStyle w:val="Heading1"/>
      </w:pPr>
      <w:r>
        <w:rPr>
          <w:rFonts w:ascii="Arial" w:cs="Arial" w:eastAsia="Arial" w:hAnsi="Arial"/>
          <w:color w:val="1F4E79"/>
        </w:rPr>
        <w:t xml:space="preserve">Implementation Arc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400"/>
        <w:gridCol w:w="1560"/>
        <w:gridCol w:w="180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Theme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w:t>
            </w:r>
          </w:p>
        </w:tc>
      </w:tr>
      <w:tr>
        <w:tc>
          <w:tcPr>
            <w:tcW w:type="dxa" w:w="8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Foundation &amp; Core Infrastructure</w:t>
            </w:r>
          </w:p>
        </w:tc>
        <w:tc>
          <w:tcPr>
            <w:tcW w:type="dxa" w:w="24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Sprint 1–3</w:t>
            </w:r>
          </w:p>
        </w:tc>
        <w:tc>
          <w:tcPr>
            <w:tcW w:type="dxa" w:w="156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Weeks 1–6</w:t>
            </w:r>
          </w:p>
        </w:tc>
        <w:tc>
          <w:tcPr>
            <w:tcW w:type="dxa" w:w="18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 features</w:t>
            </w:r>
          </w:p>
        </w:tc>
      </w:tr>
      <w:tr>
        <w:tc>
          <w:tcPr>
            <w:tcW w:type="dxa" w:w="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Ingredient Intelligence &amp; Risk Analysis</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Sprint 4–6</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Weeks 7–12</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 features</w:t>
            </w:r>
          </w:p>
        </w:tc>
      </w:tr>
      <w:tr>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Personalisation &amp; Metabolic Intelligence</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Sprint 7–9</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Weeks 13–18</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 features</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Unified Dashboard, Alternatives &amp; Community</w:t>
            </w:r>
          </w:p>
        </w:tc>
        <w:tc>
          <w:tcPr>
            <w:tcW w:type="dxa" w:w="2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Sprint 10–12</w:t>
            </w:r>
          </w:p>
        </w:tc>
        <w:tc>
          <w:tcPr>
            <w:tcW w:type="dxa" w:w="1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Weeks 19–24</w:t>
            </w:r>
          </w:p>
        </w:tc>
        <w:tc>
          <w:tcPr>
            <w:tcW w:type="dxa" w:w="1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 features</w:t>
            </w:r>
          </w:p>
        </w:tc>
      </w:tr>
      <w:tr>
        <w:tc>
          <w:tcPr>
            <w:tcW w:type="dxa" w:w="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Traceability, Compliance &amp; Future Expansion</w:t>
            </w:r>
          </w:p>
        </w:tc>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Sprint 13–15</w:t>
            </w:r>
          </w:p>
        </w:tc>
        <w:tc>
          <w:tcPr>
            <w:tcW w:type="dxa" w:w="1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Weeks 25–30</w:t>
            </w:r>
          </w:p>
        </w:tc>
        <w:tc>
          <w:tcPr>
            <w:tcW w:type="dxa" w:w="1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 features</w:t>
            </w:r>
          </w:p>
        </w:tc>
      </w:tr>
    </w:tbl>
    <w:p>
      <w:pP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5" w:val="clear"/>
            <w:tcMar>
              <w:top w:type="dxa" w:w="140"/>
              <w:left w:type="dxa" w:w="200"/>
              <w:bottom w:type="dxa" w:w="140"/>
              <w:right w:type="dxa" w:w="200"/>
            </w:tcMar>
          </w:tcPr>
          <w:p>
            <w:r>
              <w:rPr>
                <w:rFonts w:ascii="Arial" w:cs="Arial" w:eastAsia="Arial" w:hAnsi="Arial"/>
                <w:b/>
                <w:bCs/>
                <w:color w:val="1F4E79"/>
                <w:sz w:val="26"/>
                <w:szCs w:val="26"/>
              </w:rPr>
              <w:t xml:space="preserve">Phase 1: </w:t>
            </w:r>
            <w:r>
              <w:rPr>
                <w:rFonts w:ascii="Arial" w:cs="Arial" w:eastAsia="Arial" w:hAnsi="Arial"/>
                <w:b/>
                <w:bCs/>
                <w:color w:val="1F4E79"/>
                <w:sz w:val="26"/>
                <w:szCs w:val="26"/>
              </w:rPr>
              <w:t xml:space="preserve">Foundation &amp; Core Infrastructure</w:t>
            </w:r>
          </w:p>
          <w:p>
            <w:r>
              <w:rPr>
                <w:rFonts w:ascii="Arial" w:cs="Arial" w:eastAsia="Arial" w:hAnsi="Arial"/>
                <w:i/>
                <w:iCs/>
                <w:color w:val="555555"/>
                <w:sz w:val="20"/>
                <w:szCs w:val="20"/>
              </w:rPr>
              <w:t xml:space="preserve">Sprint 1–3 | Weeks 1–6 | Establish the backbone of the platform</w:t>
            </w:r>
          </w:p>
        </w:tc>
      </w:tr>
    </w:tbl>
    <w:p>
      <w:pPr>
        <w:spacing w:after="160"/>
      </w:pPr>
    </w:p>
    <w:p>
      <w:pPr>
        <w:spacing w:after="120"/>
      </w:pPr>
      <w:r>
        <w:rPr>
          <w:rFonts w:ascii="Arial" w:cs="Arial" w:eastAsia="Arial" w:hAnsi="Arial"/>
          <w:sz w:val="22"/>
          <w:szCs w:val="22"/>
        </w:rPr>
        <w:t xml:space="preserve">This phase lays the groundwork for the entire platform. All subsequent features depend on the database schema, authentication system, and core API contracts being stable. No AI or personalization logic is built here — only the reliable foundation on which everything else will stand.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000"/>
        <w:gridCol w:w="23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Project Scaffolding</w:t>
            </w:r>
          </w:p>
        </w:tc>
        <w:tc>
          <w:tcPr>
            <w:tcW w:type="dxa" w:w="4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 up React Native frontend, Django REST Framework backend, PostgreSQL and MongoDB databases, Git repository, and CI/CD pipeline.</w:t>
            </w:r>
          </w:p>
        </w:tc>
        <w:tc>
          <w:tcPr>
            <w:tcW w:type="dxa" w:w="236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User Authentication &amp; Profiles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 login, logout, JWT-based auth, email verification, and basic user profile storage (age, health goals placeholder).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 Database Schema</w:t>
            </w:r>
          </w:p>
        </w:tc>
        <w:tc>
          <w:tcPr>
            <w:tcW w:type="dxa" w:w="4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Design and implement product, ingredient, nutrient, and additive entity models. Seed with a sample dataset for development.</w:t>
            </w:r>
          </w:p>
        </w:tc>
        <w:tc>
          <w:tcPr>
            <w:tcW w:type="dxa" w:w="236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Barcode Scanning (Basic)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Integrate barcode scanning via camera in React Native. Fetch matching product data from internal database or Open Food Facts API.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Manual Product Search</w:t>
            </w:r>
          </w:p>
        </w:tc>
        <w:tc>
          <w:tcPr>
            <w:tcW w:type="dxa" w:w="4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Allow users to search products by name or brand with paginated results.</w:t>
            </w:r>
          </w:p>
        </w:tc>
        <w:tc>
          <w:tcPr>
            <w:tcW w:type="dxa" w:w="236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Ingredient List Display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Display full ingredient list from product data as printed on the label with basic formatting.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6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Basic Nutritional Panel</w:t>
            </w:r>
          </w:p>
        </w:tc>
        <w:tc>
          <w:tcPr>
            <w:tcW w:type="dxa" w:w="4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macronutrients (calories, protein, carbs, fat, fibre, sugar, sodium) per 100g and per serving.</w:t>
            </w:r>
          </w:p>
        </w:tc>
        <w:tc>
          <w:tcPr>
            <w:tcW w:type="dxa" w:w="236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Allergen Highlighting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Parse and flag major allergens (gluten, nuts, lactose, soy, eggs, shellfish) from ingredient list.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r>
    </w:tbl>
    <w:p>
      <w:pP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40"/>
              <w:left w:type="dxa" w:w="200"/>
              <w:bottom w:type="dxa" w:w="140"/>
              <w:right w:type="dxa" w:w="200"/>
            </w:tcMar>
          </w:tcPr>
          <w:p>
            <w:r>
              <w:rPr>
                <w:rFonts w:ascii="Arial" w:cs="Arial" w:eastAsia="Arial" w:hAnsi="Arial"/>
                <w:b/>
                <w:bCs/>
                <w:color w:val="1E8449"/>
                <w:sz w:val="26"/>
                <w:szCs w:val="26"/>
              </w:rPr>
              <w:t xml:space="preserve">Phase 2: </w:t>
            </w:r>
            <w:r>
              <w:rPr>
                <w:rFonts w:ascii="Arial" w:cs="Arial" w:eastAsia="Arial" w:hAnsi="Arial"/>
                <w:b/>
                <w:bCs/>
                <w:color w:val="1E8449"/>
                <w:sz w:val="26"/>
                <w:szCs w:val="26"/>
              </w:rPr>
              <w:t xml:space="preserve">Ingredient Intelligence &amp; Risk Analysis</w:t>
            </w:r>
          </w:p>
          <w:p>
            <w:r>
              <w:rPr>
                <w:rFonts w:ascii="Arial" w:cs="Arial" w:eastAsia="Arial" w:hAnsi="Arial"/>
                <w:i/>
                <w:iCs/>
                <w:color w:val="555555"/>
                <w:sz w:val="20"/>
                <w:szCs w:val="20"/>
              </w:rPr>
              <w:t xml:space="preserve">Sprint 4–6 | Weeks 7–12 | The core analytical differentiator</w:t>
            </w:r>
          </w:p>
        </w:tc>
      </w:tr>
    </w:tbl>
    <w:p>
      <w:pPr>
        <w:spacing w:after="160"/>
      </w:pPr>
    </w:p>
    <w:p>
      <w:pPr>
        <w:spacing w:after="120"/>
      </w:pPr>
      <w:r>
        <w:rPr>
          <w:rFonts w:ascii="Arial" w:cs="Arial" w:eastAsia="Arial" w:hAnsi="Arial"/>
          <w:sz w:val="22"/>
          <w:szCs w:val="22"/>
        </w:rPr>
        <w:t xml:space="preserve">With stable data infrastructure in place, this phase introduces the platform's primary value proposition: going beyond the label. Additive identification, AI-powered ingredient explanation, and the scientific risk model distinguish this app from all competitors in the current market.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000"/>
        <w:gridCol w:w="2360"/>
      </w:tblGrid>
      <w:tr>
        <w:trPr>
          <w:tblHeader/>
        </w:trPr>
        <w:tc>
          <w:tcPr>
            <w:tcW w:type="dxa" w:w="4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Additive &amp; Preservative Identification</w:t>
            </w:r>
          </w:p>
        </w:tc>
        <w:tc>
          <w:tcPr>
            <w:tcW w:type="dxa" w:w="4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Detect and classify additives (E-numbers, artificial colours, sweeteners, preservatives) from ingredient list using a curated additive database.</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Ingredient Role Explanation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 each ingredient, provide a plain-language explanation of its functional role (emulsifier, stabiliser, flavour enhancer, etc.) using an NLP/LLM layer.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Additive Risk Classification</w:t>
            </w:r>
          </w:p>
        </w:tc>
        <w:tc>
          <w:tcPr>
            <w:tcW w:type="dxa" w:w="4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Assign Low / Moderate / High concern ratings to each additive based on toxicological databases (EFSA, FDA, EWG references).</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Vegan / Vegetarian / Halal / Kosher Tags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Auto-classify product lifestyle suitability based on ingredient composition.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NOVA Classification</w:t>
            </w:r>
          </w:p>
        </w:tc>
        <w:tc>
          <w:tcPr>
            <w:tcW w:type="dxa" w:w="4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Categorise products into NOVA groups (1–4) to indicate the degree of industrial processing.</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Nutri-Score Calculation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Compute the Nutri-Score (A–E) using the official algorithm based on nutritional data.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Composite Health Score (0–100)</w:t>
            </w:r>
          </w:p>
        </w:tc>
        <w:tc>
          <w:tcPr>
            <w:tcW w:type="dxa" w:w="4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Combine nutrition score, additive risk, and NOVA classification into a single weighted health score for quick consumer reference.</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OCR Ingredient Scanning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Allow users to photograph the ingredient panel if barcode is missing or unavailable. Extract structured ingredient data via OCR and AI text parsing.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r>
    </w:tbl>
    <w:p>
      <w:pP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40"/>
              <w:left w:type="dxa" w:w="200"/>
              <w:bottom w:type="dxa" w:w="140"/>
              <w:right w:type="dxa" w:w="200"/>
            </w:tcMar>
          </w:tcPr>
          <w:p>
            <w:r>
              <w:rPr>
                <w:rFonts w:ascii="Arial" w:cs="Arial" w:eastAsia="Arial" w:hAnsi="Arial"/>
                <w:b/>
                <w:bCs/>
                <w:color w:val="9A7D0A"/>
                <w:sz w:val="26"/>
                <w:szCs w:val="26"/>
              </w:rPr>
              <w:t xml:space="preserve">Phase 3: </w:t>
            </w:r>
            <w:r>
              <w:rPr>
                <w:rFonts w:ascii="Arial" w:cs="Arial" w:eastAsia="Arial" w:hAnsi="Arial"/>
                <w:b/>
                <w:bCs/>
                <w:color w:val="9A7D0A"/>
                <w:sz w:val="26"/>
                <w:szCs w:val="26"/>
              </w:rPr>
              <w:t xml:space="preserve">Personalisation &amp; Metabolic Intelligence</w:t>
            </w:r>
          </w:p>
          <w:p>
            <w:r>
              <w:rPr>
                <w:rFonts w:ascii="Arial" w:cs="Arial" w:eastAsia="Arial" w:hAnsi="Arial"/>
                <w:i/>
                <w:iCs/>
                <w:color w:val="555555"/>
                <w:sz w:val="20"/>
                <w:szCs w:val="20"/>
              </w:rPr>
              <w:t xml:space="preserve">Sprint 7–9 | Weeks 13–18 | From generic scores to personal insights</w:t>
            </w:r>
          </w:p>
        </w:tc>
      </w:tr>
    </w:tbl>
    <w:p>
      <w:pPr>
        <w:spacing w:after="160"/>
      </w:pPr>
    </w:p>
    <w:p>
      <w:pPr>
        <w:spacing w:after="120"/>
      </w:pPr>
      <w:r>
        <w:rPr>
          <w:rFonts w:ascii="Arial" w:cs="Arial" w:eastAsia="Arial" w:hAnsi="Arial"/>
          <w:sz w:val="22"/>
          <w:szCs w:val="22"/>
        </w:rPr>
        <w:t xml:space="preserve">This phase transforms the platform from a product database into a personal health companion. Health profiling, the 'Good for YOU' score, and metabolic simulations are the features that will drive retention and word-of-mouth — nobody else in the market offers this depth of personalisation.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000"/>
        <w:gridCol w:w="2360"/>
      </w:tblGrid>
      <w:tr>
        <w:trPr>
          <w:tblHeader/>
        </w:trPr>
        <w:tc>
          <w:tcPr>
            <w:tcW w:type="dxa" w:w="400"/>
            <w:tcBorders>
              <w:top w:val="single" w:color="CCCCCC" w:sz="1"/>
              <w:left w:val="single" w:color="CCCCCC" w:sz="1"/>
              <w:bottom w:val="single" w:color="CCCCCC" w:sz="1"/>
              <w:right w:val="single" w:color="CCCCCC" w:sz="1"/>
            </w:tcBorders>
            <w:shd w:fill="9A7D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9A7D0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9A7D0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9A7D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Detailed Health Profile Builder</w:t>
            </w:r>
          </w:p>
        </w:tc>
        <w:tc>
          <w:tcPr>
            <w:tcW w:type="dxa" w:w="4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Capture user-specific data: age, weight, fitness goals, blood sugar sensitivity, iron deficiency risk, gut sensitivity, hormonal health concerns, and chronic conditions.</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Personalised 'Good for YOU' Score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Generate a personal compatibility score for each product based on the user's health profile rather than a generic population average.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Dietary Preference &amp; Restriction Engine</w:t>
            </w:r>
          </w:p>
        </w:tc>
        <w:tc>
          <w:tcPr>
            <w:tcW w:type="dxa" w:w="4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Support custom dietary rules (low-FODMAP, keto, diabetic-friendly, low-sodium, etc.) and filter product recommendations accordingly.</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Real-Time Glycemic &amp; Insulin Load Simulation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 carbohydrate-heavy products, predict the blood sugar spike curve, estimate insulin response, and flag high glycaemic impact foods.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Long-Term Health Risk Model</w:t>
            </w:r>
          </w:p>
        </w:tc>
        <w:tc>
          <w:tcPr>
            <w:tcW w:type="dxa" w:w="4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model that estimates cumulative health impact of regular consumption: obesity risk, cardiovascular impact, diabetes probability contribution, and inflammatory load.</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Personal Risk Score per Product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Display a user-specific risk score combining metabolic simulation results with the user's health profile and consumption history.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Consumption Tracking &amp; History</w:t>
            </w:r>
          </w:p>
        </w:tc>
        <w:tc>
          <w:tcPr>
            <w:tcW w:type="dxa" w:w="4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Allow users to log scanned products and track nutritional intake over time with trend visualisations.</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r>
    </w:tbl>
    <w:p>
      <w:pP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40"/>
              <w:left w:type="dxa" w:w="200"/>
              <w:bottom w:type="dxa" w:w="140"/>
              <w:right w:type="dxa" w:w="200"/>
            </w:tcMar>
          </w:tcPr>
          <w:p>
            <w:r>
              <w:rPr>
                <w:rFonts w:ascii="Arial" w:cs="Arial" w:eastAsia="Arial" w:hAnsi="Arial"/>
                <w:b/>
                <w:bCs/>
                <w:color w:val="922B21"/>
                <w:sz w:val="26"/>
                <w:szCs w:val="26"/>
              </w:rPr>
              <w:t xml:space="preserve">Phase 4: </w:t>
            </w:r>
            <w:r>
              <w:rPr>
                <w:rFonts w:ascii="Arial" w:cs="Arial" w:eastAsia="Arial" w:hAnsi="Arial"/>
                <w:b/>
                <w:bCs/>
                <w:color w:val="922B21"/>
                <w:sz w:val="26"/>
                <w:szCs w:val="26"/>
              </w:rPr>
              <w:t xml:space="preserve">Unified Dashboard, Alternatives &amp; Community</w:t>
            </w:r>
          </w:p>
          <w:p>
            <w:r>
              <w:rPr>
                <w:rFonts w:ascii="Arial" w:cs="Arial" w:eastAsia="Arial" w:hAnsi="Arial"/>
                <w:i/>
                <w:iCs/>
                <w:color w:val="555555"/>
                <w:sz w:val="20"/>
                <w:szCs w:val="20"/>
              </w:rPr>
              <w:t xml:space="preserve">Sprint 10–12 | Weeks 19–24 | Closing the loop for the end-user</w:t>
            </w:r>
          </w:p>
        </w:tc>
      </w:tr>
    </w:tbl>
    <w:p>
      <w:pPr>
        <w:spacing w:after="160"/>
      </w:pPr>
    </w:p>
    <w:p>
      <w:pPr>
        <w:spacing w:after="120"/>
      </w:pPr>
      <w:r>
        <w:rPr>
          <w:rFonts w:ascii="Arial" w:cs="Arial" w:eastAsia="Arial" w:hAnsi="Arial"/>
          <w:sz w:val="22"/>
          <w:szCs w:val="22"/>
        </w:rPr>
        <w:t xml:space="preserve">By this phase the core intelligence is built. Now the focus turns to presenting insights in a unified, compelling way, helping users act on them (via alternatives), and building a community flywheel that strengthens the data over time.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000"/>
        <w:gridCol w:w="2360"/>
      </w:tblGrid>
      <w:tr>
        <w:trPr>
          <w:tblHeader/>
        </w:trPr>
        <w:tc>
          <w:tcPr>
            <w:tcW w:type="dxa" w:w="4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Unified Risk Dashboard</w:t>
            </w:r>
          </w:p>
        </w:tc>
        <w:tc>
          <w:tcPr>
            <w:tcW w:type="dxa" w:w="4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 dashboard combining Nutrition Score, Additive Toxicity Score, Environmental Score, Ultra-Processed Score, and Personal Compatibility Score.</w:t>
            </w:r>
          </w:p>
        </w:tc>
        <w:tc>
          <w:tcPr>
            <w:tcW w:type="dxa" w:w="2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Alternate Product Recommendation Engine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Suggest 'cleaner label' alternatives to the scanned product from the same category using similarity scoring and personal health compatibility.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 Comparison Tool</w:t>
            </w:r>
          </w:p>
        </w:tc>
        <w:tc>
          <w:tcPr>
            <w:tcW w:type="dxa" w:w="4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Side-by-side comparison of two or more products across all score dimensions, ingredient profiles, and personal suitability.</w:t>
            </w:r>
          </w:p>
        </w:tc>
        <w:tc>
          <w:tcPr>
            <w:tcW w:type="dxa" w:w="2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Ingredient Swap Search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Search for products by specific ingredient presence/absence (e.g., 'no palm oil', 'contains probiotics').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Crowdsourced Product Contribution</w:t>
            </w:r>
          </w:p>
        </w:tc>
        <w:tc>
          <w:tcPr>
            <w:tcW w:type="dxa" w:w="4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Users can submit new products, upload images, and add ingredient data. Contributions are moderated before entering the main database.</w:t>
            </w:r>
          </w:p>
        </w:tc>
        <w:tc>
          <w:tcPr>
            <w:tcW w:type="dxa" w:w="2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Community Intelligence Layer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Enable verified nutritionist comments, user-reported reactions, crowd allergy flags, and ingredient controversy discussions per product.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User Reaction Reporting</w:t>
            </w:r>
          </w:p>
        </w:tc>
        <w:tc>
          <w:tcPr>
            <w:tcW w:type="dxa" w:w="4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Users can report personal reactions to ingredients or products to improve community allergy intelligence.</w:t>
            </w:r>
          </w:p>
        </w:tc>
        <w:tc>
          <w:tcPr>
            <w:tcW w:type="dxa" w:w="2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r>
    </w:tbl>
    <w:p>
      <w:pP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40"/>
              <w:left w:type="dxa" w:w="200"/>
              <w:bottom w:type="dxa" w:w="140"/>
              <w:right w:type="dxa" w:w="200"/>
            </w:tcMar>
          </w:tcPr>
          <w:p>
            <w:r>
              <w:rPr>
                <w:rFonts w:ascii="Arial" w:cs="Arial" w:eastAsia="Arial" w:hAnsi="Arial"/>
                <w:b/>
                <w:bCs/>
                <w:color w:val="6A1F8E"/>
                <w:sz w:val="26"/>
                <w:szCs w:val="26"/>
              </w:rPr>
              <w:t xml:space="preserve">Phase 5: </w:t>
            </w:r>
            <w:r>
              <w:rPr>
                <w:rFonts w:ascii="Arial" w:cs="Arial" w:eastAsia="Arial" w:hAnsi="Arial"/>
                <w:b/>
                <w:bCs/>
                <w:color w:val="6A1F8E"/>
                <w:sz w:val="26"/>
                <w:szCs w:val="26"/>
              </w:rPr>
              <w:t xml:space="preserve">Traceability, Compliance &amp; Future Expansion</w:t>
            </w:r>
          </w:p>
          <w:p>
            <w:r>
              <w:rPr>
                <w:rFonts w:ascii="Arial" w:cs="Arial" w:eastAsia="Arial" w:hAnsi="Arial"/>
                <w:i/>
                <w:iCs/>
                <w:color w:val="555555"/>
                <w:sz w:val="20"/>
                <w:szCs w:val="20"/>
              </w:rPr>
              <w:t xml:space="preserve">Sprint 13–15 | Weeks 25–30 | Enterprise-grade trust and B2B readiness</w:t>
            </w:r>
          </w:p>
        </w:tc>
      </w:tr>
    </w:tbl>
    <w:p>
      <w:pPr>
        <w:spacing w:after="160"/>
      </w:pPr>
    </w:p>
    <w:p>
      <w:pPr>
        <w:spacing w:after="120"/>
      </w:pPr>
      <w:r>
        <w:rPr>
          <w:rFonts w:ascii="Arial" w:cs="Arial" w:eastAsia="Arial" w:hAnsi="Arial"/>
          <w:sz w:val="22"/>
          <w:szCs w:val="22"/>
        </w:rPr>
        <w:t xml:space="preserve">The final phase addresses the trust, transparency, and business-to-business layers that elevate the platform from a consumer app to a full food intelligence ecosystem. These features also prepare the platform for global regulatory expansion and partnership integrations.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000"/>
        <w:gridCol w:w="2360"/>
      </w:tblGrid>
      <w:tr>
        <w:trPr>
          <w:tblHeader/>
        </w:trPr>
        <w:tc>
          <w:tcPr>
            <w:tcW w:type="dxa" w:w="400"/>
            <w:tcBorders>
              <w:top w:val="single" w:color="CCCCCC" w:sz="1"/>
              <w:left w:val="single" w:color="CCCCCC" w:sz="1"/>
              <w:bottom w:val="single" w:color="CCCCCC" w:sz="1"/>
              <w:right w:val="single" w:color="CCCCCC" w:sz="1"/>
            </w:tcBorders>
            <w:shd w:fill="6A1F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6A1F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6A1F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6A1F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Regulatory Compliance Monitoring</w:t>
            </w:r>
          </w:p>
        </w:tc>
        <w:tc>
          <w:tcPr>
            <w:tcW w:type="dxa" w:w="4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Validate product ingredient and additive compliance against regional and international food safety standards (FSSAI, FDA, EFSA). Flag out-of-compliance items.</w:t>
            </w:r>
          </w:p>
        </w:tc>
        <w:tc>
          <w:tcPr>
            <w:tcW w:type="dxa" w:w="23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Supply Chain Traceability Module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Display ingredient origin, country of manufacture, and sourcing transparency where data is available.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Carbon Footprint &amp; ESG Insights</w:t>
            </w:r>
          </w:p>
        </w:tc>
        <w:tc>
          <w:tcPr>
            <w:tcW w:type="dxa" w:w="4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estimated carbon footprint per product and ESG sustainability score based on sourcing and manufacturing data.</w:t>
            </w:r>
          </w:p>
        </w:tc>
        <w:tc>
          <w:tcPr>
            <w:tcW w:type="dxa" w:w="23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Real-Time Grocery Integration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Connect with retail partners or grocery APIs to show product availability, prices, and healthier alternatives at nearby stores.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Global Regulatory Support</w:t>
            </w:r>
          </w:p>
        </w:tc>
        <w:tc>
          <w:tcPr>
            <w:tcW w:type="dxa" w:w="4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Extend compliance engine to cover multi-country labelling standards and regional additive approval lists.</w:t>
            </w:r>
          </w:p>
        </w:tc>
        <w:tc>
          <w:tcPr>
            <w:tcW w:type="dxa" w:w="23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Wearable &amp; Health Device Integration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Sync with fitness trackers (Apple Health, Google Fit) and CGMs for real-time personalised recommendations informed by live biometric data.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r>
      <w:tr>
        <w:tc>
          <w:tcPr>
            <w:tcW w:type="dxa" w:w="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B2B Reformulation API Layer</w:t>
            </w:r>
          </w:p>
        </w:tc>
        <w:tc>
          <w:tcPr>
            <w:tcW w:type="dxa" w:w="4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Expose an API for food brands to test reformulation scenarios, benchmark against competitors, and receive ingredient substitution recommendations.</w:t>
            </w:r>
          </w:p>
        </w:tc>
        <w:tc>
          <w:tcPr>
            <w:tcW w:type="dxa" w:w="23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AI-Based Meal Planning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Smart diet planning and automated grocery list generation based on user health goals, past consumption patterns, and seasonal availability.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r>
    </w:tbl>
    <w:p>
      <w:pPr>
        <w:spacing w:after="160"/>
      </w:pPr>
    </w:p>
    <w:p>
      <w:pPr>
        <w:spacing w:after="160"/>
      </w:pPr>
    </w:p>
    <w:p>
      <w:pPr>
        <w:pStyle w:val="Heading1"/>
      </w:pPr>
      <w:r>
        <w:rPr>
          <w:rFonts w:ascii="Arial" w:cs="Arial" w:eastAsia="Arial" w:hAnsi="Arial"/>
          <w:color w:val="1F4E79"/>
        </w:rPr>
        <w:t xml:space="preserve">Priority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 Level</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Critical</w:t>
            </w:r>
          </w:p>
        </w:tc>
        <w:tc>
          <w:tcPr>
            <w:tcW w:type="dxa" w:w="7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Blocking dependency — must be completed before any feature in the next phase can begin. Failure to implement will halt the roadmap.</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High</w:t>
            </w:r>
          </w:p>
        </w:tc>
        <w:tc>
          <w:tcPr>
            <w:tcW w:type="dxa" w:w="7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Core product value — drives primary differentiation and user retention. Should be included in the phase's sprint scope.</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9A7D0A"/>
                <w:sz w:val="20"/>
                <w:szCs w:val="20"/>
              </w:rPr>
              <w:t xml:space="preserve">Medium</w:t>
            </w:r>
          </w:p>
        </w:tc>
        <w:tc>
          <w:tcPr>
            <w:tcW w:type="dxa" w:w="7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Important enhancement — adds meaningful value but can be deferred by one sprint if capacity is constrained.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Low</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Future scope or B2B layer — not required for the core consumer MVP. Target post-launch or enterprise tier.</w:t>
            </w:r>
          </w:p>
        </w:tc>
      </w:tr>
    </w:tbl>
    <w:p>
      <w:pPr>
        <w:spacing w:after="160"/>
      </w:pPr>
    </w:p>
    <w:p>
      <w:pPr>
        <w:pStyle w:val="Heading1"/>
      </w:pPr>
      <w:r>
        <w:rPr>
          <w:rFonts w:ascii="Arial" w:cs="Arial" w:eastAsia="Arial" w:hAnsi="Arial"/>
          <w:color w:val="1F4E79"/>
        </w:rPr>
        <w:t xml:space="preserve">Technology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Frontend</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Native</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Cross-platform mobile application (iOS &amp; Android)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Django REST Framework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development, authentication, and business logic</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Database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 + MongoDB</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Relational product/user data + unstructured ingredient documents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AI / NLP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LLM + Fine-Tuning + RAG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Ingredient parsing, risk modelling, and personalisation engine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AI Deployment</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Hugging Face + LangChain</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 hosting and inference pipelines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Version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 + GitHub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Code collaboration, branching, and release tracking</w:t>
            </w:r>
          </w:p>
        </w:tc>
      </w:tr>
    </w:tbl>
    <w:p>
      <w:pPr>
        <w:spacing w:after="160"/>
      </w:pPr>
    </w:p>
    <w:p>
      <w:pPr>
        <w:spacing w:after="160"/>
      </w:pPr>
    </w:p>
    <w:p>
      <w:pPr>
        <w:pBdr>
          <w:top w:val="single" w:color="CCCCCC" w:sz="4" w:space="1"/>
        </w:pBdr>
        <w:spacing w:before="200"/>
        <w:jc w:val="center"/>
      </w:pPr>
      <w:r>
        <w:rPr>
          <w:rFonts w:ascii="Arial" w:cs="Arial" w:eastAsia="Arial" w:hAnsi="Arial"/>
          <w:i/>
          <w:iCs/>
          <w:color w:val="999999"/>
          <w:sz w:val="18"/>
          <w:szCs w:val="18"/>
        </w:rPr>
        <w:t xml:space="preserve">Nutritional &amp; Compositional Analysis Platform  |  Feature List v1.0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F4E79"/>
      <w:sz w:val="34"/>
      <w:szCs w:val="34"/>
    </w:rPr>
  </w:style>
  <w:style w:type="paragraph" w:styleId="Heading2">
    <w:name w:val="Heading 2"/>
    <w:basedOn w:val="Normal"/>
    <w:next w:val="Normal"/>
    <w:qFormat/>
    <w:pPr>
      <w:spacing w:before="240" w:after="16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2026-02-25T10:11:46.837Z</dcterms:created>
  <dcterms:modified xsi:type="dcterms:W3CDTF">2026-02-25T10:11:46.838Z</dcterms:modified>
</cp:coreProperties>
</file>

<file path=docProps/custom.xml><?xml version="1.0" encoding="utf-8"?>
<Properties xmlns="http://schemas.openxmlformats.org/officeDocument/2006/custom-properties" xmlns:vt="http://schemas.openxmlformats.org/officeDocument/2006/docPropsVTypes"/>
</file>