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Hukum Keluarga</w:t>
        <w:br w:type="textWrapping"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Hukum keluarga adalah cabang hukum perdata yang mengatur hubungan hukum antara anggota keluarga, mencakup perkawinan, pencatatan sipil, hak asuh, nafkah, perceraian, dan kekerasan dalam rumah tangga (KDRT).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Hukum keluarga bertujuan untuk mengatur hak dan kewajiban suami, istri, dan anak, serta melindungi keutuhan keluarga atau menyelesaikan permasalahan keluarga secara hukum.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Komponen Hukum Keluarga di Indonesia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1. Pernikahan dan Pencatatan Sipil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Pernikahan adalah ikatan lahir batin antara seorang laki-laki dan perempuan sebagai suami istri dengan tujuan membentuk keluarga yang bahagia dan kekal.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Pernikahan dinyatakan sah apabila: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* Dilakukan menurut hukum agama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* Dicatat oleh pejabat berwenang seperti KUA atau Disdukcapil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Hal ini diatur dalam: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* UU Nomor 1 Tahun 1974 tentang Perkawinan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2. Perceraian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Perceraian adalah tindakan hukum yang memutus ikatan perkawinan karena hubungan rumah tangga tidak dapat dipertahankan lagi.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Perceraian dilakukan berdasarkan alasan yang dibenarkan oleh undang-undang atau agama.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3. Hak Asuh Anak (Hadhanah)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Hak asuh anak adalah pemeliharaan, pengasuhan, dan pendidikan anak oleh orang tua yang bercerai.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Pengadilan akan menentukan pihak yang memperoleh hak asuh berdasarkan kepentingan terbaik bagi anak.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4. Nafkah Istri dan Anak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Nafkah adalah kewajiban suami atau ayah untuk memenuhi kebutuhan hidup, pemeliharaan, dan pendidikan anak, terutama setelah perceraian.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Besaran nafkah diberikan sesuai kemampuan pihak yang wajib memberikan nafkah.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Hal ini diatur dalam: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* Pasal 41 UU Nomor 1 Tahun 1974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5. Kekerasan Dalam Rumah Tangga (KDRT)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Kekerasan dalam rumah tangga adalah segala tindakan yang menyebabkan penderitaan fisik, seksual, psikologis, atau penelantaran dalam lingkup rumah tangga.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KDRT diatur dalam: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* UU Nomor 23 Tahun 2004 tentang Penghapusan Kekerasan Dalam Rumah Tangga (PKDRT)</w:t>
      </w:r>
    </w:p>
    <w:p w:rsidR="00000000" w:rsidDel="00000000" w:rsidP="00000000" w:rsidRDefault="00000000" w:rsidRPr="00000000" w14:paraId="0000003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Cara mengajukan perceraian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Pengajuan Cerai di Indonesia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Pengajuan cerai di Indonesia dilakukan melalui: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* Pengadilan Agama untuk pasangan Muslim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* Pengadilan Negeri untuk pasangan Non-Muslim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Proses pengajuan memerlukan: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* Surat gugatan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* KTP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* Buku nikah atau akta perkawinan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* Kartu Keluarga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* Bukti pendukung lainnya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Prosedur meliputi: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* Pendaftaran berkas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* Pembayaran panjar biaya perkara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* Sidang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Pendaftaran dapat dilakukan secara langsung (offline).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1. Persyaratan Berkas (Umum)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Surat Gugatan atau Permohonan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* Asli dan fotokopi 5–7 rangkap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Buku Nikah atau Akta Perkawinan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* Asli dan fotokopi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KTP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* Fotokopi KTP penggugat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Kartu Keluarga (KK)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* Fotokopi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Surat Keterangan Domisili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* Digunakan jika alamat tempat tinggal tidak sesuai dengan KTP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Surat Izin Atasan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* Wajib untuk ASN, TNI, atau Polri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Surat Keterangan Gaib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* Dari lurah apabila alamat tergugat tidak diketahui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Semua berkas: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* Difotokopi ukuran A4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* Ditempel materai Rp10.000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* Dilegalisir di Kantor Pos (Nazegeling)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2. Cara Pengajuan (Offline – Datang ke Pengadilan)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Datang ke PA/PN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Datang ke bagian Pelayanan Terpadu Satu Pintu (PTSP):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* Pengadilan Agama bagi Muslim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* Pengadilan Negeri bagi Non-Muslim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Pengajuan dilakukan di wilayah tempat tinggal istri.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Pos Bantuan Hukum (Posbakum)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Penggugat dapat menggunakan layanan Pos Bantuan Hukum (Posbakum) secara gratis di pengadilan untuk membantu membuat surat gugatan apabila tidak menggunakan pengacara.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Daftar dan Bayar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Penggugat: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* Menyerahkan seluruh berkas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* Membayar panjar biaya perkara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Sidang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Setelah proses pendaftaran selesai, pengadilan akan mengirim surat panggilan sidang ke rumah para pihak.</w:t>
      </w:r>
    </w:p>
    <w:p w:rsidR="00000000" w:rsidDel="00000000" w:rsidP="00000000" w:rsidRDefault="00000000" w:rsidRPr="00000000" w14:paraId="0000008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Proses sidang perceraian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Proses Sidang Perceraian di Indonesia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Proses sidang perceraian di Indonesia, baik di Pengadilan Agama (Islam) maupun Pengadilan Negeri (non-Islam), umumnya melalui: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* Pendaftaran gugatan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* Mediasi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* Jawaban, replik, dan duplik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* Pembuktian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* Putusan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Durasi proses perceraian umumnya berlangsung sekitar 2–3 bulan.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Tahapan utama meliputi: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* Pendaftaran melalui e-Court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* Sidang pertama dan mediasi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* Pembuktian saksi dan surat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* Ikrar talak bagi cerai talak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1. Pendaftaran Gugatan atau Permohonan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Pengajuan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Gugatan (cerai gugat) atau permohonan (cerai talak) didaftarkan ke pengadilan, umumnya melalui aplikasi e-Court.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Dokumen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Menyiapkan: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* Buku nikah asli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* KTP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* Surat gugatan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Biaya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Membayar panjar biaya perkara.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2. Panggilan Sidang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Pengadilan mengirimkan relas panggilan sidang kepada: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* Penggugat atau Pemohon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* Tergugat atau Termohon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Panggilan dapat dilakukan melalui: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* Surat elektronik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* Jurusita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3. Sidang Pertama dan Mediasi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Kehadiran Wajib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Para pihak wajib hadir secara pribadi dalam sidang pertama.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Mediasi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Hakim wajib mengupayakan mediasi selama 30 hari dan dapat diperpanjang.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4. Pembacaan Gugatan dan Jawaban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Jika mediasi gagal, sidang dilanjutkan ke tahap pembacaan gugatan atau permohonan.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Jawaban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Tergugat memberikan jawaban atas gugatan.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Replik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Tanggapan penggugat atas jawaban tergugat.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Duplik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Tanggapan tergugat atas replik penggugat.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5. Pembuktian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Penggugat dan tergugat mengajukan: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* Bukti surat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* Minimal dua orang saksi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Saksi biasanya merupakan orang dekat atau keluarga yang mengetahui permasalahan rumah tangga.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6. Kesimpulan dan Putusan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Kedua belah pihak menyampaikan kesimpulan akhir.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Majelis hakim: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* Melakukan musyawarah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* Membacakan putusan cerai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7. Ikrar Talak dan Akta Cerai (Khusus Cerai Talak di Pengadilan Agama)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Jika permohonan cerai talak dikabulkan, dilakukan sidang penyaksian ikrar talak oleh suami.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Setelah ikrar talak: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* Panitera memberikan Akta Cerai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8. Perceraian Selesai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Apabila tidak ada upaya hukum banding dalam waktu 14 hari setelah putusan berkekuatan hukum tetap (inkracht), maka: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* Perceraian sah secara hukum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* Dokumen perceraian diterbitkan</w:t>
      </w:r>
    </w:p>
    <w:p w:rsidR="00000000" w:rsidDel="00000000" w:rsidP="00000000" w:rsidRDefault="00000000" w:rsidRPr="00000000" w14:paraId="000000F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Penentuan hak asuh anak</w:t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afa" w:val="clear"/>
        <w:spacing w:before="0" w:line="360" w:lineRule="auto"/>
        <w:rPr>
          <w:b w:val="1"/>
          <w:bCs w:val="1"/>
          <w:color w:val="162533"/>
          <w:sz w:val="30"/>
          <w:szCs w:val="30"/>
        </w:rPr>
      </w:pPr>
      <w:bookmarkStart w:colFirst="0" w:colLast="0" w:name="_s23v424zcech" w:id="0"/>
      <w:bookmarkEnd w:id="0"/>
      <w:r w:rsidDel="00000000" w:rsidR="00000000" w:rsidRPr="00000000">
        <w:rPr>
          <w:b w:val="1"/>
          <w:bCs w:val="1"/>
          <w:color w:val="162533"/>
          <w:sz w:val="30"/>
          <w:szCs w:val="30"/>
          <w:rtl w:val="0"/>
        </w:rPr>
        <w:t xml:space="preserve">Aturan Hak Asuh Anak Setelah Perceraian</w:t>
      </w:r>
    </w:p>
    <w:p w:rsidR="00000000" w:rsidDel="00000000" w:rsidP="00000000" w:rsidRDefault="00000000" w:rsidRPr="00000000" w14:paraId="000000F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afa" w:val="clear"/>
        <w:spacing w:after="180" w:lineRule="auto"/>
        <w:rPr>
          <w:color w:val="2b4156"/>
          <w:sz w:val="24"/>
          <w:szCs w:val="24"/>
        </w:rPr>
      </w:pPr>
      <w:r w:rsidDel="00000000" w:rsidR="00000000" w:rsidRPr="00000000">
        <w:rPr>
          <w:color w:val="2b4156"/>
          <w:sz w:val="24"/>
          <w:szCs w:val="24"/>
          <w:rtl w:val="0"/>
        </w:rPr>
        <w:t xml:space="preserve">Berdasarkan uraian sebelumnya, dalam UU Perkawinan diatur bahwa hak asuh anak akibat perceraian diberikan kepada bapak dan ibu. Namun, apabila terdapat perselisihan mengenai penguasaan anak-anak yang orang tuanya bercerai, pengadilan dapat memberi putusan terkait dengan penguasaan anak-anak tersebut jatuh pada siapa.</w:t>
      </w:r>
    </w:p>
    <w:p w:rsidR="00000000" w:rsidDel="00000000" w:rsidP="00000000" w:rsidRDefault="00000000" w:rsidRPr="00000000" w14:paraId="000000F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afa" w:val="clear"/>
        <w:spacing w:after="180" w:lineRule="auto"/>
        <w:rPr>
          <w:color w:val="2b4156"/>
          <w:sz w:val="24"/>
          <w:szCs w:val="24"/>
        </w:rPr>
      </w:pPr>
      <w:r w:rsidDel="00000000" w:rsidR="00000000" w:rsidRPr="00000000">
        <w:rPr>
          <w:color w:val="2b4156"/>
          <w:sz w:val="24"/>
          <w:szCs w:val="24"/>
          <w:rtl w:val="0"/>
        </w:rPr>
        <w:t xml:space="preserve">Selanjutnya, jika mengacu kepada ketentuan </w:t>
      </w:r>
      <w:r w:rsidDel="00000000" w:rsidR="00000000" w:rsidRPr="00000000">
        <w:rPr>
          <w:b w:val="1"/>
          <w:bCs w:val="1"/>
          <w:color w:val="2b4156"/>
          <w:sz w:val="24"/>
          <w:szCs w:val="24"/>
          <w:rtl w:val="0"/>
        </w:rPr>
        <w:t xml:space="preserve">Pasal 105 KHI</w:t>
      </w:r>
      <w:r w:rsidDel="00000000" w:rsidR="00000000" w:rsidRPr="00000000">
        <w:rPr>
          <w:color w:val="2b4156"/>
          <w:sz w:val="24"/>
          <w:szCs w:val="24"/>
          <w:rtl w:val="0"/>
        </w:rPr>
        <w:t xml:space="preserve">, hak asuh anak atau pemeliharaan anak yang </w:t>
      </w:r>
      <w:r w:rsidDel="00000000" w:rsidR="00000000" w:rsidRPr="00000000">
        <w:rPr>
          <w:b w:val="1"/>
          <w:bCs w:val="1"/>
          <w:color w:val="2b4156"/>
          <w:sz w:val="24"/>
          <w:szCs w:val="24"/>
          <w:rtl w:val="0"/>
        </w:rPr>
        <w:t xml:space="preserve">belum</w:t>
      </w:r>
      <w:r w:rsidDel="00000000" w:rsidR="00000000" w:rsidRPr="00000000">
        <w:rPr>
          <w:b w:val="1"/>
          <w:bCs w:val="1"/>
          <w:i w:val="1"/>
          <w:iCs w:val="1"/>
          <w:color w:val="2b4156"/>
          <w:sz w:val="24"/>
          <w:szCs w:val="24"/>
          <w:rtl w:val="0"/>
        </w:rPr>
        <w:t xml:space="preserve">mumayyiz</w:t>
      </w:r>
      <w:r w:rsidDel="00000000" w:rsidR="00000000" w:rsidRPr="00000000">
        <w:rPr>
          <w:color w:val="2b4156"/>
          <w:sz w:val="24"/>
          <w:szCs w:val="24"/>
          <w:rtl w:val="0"/>
        </w:rPr>
        <w:t xml:space="preserve">(sudah bisa membedakan sesuatu yang baik dan yang buruk) </w:t>
      </w:r>
      <w:r w:rsidDel="00000000" w:rsidR="00000000" w:rsidRPr="00000000">
        <w:rPr>
          <w:b w:val="1"/>
          <w:bCs w:val="1"/>
          <w:color w:val="2b4156"/>
          <w:sz w:val="24"/>
          <w:szCs w:val="24"/>
          <w:rtl w:val="0"/>
        </w:rPr>
        <w:t xml:space="preserve">atau belum berumur 12 tahun adalah hak ibunya</w:t>
      </w:r>
      <w:r w:rsidDel="00000000" w:rsidR="00000000" w:rsidRPr="00000000">
        <w:rPr>
          <w:color w:val="2b4156"/>
          <w:sz w:val="24"/>
          <w:szCs w:val="24"/>
          <w:rtl w:val="0"/>
        </w:rPr>
        <w:t xml:space="preserve">. Sedangkan, pemeliharaan anak yang </w:t>
      </w:r>
      <w:r w:rsidDel="00000000" w:rsidR="00000000" w:rsidRPr="00000000">
        <w:rPr>
          <w:b w:val="1"/>
          <w:bCs w:val="1"/>
          <w:color w:val="2b4156"/>
          <w:sz w:val="24"/>
          <w:szCs w:val="24"/>
          <w:rtl w:val="0"/>
        </w:rPr>
        <w:t xml:space="preserve">sudah </w:t>
      </w:r>
      <w:r w:rsidDel="00000000" w:rsidR="00000000" w:rsidRPr="00000000">
        <w:rPr>
          <w:b w:val="1"/>
          <w:bCs w:val="1"/>
          <w:i w:val="1"/>
          <w:iCs w:val="1"/>
          <w:color w:val="2b4156"/>
          <w:sz w:val="24"/>
          <w:szCs w:val="24"/>
          <w:rtl w:val="0"/>
        </w:rPr>
        <w:t xml:space="preserve">mumayyiz</w:t>
      </w:r>
      <w:r w:rsidDel="00000000" w:rsidR="00000000" w:rsidRPr="00000000">
        <w:rPr>
          <w:b w:val="1"/>
          <w:bCs w:val="1"/>
          <w:color w:val="2b4156"/>
          <w:sz w:val="24"/>
          <w:szCs w:val="24"/>
          <w:rtl w:val="0"/>
        </w:rPr>
        <w:t xml:space="preserve"> diserahkan kepada anak tersebut untuk memilih</w:t>
      </w:r>
      <w:r w:rsidDel="00000000" w:rsidR="00000000" w:rsidRPr="00000000">
        <w:rPr>
          <w:color w:val="2b4156"/>
          <w:sz w:val="24"/>
          <w:szCs w:val="24"/>
          <w:rtl w:val="0"/>
        </w:rPr>
        <w:t xml:space="preserve"> di antara ayah atau ibunya sebagai pemegang hak asuh atau hak pemeliharaannya.</w:t>
      </w:r>
    </w:p>
    <w:p w:rsidR="00000000" w:rsidDel="00000000" w:rsidP="00000000" w:rsidRDefault="00000000" w:rsidRPr="00000000" w14:paraId="0000010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Penetapan nafkah</w:t>
      </w:r>
    </w:p>
    <w:p w:rsidR="00000000" w:rsidDel="00000000" w:rsidP="00000000" w:rsidRDefault="00000000" w:rsidRPr="00000000" w14:paraId="0000010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afa" w:val="clear"/>
        <w:spacing w:after="180" w:lineRule="auto"/>
        <w:rPr>
          <w:color w:val="2b4156"/>
          <w:sz w:val="24"/>
          <w:szCs w:val="24"/>
        </w:rPr>
      </w:pPr>
      <w:r w:rsidDel="00000000" w:rsidR="00000000" w:rsidRPr="00000000">
        <w:rPr>
          <w:color w:val="2b4156"/>
          <w:sz w:val="24"/>
          <w:szCs w:val="24"/>
          <w:rtl w:val="0"/>
        </w:rPr>
        <w:t xml:space="preserve">pada </w:t>
      </w:r>
      <w:r w:rsidDel="00000000" w:rsidR="00000000" w:rsidRPr="00000000">
        <w:rPr>
          <w:b w:val="1"/>
          <w:bCs w:val="1"/>
          <w:color w:val="2b4156"/>
          <w:sz w:val="24"/>
          <w:szCs w:val="24"/>
          <w:rtl w:val="0"/>
        </w:rPr>
        <w:t xml:space="preserve">Pasal 149 KHI</w:t>
      </w:r>
      <w:r w:rsidDel="00000000" w:rsidR="00000000" w:rsidRPr="00000000">
        <w:rPr>
          <w:color w:val="2b4156"/>
          <w:sz w:val="24"/>
          <w:szCs w:val="24"/>
          <w:rtl w:val="0"/>
        </w:rPr>
        <w:t xml:space="preserve"> ditegaskan bahwa bilamana perkawinan putus karena talak, maka bekas suami memiliki kewajiban-kewajiban sebagai berikut:</w:t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afa" w:val="clear"/>
        <w:spacing w:after="0" w:afterAutospacing="0" w:lineRule="auto"/>
        <w:ind w:left="720" w:hanging="360"/>
        <w:jc w:val="both"/>
      </w:pPr>
      <w:r w:rsidDel="00000000" w:rsidR="00000000" w:rsidRPr="00000000">
        <w:rPr>
          <w:color w:val="2b4156"/>
          <w:sz w:val="24"/>
          <w:szCs w:val="24"/>
          <w:rtl w:val="0"/>
        </w:rPr>
        <w:t xml:space="preserve">Memberikan </w:t>
      </w:r>
      <w:r w:rsidDel="00000000" w:rsidR="00000000" w:rsidRPr="00000000">
        <w:rPr>
          <w:i w:val="1"/>
          <w:iCs w:val="1"/>
          <w:color w:val="2b4156"/>
          <w:sz w:val="24"/>
          <w:szCs w:val="24"/>
          <w:rtl w:val="0"/>
        </w:rPr>
        <w:t xml:space="preserve">mut’ah</w:t>
      </w:r>
      <w:r w:rsidDel="00000000" w:rsidR="00000000" w:rsidRPr="00000000">
        <w:rPr>
          <w:color w:val="2b4156"/>
          <w:sz w:val="24"/>
          <w:szCs w:val="24"/>
          <w:rtl w:val="0"/>
        </w:rPr>
        <w:t xml:space="preserve"> (sesuatu uang/barang) yang layak kepada bekas istrinya, baik berupa uang atau benda, kecuali bekas istri tersebut </w:t>
      </w:r>
      <w:r w:rsidDel="00000000" w:rsidR="00000000" w:rsidRPr="00000000">
        <w:rPr>
          <w:i w:val="1"/>
          <w:iCs w:val="1"/>
          <w:color w:val="2b4156"/>
          <w:sz w:val="24"/>
          <w:szCs w:val="24"/>
          <w:rtl w:val="0"/>
        </w:rPr>
        <w:t xml:space="preserve">qobla al-dukhul</w:t>
      </w:r>
      <w:r w:rsidDel="00000000" w:rsidR="00000000" w:rsidRPr="00000000">
        <w:rPr>
          <w:color w:val="2b4156"/>
          <w:sz w:val="24"/>
          <w:szCs w:val="24"/>
          <w:rtl w:val="0"/>
        </w:rPr>
        <w:t xml:space="preserve"> (pasangan suami istri yang belum pernah berhubungan badan);</w:t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afa" w:val="clear"/>
        <w:spacing w:after="0" w:afterAutospacing="0" w:lineRule="auto"/>
        <w:ind w:left="720" w:hanging="360"/>
        <w:jc w:val="both"/>
      </w:pPr>
      <w:r w:rsidDel="00000000" w:rsidR="00000000" w:rsidRPr="00000000">
        <w:rPr>
          <w:color w:val="2b4156"/>
          <w:sz w:val="24"/>
          <w:szCs w:val="24"/>
          <w:rtl w:val="0"/>
        </w:rPr>
        <w:t xml:space="preserve">Memberikan nafkah, </w:t>
      </w:r>
      <w:r w:rsidDel="00000000" w:rsidR="00000000" w:rsidRPr="00000000">
        <w:rPr>
          <w:i w:val="1"/>
          <w:iCs w:val="1"/>
          <w:color w:val="2b4156"/>
          <w:sz w:val="24"/>
          <w:szCs w:val="24"/>
          <w:rtl w:val="0"/>
        </w:rPr>
        <w:t xml:space="preserve">maskan </w:t>
      </w:r>
      <w:r w:rsidDel="00000000" w:rsidR="00000000" w:rsidRPr="00000000">
        <w:rPr>
          <w:color w:val="2b4156"/>
          <w:sz w:val="24"/>
          <w:szCs w:val="24"/>
          <w:rtl w:val="0"/>
        </w:rPr>
        <w:t xml:space="preserve">(tempat tinggal), dan </w:t>
      </w:r>
      <w:r w:rsidDel="00000000" w:rsidR="00000000" w:rsidRPr="00000000">
        <w:rPr>
          <w:i w:val="1"/>
          <w:iCs w:val="1"/>
          <w:color w:val="2b4156"/>
          <w:sz w:val="24"/>
          <w:szCs w:val="24"/>
          <w:rtl w:val="0"/>
        </w:rPr>
        <w:t xml:space="preserve">kiswah</w:t>
      </w:r>
      <w:r w:rsidDel="00000000" w:rsidR="00000000" w:rsidRPr="00000000">
        <w:rPr>
          <w:color w:val="2b4156"/>
          <w:sz w:val="24"/>
          <w:szCs w:val="24"/>
          <w:rtl w:val="0"/>
        </w:rPr>
        <w:t xml:space="preserve"> (pakaian) kepada bekas istri selama dalam </w:t>
      </w:r>
      <w:r w:rsidDel="00000000" w:rsidR="00000000" w:rsidRPr="00000000">
        <w:rPr>
          <w:i w:val="1"/>
          <w:iCs w:val="1"/>
          <w:color w:val="2b4156"/>
          <w:sz w:val="24"/>
          <w:szCs w:val="24"/>
          <w:rtl w:val="0"/>
        </w:rPr>
        <w:t xml:space="preserve">iddah</w:t>
      </w:r>
      <w:r w:rsidDel="00000000" w:rsidR="00000000" w:rsidRPr="00000000">
        <w:rPr>
          <w:color w:val="2b4156"/>
          <w:sz w:val="24"/>
          <w:szCs w:val="24"/>
          <w:rtl w:val="0"/>
        </w:rPr>
        <w:t xml:space="preserve">, kecuali bekas istri telah dijatuhi talak </w:t>
      </w:r>
      <w:r w:rsidDel="00000000" w:rsidR="00000000" w:rsidRPr="00000000">
        <w:rPr>
          <w:i w:val="1"/>
          <w:iCs w:val="1"/>
          <w:color w:val="2b4156"/>
          <w:sz w:val="24"/>
          <w:szCs w:val="24"/>
          <w:rtl w:val="0"/>
        </w:rPr>
        <w:t xml:space="preserve">ba’in</w:t>
      </w:r>
      <w:r w:rsidDel="00000000" w:rsidR="00000000" w:rsidRPr="00000000">
        <w:rPr>
          <w:color w:val="2b4156"/>
          <w:sz w:val="24"/>
          <w:szCs w:val="24"/>
          <w:rtl w:val="0"/>
        </w:rPr>
        <w:t xml:space="preserve"> atau </w:t>
      </w:r>
      <w:r w:rsidDel="00000000" w:rsidR="00000000" w:rsidRPr="00000000">
        <w:rPr>
          <w:i w:val="1"/>
          <w:iCs w:val="1"/>
          <w:color w:val="2b4156"/>
          <w:sz w:val="24"/>
          <w:szCs w:val="24"/>
          <w:rtl w:val="0"/>
        </w:rPr>
        <w:t xml:space="preserve">nusyuz</w:t>
      </w:r>
      <w:r w:rsidDel="00000000" w:rsidR="00000000" w:rsidRPr="00000000">
        <w:rPr>
          <w:color w:val="2b4156"/>
          <w:sz w:val="24"/>
          <w:szCs w:val="24"/>
          <w:rtl w:val="0"/>
        </w:rPr>
        <w:t xml:space="preserve"> dan dalam keadaan tidak hamil;</w:t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afa" w:val="clear"/>
        <w:spacing w:after="0" w:afterAutospacing="0" w:lineRule="auto"/>
        <w:ind w:left="720" w:hanging="360"/>
        <w:jc w:val="both"/>
      </w:pPr>
      <w:r w:rsidDel="00000000" w:rsidR="00000000" w:rsidRPr="00000000">
        <w:rPr>
          <w:color w:val="2b4156"/>
          <w:sz w:val="24"/>
          <w:szCs w:val="24"/>
          <w:rtl w:val="0"/>
        </w:rPr>
        <w:t xml:space="preserve">Melunasi mahar yang masih terutang seluruhnya, dan separuh apabila </w:t>
      </w:r>
      <w:r w:rsidDel="00000000" w:rsidR="00000000" w:rsidRPr="00000000">
        <w:rPr>
          <w:i w:val="1"/>
          <w:iCs w:val="1"/>
          <w:color w:val="2b4156"/>
          <w:sz w:val="24"/>
          <w:szCs w:val="24"/>
          <w:rtl w:val="0"/>
        </w:rPr>
        <w:t xml:space="preserve">qobla al-dukhul</w:t>
      </w:r>
      <w:r w:rsidDel="00000000" w:rsidR="00000000" w:rsidRPr="00000000">
        <w:rPr>
          <w:color w:val="2b4156"/>
          <w:sz w:val="24"/>
          <w:szCs w:val="24"/>
          <w:rtl w:val="0"/>
        </w:rPr>
        <w:t xml:space="preserve">; dan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afafa" w:val="clear"/>
        <w:spacing w:after="180" w:lineRule="auto"/>
        <w:ind w:left="720" w:hanging="360"/>
        <w:jc w:val="both"/>
      </w:pPr>
      <w:r w:rsidDel="00000000" w:rsidR="00000000" w:rsidRPr="00000000">
        <w:rPr>
          <w:b w:val="1"/>
          <w:bCs w:val="1"/>
          <w:color w:val="2b4156"/>
          <w:sz w:val="24"/>
          <w:szCs w:val="24"/>
          <w:rtl w:val="0"/>
        </w:rPr>
        <w:t xml:space="preserve">Memberikan biaya </w:t>
      </w:r>
      <w:r w:rsidDel="00000000" w:rsidR="00000000" w:rsidRPr="00000000">
        <w:rPr>
          <w:b w:val="1"/>
          <w:bCs w:val="1"/>
          <w:i w:val="1"/>
          <w:iCs w:val="1"/>
          <w:color w:val="2b4156"/>
          <w:sz w:val="24"/>
          <w:szCs w:val="24"/>
          <w:rtl w:val="0"/>
        </w:rPr>
        <w:t xml:space="preserve">hadhanah</w:t>
      </w:r>
      <w:r w:rsidDel="00000000" w:rsidR="00000000" w:rsidRPr="00000000">
        <w:rPr>
          <w:b w:val="1"/>
          <w:bCs w:val="1"/>
          <w:color w:val="2b4156"/>
          <w:sz w:val="24"/>
          <w:szCs w:val="24"/>
          <w:rtl w:val="0"/>
        </w:rPr>
        <w:t xml:space="preserve"> untuk anak-anaknya yang belum mencapai umur 21 tahun.</w:t>
      </w:r>
    </w:p>
    <w:p w:rsidR="00000000" w:rsidDel="00000000" w:rsidP="00000000" w:rsidRDefault="00000000" w:rsidRPr="00000000" w14:paraId="00000107">
      <w:pPr>
        <w:jc w:val="left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b4156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