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RV College of Engineering®</w:t>
      </w:r>
    </w:p>
    <w:p>
      <w:pPr>
        <w:spacing w:after="40"/>
        <w:jc w:val="center"/>
      </w:pPr>
      <w:r>
        <w:rPr>
          <w:rFonts w:ascii="Arial" w:cs="Arial" w:eastAsia="Arial" w:hAnsi="Arial"/>
          <w:b w:val="false"/>
          <w:bCs w:val="false"/>
          <w:sz w:val="18"/>
          <w:szCs w:val="18"/>
        </w:rPr>
        <w:t xml:space="preserve">Mysore Road, RV Vidyaniketan Post, Bengaluru - 560059, Karnataka, India</w:t>
      </w:r>
    </w:p>
    <w:p>
      <w:pPr>
        <w:spacing w:after="60"/>
        <w:jc w:val="center"/>
      </w:pPr>
      <w:r>
        <w:rPr>
          <w:rFonts w:ascii="Arial" w:cs="Arial" w:eastAsia="Arial" w:hAnsi="Arial"/>
          <w:b/>
          <w:bCs/>
          <w:sz w:val="22"/>
          <w:szCs w:val="22"/>
        </w:rPr>
        <w:t xml:space="preserve">Department of Computer Science and Engineering</w:t>
      </w:r>
    </w:p>
    <w:p>
      <w:pPr>
        <w:spacing w:after="160"/>
        <w:jc w:val="center"/>
      </w:pPr>
      <w:r>
        <w:rPr>
          <w:rFonts w:ascii="Arial" w:cs="Arial" w:eastAsia="Arial" w:hAnsi="Arial"/>
          <w:b/>
          <w:bCs/>
          <w:sz w:val="22"/>
          <w:szCs w:val="22"/>
        </w:rPr>
        <w:t xml:space="preserve">Database Management Systems (CD252IA)</w:t>
      </w:r>
    </w:p>
    <w:p>
      <w:pPr>
        <w:spacing w:after="60"/>
        <w:jc w:val="center"/>
      </w:pPr>
      <w:r>
        <w:rPr>
          <w:rFonts w:ascii="Arial" w:cs="Arial" w:eastAsia="Arial" w:hAnsi="Arial"/>
          <w:b/>
          <w:bCs/>
          <w:sz w:val="24"/>
          <w:szCs w:val="24"/>
        </w:rPr>
        <w:t xml:space="preserve">Project: Financial Transaction Ledger with Real-Time Fraud Triage</w:t>
      </w:r>
    </w:p>
    <w:p>
      <w:pPr>
        <w:spacing w:after="160"/>
        <w:jc w:val="center"/>
      </w:pPr>
      <w:r>
        <w:rPr>
          <w:rFonts w:ascii="Arial" w:cs="Arial" w:eastAsia="Arial" w:hAnsi="Arial"/>
          <w:b w:val="false"/>
          <w:bCs w:val="false"/>
          <w:sz w:val="20"/>
          <w:szCs w:val="20"/>
        </w:rPr>
        <w:t xml:space="preserve">Document: Software Requirement Specification — Software and Hardware Requirements, Functional and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USN</w:t>
            </w:r>
          </w:p>
        </w:tc>
        <w:tc>
          <w:tcPr>
            <w:tcW w:type="dxa" w:w="66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Name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1RV24CS200</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Praneel K A</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1RV24CS215</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Rahul A S</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1RV24CS222</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Ramakrishna Vinayak Bhat</w:t>
            </w:r>
          </w:p>
        </w:tc>
      </w:tr>
    </w:tbl>
    <w:p>
      <w:pPr>
        <w:spacing w:after="80"/>
      </w:pPr>
    </w:p>
    <w:p>
      <w:pPr>
        <w:pStyle w:val="Heading1"/>
        <w:keepNext/>
        <w:spacing w:after="140" w:before="280"/>
      </w:pPr>
      <w:r>
        <w:rPr>
          <w:rFonts w:ascii="Arial" w:cs="Arial" w:eastAsia="Arial" w:hAnsi="Arial"/>
          <w:b/>
          <w:bCs/>
          <w:color w:val="1F3864"/>
          <w:sz w:val="26"/>
          <w:szCs w:val="26"/>
        </w:rPr>
        <w:t xml:space="preserve">Introduction</w:t>
      </w:r>
    </w:p>
    <w:p>
      <w:pPr>
        <w:spacing w:after="120"/>
      </w:pPr>
      <w:r>
        <w:rPr>
          <w:rFonts w:ascii="Arial" w:cs="Arial" w:eastAsia="Arial" w:hAnsi="Arial"/>
          <w:sz w:val="20"/>
          <w:szCs w:val="20"/>
        </w:rPr>
        <w:t xml:space="preserve">This document specifies the requirements of the Financial Transaction Ledger with Real-Time Fraud Triage. The system is a double-entry financial ledger built on PostgreSQL in which every transfer is stored as balanced debit and credit entries under ACID guarantees. A fraud triage layer scores each transaction with an Isolation Forest model, and a tamper-evident, hash-chained audit trail records every change. Redis and MongoDB hold fast-changing and flexible fraud data alongside the relational core, kept consistent through a transactional outbox.</w:t>
      </w:r>
    </w:p>
    <w:p>
      <w:pPr>
        <w:spacing w:after="120"/>
      </w:pPr>
      <w:r>
        <w:rPr>
          <w:rFonts w:ascii="Arial" w:cs="Arial" w:eastAsia="Arial" w:hAnsi="Arial"/>
          <w:sz w:val="20"/>
          <w:szCs w:val="20"/>
        </w:rPr>
        <w:t xml:space="preserve">The software stack follows the technologies chosen in the project synopsis. Version numbers are minimum suggested versions, and numeric targets are initial goals to be confirmed during testing.</w:t>
      </w:r>
    </w:p>
    <w:p>
      <w:pPr>
        <w:pStyle w:val="Heading1"/>
        <w:keepNext/>
        <w:spacing w:after="140" w:before="280"/>
      </w:pPr>
      <w:r>
        <w:rPr>
          <w:rFonts w:ascii="Arial" w:cs="Arial" w:eastAsia="Arial" w:hAnsi="Arial"/>
          <w:b/>
          <w:bCs/>
          <w:color w:val="1F3864"/>
          <w:sz w:val="26"/>
          <w:szCs w:val="26"/>
        </w:rPr>
        <w:t xml:space="preserve">1.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Component</w:t>
            </w:r>
          </w:p>
        </w:tc>
        <w:tc>
          <w:tcPr>
            <w:tcW w:type="dxa" w:w="2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Requirement</w:t>
            </w:r>
          </w:p>
        </w:tc>
        <w:tc>
          <w:tcPr>
            <w:tcW w:type="dxa" w:w="42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Purpose</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Operating System</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Windows 10/11, Ubuntu 22.04 LTS or later, or macOS</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Development and deployment environment</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Relational Database</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PostgreSQL 15 or later</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Source of truth: customers, accounts, devices, merchants, transactions, double-entry ledger entries, fraud results, alerts, analyst reviews, outbox events, and the hash-chained audit log</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Document Database</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MongoDB 6.0 or later</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One flexible document per fraud alert holding rule hits, feature values, model explanation, analyst notes, and raw event logs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Key-Value Store</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Redis 7 or later</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Real-time velocity counters and recent device and merchant history, using atomic increments with expiry</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Programming Language</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Python 3.11</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Backend logic, fraud scoring, outbox worker, synthetic data generation, and test scripts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Backend Framework</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FastAPI (with Uvicorn)</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REST APIs for transfers, fraud triage, alerts, analyst review, and audit verification</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Database Connectors</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psycopg2 (PostgreSQL); pymongo (MongoDB); redis-py (Redis)</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Access to the relational, document, and key-value stores from Python</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ML and Data Libraries</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scikit-learn, pandas, NumPy</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Isolation Forest model training and scoring, and feature extraction</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Synthetic Data</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Faker</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Generating synthetic customers, accounts, devices, merchants, and transaction history</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Frontend</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Jinja2 templates with HTMX (HTML/CSS)</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Customer and analyst web interface served by the backend</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Benchmarking Tools</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pgbench, EXPLAIN ANALYZE</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Concurrency, throughput, and query-plan benchmarks; isolation-level comparison</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Testing</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Pytest</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Ledger integrity, deadlock-free concurrency, audit-chain, and outbox tests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Containerisation</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Docker and Docker Compose</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Running PostgreSQL, MongoDB, and Redis together in a reproducible setup</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Database Tools</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pgAdmin 4 (optional: MongoDB Compass, RedisInsight)</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Database administration, inspection, and testing of all three stores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Modeling and Design Tools</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draw.io or ERDPlus</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ER diagram and relational schema design</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Development Tools</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VS Code or PyCharm, Git and GitHub, Postman</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Coding, version control, and REST API testing</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Web Browser</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Latest Google Chrome, Microsoft Edge, or Firefox</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Accessing the customer and analyst interface</w:t>
            </w:r>
          </w:p>
        </w:tc>
      </w:tr>
    </w:tbl>
    <w:p>
      <w:pPr>
        <w:pStyle w:val="Heading1"/>
        <w:keepNext/>
        <w:spacing w:after="140" w:before="280"/>
      </w:pPr>
      <w:r>
        <w:rPr>
          <w:rFonts w:ascii="Arial" w:cs="Arial" w:eastAsia="Arial" w:hAnsi="Arial"/>
          <w:b/>
          <w:bCs/>
          <w:color w:val="1F3864"/>
          <w:sz w:val="26"/>
          <w:szCs w:val="26"/>
        </w:rPr>
        <w:t xml:space="preserve">2. Hardware Requirements</w:t>
      </w:r>
    </w:p>
    <w:p>
      <w:pPr>
        <w:spacing w:after="120"/>
      </w:pPr>
      <w:r>
        <w:rPr>
          <w:rFonts w:ascii="Arial" w:cs="Arial" w:eastAsia="Arial" w:hAnsi="Arial"/>
          <w:sz w:val="20"/>
          <w:szCs w:val="20"/>
        </w:rPr>
        <w:t xml:space="preserve">The system runs on a standard development machine. A GPU is not needed because the Isolation Forest model is lightweight and runs on CPU. These figures are suggested for development and testing, not measured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Component</w:t>
            </w:r>
          </w:p>
        </w:tc>
        <w:tc>
          <w:tcPr>
            <w:tcW w:type="dxa" w:w="3563"/>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Minimum</w:t>
            </w:r>
          </w:p>
        </w:tc>
        <w:tc>
          <w:tcPr>
            <w:tcW w:type="dxa" w:w="3563"/>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Recommended</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Processor</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Intel Core i5 (or equivalent) or higher, 4 cores</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Intel Core i7 / AMD Ryzen 7 or higher, 8 cores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RAM</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8 GB</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16 GB or more (needed to run PostgreSQL, MongoDB, Redis, the backend, and benchmarks together in Docker)</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Storage</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256 GB SSD with at least 20 GB free</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512 GB SSD or higher (for ledger partitions, benchmark data, and Docker volumes)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GPU</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Not required; Isolation Forest training and scoring run on CPU</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Not required</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Network</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Broadband internet connection (for package installation and Docker image downloads)</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Stable high-speed connection</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Display and Peripherals</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Standard monitor (1366 x 768), keyboard, and mouse</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Full HD display (1920 x 1080) for the analyst alert views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Optional: Data Source</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None; labelled synthetic data generated with Faker is sufficient</w:t>
            </w:r>
          </w:p>
        </w:tc>
        <w:tc>
          <w:tcPr>
            <w:tcW w:type="dxa" w:w="3563"/>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Optional public fraud-transaction datasets for evaluating the Isolation Forest model</w:t>
            </w:r>
          </w:p>
        </w:tc>
      </w:tr>
    </w:tbl>
    <w:p>
      <w:pPr>
        <w:pStyle w:val="Heading1"/>
        <w:keepNext/>
        <w:spacing w:after="140" w:before="280"/>
      </w:pPr>
      <w:r>
        <w:rPr>
          <w:rFonts w:ascii="Arial" w:cs="Arial" w:eastAsia="Arial" w:hAnsi="Arial"/>
          <w:b/>
          <w:bCs/>
          <w:color w:val="1F3864"/>
          <w:sz w:val="26"/>
          <w:szCs w:val="26"/>
        </w:rPr>
        <w:t xml:space="preserve">3. Functional Requirements</w:t>
      </w:r>
    </w:p>
    <w:p>
      <w:pPr>
        <w:keepNext/>
        <w:spacing w:after="120"/>
      </w:pPr>
      <w:r>
        <w:rPr>
          <w:rFonts w:ascii="Arial" w:cs="Arial" w:eastAsia="Arial" w:hAnsi="Arial"/>
          <w:sz w:val="20"/>
          <w:szCs w:val="20"/>
        </w:rPr>
        <w:t xml:space="preserve">Functional requirements describe what the system shall do. They are grouped below by module.</w:t>
      </w:r>
    </w:p>
    <w:p>
      <w:pPr>
        <w:pStyle w:val="Heading2"/>
        <w:keepNext/>
        <w:spacing w:after="100" w:before="200"/>
      </w:pPr>
      <w:r>
        <w:rPr>
          <w:rFonts w:ascii="Arial" w:cs="Arial" w:eastAsia="Arial" w:hAnsi="Arial"/>
          <w:b/>
          <w:bCs/>
          <w:color w:val="2F5496"/>
          <w:sz w:val="22"/>
          <w:szCs w:val="22"/>
        </w:rPr>
        <w:t xml:space="preserve">3.1 Customer, Account, and Access Management Module (FR-1 to FR-6)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ID</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Requirement</w:t>
            </w:r>
          </w:p>
        </w:tc>
        <w:tc>
          <w:tcPr>
            <w:tcW w:type="dxa" w:w="58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Description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User Authentication and Roles</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authenticate users and provide role-based access (for example Customer, Analyst, Admin, and Auditor) so that each role sees and changes only permitted data.</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Customer Management</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add, view, update, and deactivate customer records, including name, email, and KYC status.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Account Management</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create and manage accounts for a customer (account type, balance, and status), allow a customer to hold many accounts, and prevent transactions on accounts that are frozen or closed.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Device Registration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register the devices used by a customer, storing a device fingerprint and the time it was first seen, and link each transaction to the device used.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FR-5</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Merchant Management</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maintain merchant records (name, category, and country) and link transactions to merchants.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FR-6</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Analyst Management</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maintain fraud analyst records and roles so that alert reviews can be assigned to and attributed to specific analysts.</w:t>
            </w:r>
          </w:p>
        </w:tc>
      </w:tr>
    </w:tbl>
    <w:p>
      <w:pPr>
        <w:pStyle w:val="Heading2"/>
        <w:keepNext/>
        <w:spacing w:after="100" w:before="200"/>
      </w:pPr>
      <w:r>
        <w:rPr>
          <w:rFonts w:ascii="Arial" w:cs="Arial" w:eastAsia="Arial" w:hAnsi="Arial"/>
          <w:b/>
          <w:bCs/>
          <w:color w:val="2F5496"/>
          <w:sz w:val="22"/>
          <w:szCs w:val="22"/>
        </w:rPr>
        <w:t xml:space="preserve">3.2 Double-Entry Ledger and Transaction Module (FR-7 to FR-14)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ID</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Requirement</w:t>
            </w:r>
          </w:p>
        </w:tc>
        <w:tc>
          <w:tcPr>
            <w:tcW w:type="dxa" w:w="58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Description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FR-7</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Fund Transfer Processing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process each transfer by inserting one transaction record and at least two ledger entries (debit and credit) within a single database transaction.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FR-8</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Debit-Credit Balance Enforcement</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use a deferred database trigger to verify that total debits equal total credits for every transaction at commit, and shall reject any transaction that does not balance.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FR-9</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Balance Update and Checks</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update account balances as part of the same transaction as the ledger entries and shall reject transfers that would cause an overdraft or involve an inactive account.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FR-10</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Concurrency Control</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acquire row-level locks on the accounts involved in a transfer in a fixed account-ID order to prevent deadlocks, and shall automatically retry a transaction that fails because of a serialization failure or deadlock.</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FR-11</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Isolation Level Support</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allow transfers to run under Read Committed, Repeatable Read, and Serializable isolation so that their correctness and throughput can be compared.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FR-12</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Transaction Lifecycle</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record the type, status, merchant, device, and initiation time of every transaction and update its status as it moves through fraud triage (for example approved, flagged, or rolled back).</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FR-13</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Transaction History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let customers view the transaction and ledger history of their own accounts, and let authorised staff view the history of any account.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Data Validation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validate all inputs and enforce integrity through primary keys, foreign keys, and CHECK constraints (for example positive amounts and valid directions), rejecting invalid or duplicate data.</w:t>
            </w:r>
          </w:p>
        </w:tc>
      </w:tr>
    </w:tbl>
    <w:p>
      <w:pPr>
        <w:pStyle w:val="Heading2"/>
        <w:keepNext/>
        <w:spacing w:after="100" w:before="200"/>
      </w:pPr>
      <w:r>
        <w:rPr>
          <w:rFonts w:ascii="Arial" w:cs="Arial" w:eastAsia="Arial" w:hAnsi="Arial"/>
          <w:b/>
          <w:bCs/>
          <w:color w:val="2F5496"/>
          <w:sz w:val="22"/>
          <w:szCs w:val="22"/>
        </w:rPr>
        <w:t xml:space="preserve">3.3 Fraud Triage Module (FR-15 to FR-22)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ID</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Requirement</w:t>
            </w:r>
          </w:p>
        </w:tc>
        <w:tc>
          <w:tcPr>
            <w:tcW w:type="dxa" w:w="58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Description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FR-15</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Feature Extraction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compute fraud features for each transaction at processing time, including amount, transaction velocity, deviation from the 30-day average, time of transaction, and location change.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FR-16</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Isolation Forest Scoring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score every transaction with an Isolation Forest model and produce a risk score from 0 to 100.</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FR-17</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Decision Thresholds</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apply the triage rules: a score below 50 approves the transaction; a score from 50 to 80 approves it and raises an alert for analyst review; a score above 80 rolls the transaction back to a savepoint, flags the account, and logs the result.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FR-18</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In-Transaction Triage</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run fraud scoring inside the transaction lifecycle, before the ledger write is committed, so that high-risk transfers are stopped before money moves.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FR-19</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Fraud Result Storage</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store the risk score, model version, and decision of every scored transaction as a fraud result linked to that transaction.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FR-20</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Fraud Alert Generation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create a fraud alert, with a severity and status, for every transaction that needs analyst attention.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FR-21</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Analyst Review</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let analysts open alerts, review the supporting evidence, and record a decision, so that borderline cases are resolved by a human and not blocked automatically.</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FR-22</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Model Training and Versioning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train the Isolation Forest model on labelled synthetic transaction history and record a version for each trained model so that every result can be traced to the model that produced it.</w:t>
            </w:r>
          </w:p>
        </w:tc>
      </w:tr>
    </w:tbl>
    <w:p>
      <w:pPr>
        <w:pStyle w:val="Heading2"/>
        <w:keepNext/>
        <w:spacing w:after="100" w:before="200"/>
      </w:pPr>
      <w:r>
        <w:rPr>
          <w:rFonts w:ascii="Arial" w:cs="Arial" w:eastAsia="Arial" w:hAnsi="Arial"/>
          <w:b/>
          <w:bCs/>
          <w:color w:val="2F5496"/>
          <w:sz w:val="22"/>
          <w:szCs w:val="22"/>
        </w:rPr>
        <w:t xml:space="preserve">3.4 Tamper-Evident Audit Module (FR-23 to FR-26)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ID</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Requirement</w:t>
            </w:r>
          </w:p>
        </w:tc>
        <w:tc>
          <w:tcPr>
            <w:tcW w:type="dxa" w:w="58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Description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FR-23</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Trigger-Based Audit Logging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use database triggers to record every insert, update, and delete on audited tables, storing the table name, operation, and old and new data.</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Append-Only Audit Log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allow only inserts into the audit log and shall reject any update or delete on it, including by application users.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FR-25</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Hash Chaining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store with each audit entry the hash of the previous entry together with its own row hash, so that the log forms a hash chain.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FR-26</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Audit Verification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provide a verification function that recomputes the hash chain and reports the first entry at which tampering, deletion, or reordering is detected.</w:t>
            </w:r>
          </w:p>
        </w:tc>
      </w:tr>
    </w:tbl>
    <w:p>
      <w:pPr>
        <w:pStyle w:val="Heading2"/>
        <w:keepNext/>
        <w:spacing w:after="100" w:before="200"/>
      </w:pPr>
      <w:r>
        <w:rPr>
          <w:rFonts w:ascii="Arial" w:cs="Arial" w:eastAsia="Arial" w:hAnsi="Arial"/>
          <w:b/>
          <w:bCs/>
          <w:color w:val="2F5496"/>
          <w:sz w:val="22"/>
          <w:szCs w:val="22"/>
        </w:rPr>
        <w:t xml:space="preserve">3.5 NoSQL Integration Module (FR-27 to FR-32)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ID</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Requirement</w:t>
            </w:r>
          </w:p>
        </w:tc>
        <w:tc>
          <w:tcPr>
            <w:tcW w:type="dxa" w:w="58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Description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FR-27</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Redis Velocity Counters</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maintain per-account and per-customer transaction velocity counters in Redis using atomic increments with expiry, so that fraud features are read in under a millisecond.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FR-28</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Recent Device and Merchant History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keep the recent devices and merchants used by an account in Redis for use in fraud feature extraction.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FR-29</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MongoDB Alert Documents</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store one flexible document per fraud alert in MongoDB containing the rule hits, feature values, model explanation, analyst notes, and raw event logs.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FR-30</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Transactional Outbox</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write an outbox event to PostgreSQL inside the same transaction as the ledger write so that no event is lost or recorded for a transaction that did not commit.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FR-31</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Outbox Worker</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run a background worker that reads pending outbox events, updates Redis and MongoDB, marks each event as sent, and retries failed events.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FR-32</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NoSQL Rebuild</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be able to rebuild the Redis counters and MongoDB alert documents from the PostgreSQL ledger and outbox data, since PostgreSQL is the source of truth.</w:t>
            </w:r>
          </w:p>
        </w:tc>
      </w:tr>
    </w:tbl>
    <w:p>
      <w:pPr>
        <w:pStyle w:val="Heading2"/>
        <w:keepNext/>
        <w:spacing w:after="100" w:before="200"/>
      </w:pPr>
      <w:r>
        <w:rPr>
          <w:rFonts w:ascii="Arial" w:cs="Arial" w:eastAsia="Arial" w:hAnsi="Arial"/>
          <w:b/>
          <w:bCs/>
          <w:color w:val="2F5496"/>
          <w:sz w:val="22"/>
          <w:szCs w:val="22"/>
        </w:rPr>
        <w:t xml:space="preserve">3.6 Performance, Interface, and Support Module (FR-33 to FR-40)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ID</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Requirement</w:t>
            </w:r>
          </w:p>
        </w:tc>
        <w:tc>
          <w:tcPr>
            <w:tcW w:type="dxa" w:w="58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Description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FR-33</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Query Optimisation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use indexes, materialized views, and monthly partitioning of ledger entries to keep ledger and reporting queries fast as data grows.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Benchmarking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support benchmarking with pgbench and EXPLAIN ANALYZE, including a comparison of concurrent transfer throughput across isolation levels and of velocity-check latency using SQL against Redis.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FR-35</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REST API</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expose REST APIs for creating transfers, retrieving transactions, viewing fraud results and alerts, submitting analyst reviews, and verifying the audit chain.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FR-36</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Customer Interface</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provide a web interface where customers can view accounts, make transfers, and see transaction history and the status of each transfer.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FR-37</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Analyst Interface</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provide an analyst interface listing alerts with search and filter by severity and status, showing the evidence for each alert, and allowing a review decision to be submitted.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FR-38</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Synthetic Data Generation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generate synthetic customers, accounts, devices, merchants, and transaction history, including labelled anomalous transactions, for testing and model training.</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FR-39</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Data Source Labelling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mark every dataset and record as synthetic (or real, if any public data is used), so that the origin of the data is always clear.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FR-40</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Automated Testing</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include Pytest tests covering ledger balance integrity, concurrent transfers on the same account, fraud decision thresholds, audit-chain verification, and outbox delivery.</w:t>
            </w:r>
          </w:p>
        </w:tc>
      </w:tr>
    </w:tbl>
    <w:p>
      <w:pPr>
        <w:pStyle w:val="Heading1"/>
        <w:keepNext/>
        <w:spacing w:after="140" w:before="280"/>
      </w:pPr>
      <w:r>
        <w:rPr>
          <w:rFonts w:ascii="Arial" w:cs="Arial" w:eastAsia="Arial" w:hAnsi="Arial"/>
          <w:b/>
          <w:bCs/>
          <w:color w:val="1F3864"/>
          <w:sz w:val="26"/>
          <w:szCs w:val="26"/>
        </w:rPr>
        <w:t xml:space="preserve">4. Non-Functional Requirements</w:t>
      </w:r>
    </w:p>
    <w:p>
      <w:pPr>
        <w:spacing w:after="120"/>
      </w:pPr>
      <w:r>
        <w:rPr>
          <w:rFonts w:ascii="Arial" w:cs="Arial" w:eastAsia="Arial" w:hAnsi="Arial"/>
          <w:sz w:val="20"/>
          <w:szCs w:val="20"/>
        </w:rPr>
        <w:t xml:space="preserve">Non-functional requirements describe the quality attributes and constraints of the system. Numeric targets are initial goals to be confirmed during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ID</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Attribute</w:t>
            </w:r>
          </w:p>
        </w:tc>
        <w:tc>
          <w:tcPr>
            <w:tcW w:type="dxa" w:w="58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vAlign w:val="top"/>
          </w:tcPr>
          <w:p>
            <w:r>
              <w:rPr>
                <w:rFonts w:ascii="Arial" w:cs="Arial" w:eastAsia="Arial" w:hAnsi="Arial"/>
                <w:b/>
                <w:bCs/>
                <w:sz w:val="19"/>
                <w:szCs w:val="19"/>
              </w:rPr>
              <w:t xml:space="preserve">Description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NFR-1</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Performance</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Fraud features should be read from Redis in under a millisecond; a transfer including fraud scoring should complete within a short, bounded time under normal load; dashboard and alert pages should load within about 3 seconds (target values to be confirmed with pgbench and EXPLAIN ANALYZE).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NFR-2</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Ledger Correctness and Atomicity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Every transfer shall be atomic: either the transaction, its ledger entries, balance updates, and outbox event are all committed, or none are. Total debits shall equal total credits for every transaction, and no balance shall go negative.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NFR-3</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Concurrency and Deadlock Freedom</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Concurrent transfers on the same account shall not cause lost updates, race conditions, or double spending. Locks shall be taken in a fixed account-ID order so that deadlocks do not occur, and transient failures shall be retried.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Data Integrity and Consistency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relational schema shall be normalized to 3NF with primary keys, foreign keys, and CHECK constraints, and transactions shall follow ACID properties. Balances and money movement shall never leave PostgreSQL.</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NFR-5</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Fraud Detection Quality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Isolation Forest model shall be evaluated on labelled synthetic data using precision and recall (target values to be fixed during evaluation); borderline cases shall always go through analyst review and shall not be blocked automatically.</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NFR-6</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Security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Passwords shall be stored hashed, access shall be role-based, and all inputs shall be protected against SQL injection and NoSQL injection. Database credentials shall be kept outside the source code, and the audit log shall be protected from modification.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NFR-7</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Auditability and Tamper Evidence</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Every change to audited tables shall be logged in an append-only, hash-chained audit log, and any alteration of the log shall be detectable by chain verification.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NFR-8</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Cross-Store Consistency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PostgreSQL shall be the single source of truth. Redis and MongoDB shall be eventually consistent with it through the outbox pattern, and both shall be rebuildable from the ledger.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NFR-9</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Reliability and Fault Tolerance</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Failure or delay of Redis, MongoDB, or the outbox worker shall not corrupt or block ledger writes; pending events shall remain in the outbox and be processed after recovery. The system shall handle errors without crashing.</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NFR-10</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Scalability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design shall allow growth in transaction volume through indexing, materialized views, and monthly partitioning of ledger entries, and shall allow new fraud features, rules, and event types to be added.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NFR-11</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Usability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customer and analyst interfaces shall be simple enough for non-technical users to use without SQL knowledge, with clear messages for approved, flagged, and rejected transfers, and shall work on common screen sizes.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NFR-12</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Maintainability and Modularity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ledger layer, fraud scoring, outbox worker, audit module, and web interface shall be separate modules with documented code and APIs so that each can be changed or tested independently.</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NFR-13</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Portability and Deployment</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The system shall run on Windows, Linux, and macOS, with PostgreSQL, MongoDB, and Redis started together through Docker Compose, and shall be accessible from current browsers.</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bCs/>
                <w:sz w:val="19"/>
                <w:szCs w:val="19"/>
              </w:rPr>
              <w:t xml:space="preserve">NFR-14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Data Authenticity and Privacy</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r>
              <w:rPr>
                <w:rFonts w:ascii="Arial" w:cs="Arial" w:eastAsia="Arial" w:hAnsi="Arial"/>
                <w:b w:val="false"/>
                <w:bCs w:val="false"/>
                <w:sz w:val="19"/>
                <w:szCs w:val="19"/>
              </w:rPr>
              <w:t xml:space="preserve">Synthetic data shall be explicitly identified as synthetic. Fraud scores shall be presented as risk indicators, not as proof of fraud, and customer and account data shall be accessed only by authorised users.</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RVCE · Dept. of CSE · DBMS (CD252IA)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2026-10-05T06:35:34.743Z</dcterms:created>
  <dcterms:modified xsi:type="dcterms:W3CDTF">2026-10-05T06:35:34.743Z</dcterms:modified>
</cp:coreProperties>
</file>

<file path=docProps/custom.xml><?xml version="1.0" encoding="utf-8"?>
<Properties xmlns="http://schemas.openxmlformats.org/officeDocument/2006/custom-properties" xmlns:vt="http://schemas.openxmlformats.org/officeDocument/2006/docPropsVTypes"/>
</file>