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 Policies</w:t>
      </w:r>
    </w:p>
    <w:p>
      <w:pPr>
        <w:pStyle w:val="Heading1"/>
      </w:pPr>
      <w:r>
        <w:t>1. Travel &amp; Expense Policy</w:t>
      </w:r>
    </w:p>
    <w:p>
      <w:r>
        <w:t>• Air travel allowed only for trips over 500 km</w:t>
        <w:br/>
        <w:t>• Daily food allowance: ₹500 (India), $30 (abroad)</w:t>
        <w:br/>
        <w:t>• Local transport reimbursed with receipt</w:t>
        <w:br/>
        <w:t>• Claims must be submitted within 15 working days</w:t>
      </w:r>
    </w:p>
    <w:p>
      <w:pPr>
        <w:pStyle w:val="Heading1"/>
      </w:pPr>
      <w:r>
        <w:t>2. Invoice Policy</w:t>
      </w:r>
    </w:p>
    <w:p>
      <w:r>
        <w:t>• Standard invoice template to be used (shared drive)</w:t>
        <w:br/>
        <w:t>• Invoices must include GST number &amp; client PO number</w:t>
        <w:br/>
        <w:t>• Reminders for late payments sent every 15 days</w:t>
      </w:r>
    </w:p>
    <w:p>
      <w:pPr>
        <w:pStyle w:val="Heading1"/>
      </w:pPr>
      <w:r>
        <w:t>3. Salary &amp; Payroll Policy</w:t>
      </w:r>
    </w:p>
    <w:p>
      <w:r>
        <w:t>• Salary credited on last working day of each month</w:t>
        <w:br/>
        <w:t>• PF, gratuity, and insurance as per statutory norms</w:t>
        <w:br/>
        <w:t>• Bonus payout in March based on performance review</w:t>
      </w:r>
    </w:p>
    <w:p>
      <w:pPr>
        <w:pStyle w:val="Heading1"/>
      </w:pPr>
      <w:r>
        <w:t>4. Reimbursement Policy</w:t>
      </w:r>
    </w:p>
    <w:p>
      <w:r>
        <w:t>• Employees can claim reimbursements for approved expenses</w:t>
        <w:br/>
        <w:t>• Bills must be original and submitted via Finance portal</w:t>
        <w:br/>
        <w:t>• Manager approval required</w:t>
        <w:br/>
        <w:t>• Reimbursements processed within 10 working days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