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2-Minute Procedure Prep</w:t>
      </w:r>
    </w:p>
    <w:p>
      <w:pPr>
        <w:spacing w:after="80"/>
      </w:pPr>
      <w:r>
        <w:t xml:space="preserve">Full content export for fact-checking and edit suggestions. Each brief has: patient vignette, decision points, key steps, danger structures, and a high-yield pearl. Item ids are given so edits can be applied by id.</w:t>
      </w:r>
    </w:p>
    <w:p>
      <w:pPr>
        <w:spacing w:after="80"/>
      </w:pPr>
      <w:r>
        <w:t xml:space="preserve">Intro: Each brief is a two-minute pre-scrub read: the indication, the key steps, the danger structures, and one pearl. Work the decision points before you look, then lock in the pearl.</w:t>
      </w:r>
    </w:p>
    <w:p>
      <w:pPr>
        <w:pStyle w:val="Heading1"/>
        <w:spacing w:after="80" w:before="320"/>
      </w:pPr>
      <w:r>
        <w:t xml:space="preserve">1. Myringotomy &amp; tympanostomy tubes</w:t>
      </w:r>
    </w:p>
    <w:p>
      <w:pPr>
        <w:spacing w:after="80"/>
        <w:rPr>
          <w:i/>
          <w:iCs/>
          <w:color w:val="666666"/>
        </w:rPr>
      </w:pPr>
      <w:r>
        <w:rPr>
          <w:i/>
          <w:iCs/>
          <w:color w:val="666666"/>
        </w:rPr>
        <w:t xml:space="preserve">Subspecialty: Otology   |   id: myringotomy</w:t>
      </w:r>
    </w:p>
    <w:p>
      <w:pPr>
        <w:pStyle w:val="Heading3"/>
        <w:spacing w:after="80" w:before="160"/>
      </w:pPr>
      <w:r>
        <w:t xml:space="preserve">Patient vignette</w:t>
      </w:r>
    </w:p>
    <w:p>
      <w:pPr>
        <w:spacing w:after="80"/>
      </w:pPr>
      <w:r>
        <w:t xml:space="preserve">A 2-year-old with recurrent acute otitis media and persistent bilateral effusions, now with delayed speech.</w:t>
      </w:r>
    </w:p>
    <w:p>
      <w:pPr>
        <w:pStyle w:val="Heading3"/>
        <w:spacing w:after="80" w:before="160"/>
      </w:pPr>
      <w:r>
        <w:t xml:space="preserve">Decision points</w:t>
      </w:r>
    </w:p>
    <w:p>
      <w:pPr>
        <w:pStyle w:val="ListParagraph"/>
        <w:numPr>
          <w:ilvl w:val="0"/>
          <w:numId w:val="2"/>
        </w:numPr>
        <w:spacing w:after="40"/>
      </w:pPr>
      <w:r>
        <w:t xml:space="preserve">Criteria met: recurrent AOM (3 in 6 months, or 4 in 12 months with one recent) OR bilateral OME for 3 months with a hearing or developmental concern.</w:t>
      </w:r>
    </w:p>
    <w:p>
      <w:pPr>
        <w:pStyle w:val="ListParagraph"/>
        <w:numPr>
          <w:ilvl w:val="0"/>
          <w:numId w:val="2"/>
        </w:numPr>
        <w:spacing w:after="40"/>
      </w:pPr>
      <w:r>
        <w:t xml:space="preserve">Get an audiogram and tympanometry first to document baseline hearing and effusion.</w:t>
      </w:r>
    </w:p>
    <w:p>
      <w:pPr>
        <w:pStyle w:val="ListParagraph"/>
        <w:numPr>
          <w:ilvl w:val="0"/>
          <w:numId w:val="2"/>
        </w:numPr>
        <w:spacing w:after="40"/>
      </w:pPr>
      <w:r>
        <w:t xml:space="preserve">Incision goes in the anteroinferior quadrant, away from ossicles, chorda tympani, and jugular bulb.</w:t>
      </w:r>
    </w:p>
    <w:p>
      <w:pPr>
        <w:pStyle w:val="ListParagraph"/>
        <w:numPr>
          <w:ilvl w:val="0"/>
          <w:numId w:val="2"/>
        </w:numPr>
        <w:spacing w:after="40"/>
      </w:pPr>
      <w:r>
        <w:t xml:space="preserve">Tube choice: short-term (grommet) tubes for typical cases vs. long-term (T-tubes) when prolonged ventilation is needed: long-term tubes carry a much higher persistent perforation rate (~20% vs. ~2%).</w:t>
      </w:r>
    </w:p>
    <w:p>
      <w:pPr>
        <w:pStyle w:val="Heading3"/>
        <w:spacing w:after="80" w:before="160"/>
      </w:pPr>
      <w:r>
        <w:t xml:space="preserve">Key steps</w:t>
      </w:r>
    </w:p>
    <w:p>
      <w:pPr>
        <w:pStyle w:val="ListParagraph"/>
        <w:numPr>
          <w:ilvl w:val="0"/>
          <w:numId w:val="3"/>
        </w:numPr>
        <w:spacing w:after="40"/>
      </w:pPr>
      <w:r>
        <w:t xml:space="preserve">Position, place the ear speculum, clear cerumen under the microscope.</w:t>
      </w:r>
    </w:p>
    <w:p>
      <w:pPr>
        <w:pStyle w:val="ListParagraph"/>
        <w:numPr>
          <w:ilvl w:val="0"/>
          <w:numId w:val="3"/>
        </w:numPr>
        <w:spacing w:after="40"/>
      </w:pPr>
      <w:r>
        <w:t xml:space="preserve">Bring the drum into full view; orient to the malleus and light reflex.</w:t>
      </w:r>
    </w:p>
    <w:p>
      <w:pPr>
        <w:pStyle w:val="ListParagraph"/>
        <w:numPr>
          <w:ilvl w:val="0"/>
          <w:numId w:val="3"/>
        </w:numPr>
        <w:spacing w:after="40"/>
      </w:pPr>
      <w:r>
        <w:t xml:space="preserve">Make a small radial incision in the anteroinferior (or inferior) quadrant: radial to spare the drum's circular fibers.</w:t>
      </w:r>
    </w:p>
    <w:p>
      <w:pPr>
        <w:pStyle w:val="ListParagraph"/>
        <w:numPr>
          <w:ilvl w:val="0"/>
          <w:numId w:val="3"/>
        </w:numPr>
        <w:spacing w:after="40"/>
      </w:pPr>
      <w:r>
        <w:t xml:space="preserve">Aspirate the effusion (serous, mucoid, or purulent).</w:t>
      </w:r>
    </w:p>
    <w:p>
      <w:pPr>
        <w:pStyle w:val="ListParagraph"/>
        <w:numPr>
          <w:ilvl w:val="0"/>
          <w:numId w:val="3"/>
        </w:numPr>
        <w:spacing w:after="40"/>
      </w:pPr>
      <w:r>
        <w:t xml:space="preserve">Insert the tube and seat both flanges; instill ototopical drops if indicated.</w:t>
      </w:r>
    </w:p>
    <w:p>
      <w:pPr>
        <w:pStyle w:val="Heading3"/>
        <w:spacing w:after="80" w:before="160"/>
      </w:pPr>
      <w:r>
        <w:t xml:space="preserve">Danger structures</w:t>
      </w:r>
    </w:p>
    <w:p>
      <w:pPr>
        <w:spacing w:after="80"/>
      </w:pPr>
      <w:r>
        <w:t xml:space="preserve">Ossicular chain and chorda tympani (posterosuperior quadrant), a dehiscent or high jugular bulb (posteroinferior floor), and the round window niche.</w:t>
      </w:r>
    </w:p>
    <w:p>
      <w:pPr>
        <w:pStyle w:val="Heading3"/>
        <w:spacing w:after="80" w:before="160"/>
      </w:pPr>
      <w:r>
        <w:t xml:space="preserve">High-yield pearl</w:t>
      </w:r>
    </w:p>
    <w:p>
      <w:pPr>
        <w:spacing w:after="80"/>
      </w:pPr>
      <w:r>
        <w:t xml:space="preserve">The most common postoperative problem is tube otorrhea: occurs in up to ~50% of closely monitored children. Treat with ototopical fluoroquinolone drops, not systemic antibiotics.</w:t>
      </w:r>
    </w:p>
    <w:p>
      <w:pPr>
        <w:pStyle w:val="Heading1"/>
        <w:spacing w:after="80" w:before="320"/>
      </w:pPr>
      <w:r>
        <w:t xml:space="preserve">2. Tympanoplasty / mastoidectomy for cholesteatoma</w:t>
      </w:r>
    </w:p>
    <w:p>
      <w:pPr>
        <w:spacing w:after="80"/>
        <w:rPr>
          <w:i/>
          <w:iCs/>
          <w:color w:val="666666"/>
        </w:rPr>
      </w:pPr>
      <w:r>
        <w:rPr>
          <w:i/>
          <w:iCs/>
          <w:color w:val="666666"/>
        </w:rPr>
        <w:t xml:space="preserve">Subspecialty: Otology   |   id: chole</w:t>
      </w:r>
    </w:p>
    <w:p>
      <w:pPr>
        <w:pStyle w:val="Heading3"/>
        <w:spacing w:after="80" w:before="160"/>
      </w:pPr>
      <w:r>
        <w:t xml:space="preserve">Patient vignette</w:t>
      </w:r>
    </w:p>
    <w:p>
      <w:pPr>
        <w:spacing w:after="80"/>
      </w:pPr>
      <w:r>
        <w:t xml:space="preserve">A 34-year-old with chronic foul otorrhea, hearing loss, a pars flaccida retraction pocket with keratin, and CT showing scutum erosion.</w:t>
      </w:r>
    </w:p>
    <w:p>
      <w:pPr>
        <w:pStyle w:val="Heading3"/>
        <w:spacing w:after="80" w:before="160"/>
      </w:pPr>
      <w:r>
        <w:t xml:space="preserve">Decision points</w:t>
      </w:r>
    </w:p>
    <w:p>
      <w:pPr>
        <w:pStyle w:val="ListParagraph"/>
        <w:numPr>
          <w:ilvl w:val="0"/>
          <w:numId w:val="2"/>
        </w:numPr>
        <w:spacing w:after="40"/>
      </w:pPr>
      <w:r>
        <w:t xml:space="preserve">Preop workup: audiogram to document baseline hearing, and CT temporal bone to map disease extent, tegmen/sigmoid position, and canal integrity before entering.</w:t>
      </w:r>
    </w:p>
    <w:p>
      <w:pPr>
        <w:pStyle w:val="ListParagraph"/>
        <w:numPr>
          <w:ilvl w:val="0"/>
          <w:numId w:val="2"/>
        </w:numPr>
        <w:spacing w:after="40"/>
      </w:pPr>
      <w:r>
        <w:t xml:space="preserve">Diagnosis: attic (pars flaccida) cholesteatoma in Prussak's space.</w:t>
      </w:r>
    </w:p>
    <w:p>
      <w:pPr>
        <w:pStyle w:val="ListParagraph"/>
        <w:numPr>
          <w:ilvl w:val="0"/>
          <w:numId w:val="2"/>
        </w:numPr>
        <w:spacing w:after="40"/>
      </w:pPr>
      <w:r>
        <w:t xml:space="preserve">Urgent because it erodes bone: ossicular destruction, labyrinthine fistula, facial palsy, intracranial spread.</w:t>
      </w:r>
    </w:p>
    <w:p>
      <w:pPr>
        <w:pStyle w:val="ListParagraph"/>
        <w:numPr>
          <w:ilvl w:val="0"/>
          <w:numId w:val="2"/>
        </w:numPr>
        <w:spacing w:after="40"/>
      </w:pPr>
      <w:r>
        <w:t xml:space="preserve">Intraoperative facial nerve monitoring is routine, directly relevant to the danger structures below.</w:t>
      </w:r>
    </w:p>
    <w:p>
      <w:pPr>
        <w:pStyle w:val="ListParagraph"/>
        <w:numPr>
          <w:ilvl w:val="0"/>
          <w:numId w:val="2"/>
        </w:numPr>
        <w:spacing w:after="40"/>
      </w:pPr>
      <w:r>
        <w:t xml:space="preserve">Canal-wall-up (CWU) preserves ear-canal anatomy but recurs more (residual/recurrent disease reported up to ~60%, needs a planned second look); canal-wall-down (CWD) recurs less (~017%) but leaves a mastoid bowl needing lifelong cleaning.</w:t>
      </w:r>
    </w:p>
    <w:p>
      <w:pPr>
        <w:pStyle w:val="Heading3"/>
        <w:spacing w:after="80" w:before="160"/>
      </w:pPr>
      <w:r>
        <w:t xml:space="preserve">Key steps</w:t>
      </w:r>
    </w:p>
    <w:p>
      <w:pPr>
        <w:pStyle w:val="ListParagraph"/>
        <w:numPr>
          <w:ilvl w:val="0"/>
          <w:numId w:val="4"/>
        </w:numPr>
        <w:spacing w:after="40"/>
      </w:pPr>
      <w:r>
        <w:t xml:space="preserve">Postauricular incision; harvest fascia or cartilage graft; elevate a tympanomeatal flap.</w:t>
      </w:r>
    </w:p>
    <w:p>
      <w:pPr>
        <w:pStyle w:val="ListParagraph"/>
        <w:numPr>
          <w:ilvl w:val="0"/>
          <w:numId w:val="4"/>
        </w:numPr>
        <w:spacing w:after="40"/>
      </w:pPr>
      <w:r>
        <w:t xml:space="preserve">Cortical mastoidectomy within tegmen (superior), sigmoid sinus (posterior), and bony canal (anterior); MacEwen's triangle marks the antrum.</w:t>
      </w:r>
    </w:p>
    <w:p>
      <w:pPr>
        <w:pStyle w:val="ListParagraph"/>
        <w:numPr>
          <w:ilvl w:val="0"/>
          <w:numId w:val="4"/>
        </w:numPr>
        <w:spacing w:after="40"/>
      </w:pPr>
      <w:r>
        <w:t xml:space="preserve">Identify the antrum, lateral semicircular canal, and short process of the incus.</w:t>
      </w:r>
    </w:p>
    <w:p>
      <w:pPr>
        <w:pStyle w:val="ListParagraph"/>
        <w:numPr>
          <w:ilvl w:val="0"/>
          <w:numId w:val="4"/>
        </w:numPr>
        <w:spacing w:after="40"/>
      </w:pPr>
      <w:r>
        <w:t xml:space="preserve">Posterior tympanotomy (facial recess) if middle-ear access is needed.</w:t>
      </w:r>
    </w:p>
    <w:p>
      <w:pPr>
        <w:pStyle w:val="ListParagraph"/>
        <w:numPr>
          <w:ilvl w:val="0"/>
          <w:numId w:val="4"/>
        </w:numPr>
        <w:spacing w:after="40"/>
      </w:pPr>
      <w:r>
        <w:t xml:space="preserve">Remove all disease; decide CWU vs. CWD; address the ossicular chain and graft the drum.</w:t>
      </w:r>
    </w:p>
    <w:p>
      <w:pPr>
        <w:pStyle w:val="Heading3"/>
        <w:spacing w:after="80" w:before="160"/>
      </w:pPr>
      <w:r>
        <w:t xml:space="preserve">Danger structures</w:t>
      </w:r>
    </w:p>
    <w:p>
      <w:pPr>
        <w:spacing w:after="80"/>
      </w:pPr>
      <w:r>
        <w:t xml:space="preserve">Facial nerve (tympanic and mastoid segments, facial recess), lateral semicircular canal (fistula), sigmoid sinus, tegmen/dura, and the ossicular chain.</w:t>
      </w:r>
    </w:p>
    <w:p>
      <w:pPr>
        <w:pStyle w:val="Heading3"/>
        <w:spacing w:after="80" w:before="160"/>
      </w:pPr>
      <w:r>
        <w:t xml:space="preserve">High-yield pearl</w:t>
      </w:r>
    </w:p>
    <w:p>
      <w:pPr>
        <w:spacing w:after="80"/>
      </w:pPr>
      <w:r>
        <w:t xml:space="preserve">New vertigo with a positive fistula test signals a labyrinthine fistula, a red flag that changes the surgical plan.</w:t>
      </w:r>
    </w:p>
    <w:p>
      <w:pPr>
        <w:pStyle w:val="Heading1"/>
        <w:spacing w:after="80" w:before="320"/>
      </w:pPr>
      <w:r>
        <w:t xml:space="preserve">3. Endoscopic sinus surgery (ESS)</w:t>
      </w:r>
    </w:p>
    <w:p>
      <w:pPr>
        <w:spacing w:after="80"/>
        <w:rPr>
          <w:i/>
          <w:iCs/>
          <w:color w:val="666666"/>
        </w:rPr>
      </w:pPr>
      <w:r>
        <w:rPr>
          <w:i/>
          <w:iCs/>
          <w:color w:val="666666"/>
        </w:rPr>
        <w:t xml:space="preserve">Subspecialty: Rhinology &amp; Skull Base   |   id: ess</w:t>
      </w:r>
    </w:p>
    <w:p>
      <w:pPr>
        <w:pStyle w:val="Heading3"/>
        <w:spacing w:after="80" w:before="160"/>
      </w:pPr>
      <w:r>
        <w:t xml:space="preserve">Patient vignette</w:t>
      </w:r>
    </w:p>
    <w:p>
      <w:pPr>
        <w:spacing w:after="80"/>
      </w:pPr>
      <w:r>
        <w:t xml:space="preserve">A 45-year-old with 6 months of congestion, facial pressure, and anosmia after failed medical therapy; CT shows osteomeatal complex (OMC) obstruction and ethmoid opacification.</w:t>
      </w:r>
    </w:p>
    <w:p>
      <w:pPr>
        <w:pStyle w:val="Heading3"/>
        <w:spacing w:after="80" w:before="160"/>
      </w:pPr>
      <w:r>
        <w:t xml:space="preserve">Decision points</w:t>
      </w:r>
    </w:p>
    <w:p>
      <w:pPr>
        <w:pStyle w:val="ListParagraph"/>
        <w:numPr>
          <w:ilvl w:val="0"/>
          <w:numId w:val="2"/>
        </w:numPr>
        <w:spacing w:after="40"/>
      </w:pPr>
      <w:r>
        <w:t xml:space="preserve">Indication: failure of appropriate medical therapy plus objective disease on CT/endoscopy.</w:t>
      </w:r>
    </w:p>
    <w:p>
      <w:pPr>
        <w:pStyle w:val="ListParagraph"/>
        <w:numPr>
          <w:ilvl w:val="0"/>
          <w:numId w:val="2"/>
        </w:numPr>
        <w:spacing w:after="40"/>
      </w:pPr>
      <w:r>
        <w:t xml:space="preserve">Read the CT for danger zones: Keros classification of skull-base height: Type 1 (13 mm), Type 2 (47 mm), Type 3 (816 mm, the longest lateral lamella and highest skull-base injury risk): plus lamina papyracea integrity, anterior ethmoid artery course, and any dehiscence.</w:t>
      </w:r>
    </w:p>
    <w:p>
      <w:pPr>
        <w:pStyle w:val="ListParagraph"/>
        <w:numPr>
          <w:ilvl w:val="0"/>
          <w:numId w:val="2"/>
        </w:numPr>
        <w:spacing w:after="40"/>
      </w:pPr>
      <w:r>
        <w:t xml:space="preserve">Most feared complications: CSF leak (cribriform/fovea ethmoidalis), orbital injury (medial rectus, optic nerve), carotid injury near the sphenoid.</w:t>
      </w:r>
    </w:p>
    <w:p>
      <w:pPr>
        <w:pStyle w:val="ListParagraph"/>
        <w:numPr>
          <w:ilvl w:val="0"/>
          <w:numId w:val="2"/>
        </w:numPr>
        <w:spacing w:after="40"/>
      </w:pPr>
      <w:r>
        <w:t xml:space="preserve">Overall context: ESS has an ~0.5% overall complication rate, with CSF leak and orbital injury each ~0.09%.</w:t>
      </w:r>
    </w:p>
    <w:p>
      <w:pPr>
        <w:pStyle w:val="Heading3"/>
        <w:spacing w:after="80" w:before="160"/>
      </w:pPr>
      <w:r>
        <w:t xml:space="preserve">Key steps</w:t>
      </w:r>
    </w:p>
    <w:p>
      <w:pPr>
        <w:pStyle w:val="ListParagraph"/>
        <w:numPr>
          <w:ilvl w:val="0"/>
          <w:numId w:val="5"/>
        </w:numPr>
        <w:spacing w:after="40"/>
      </w:pPr>
      <w:r>
        <w:t xml:space="preserve">Decongest; medialize the middle turbinate; identify the uncinate process.</w:t>
      </w:r>
    </w:p>
    <w:p>
      <w:pPr>
        <w:pStyle w:val="ListParagraph"/>
        <w:numPr>
          <w:ilvl w:val="0"/>
          <w:numId w:val="5"/>
        </w:numPr>
        <w:spacing w:after="40"/>
      </w:pPr>
      <w:r>
        <w:t xml:space="preserve">Uncinectomy to expose the infundibulum.</w:t>
      </w:r>
    </w:p>
    <w:p>
      <w:pPr>
        <w:pStyle w:val="ListParagraph"/>
        <w:numPr>
          <w:ilvl w:val="0"/>
          <w:numId w:val="5"/>
        </w:numPr>
        <w:spacing w:after="40"/>
      </w:pPr>
      <w:r>
        <w:t xml:space="preserve">Maxillary antrostomy incorporating the natural ostium to avoid recirculation.</w:t>
      </w:r>
    </w:p>
    <w:p>
      <w:pPr>
        <w:pStyle w:val="ListParagraph"/>
        <w:numPr>
          <w:ilvl w:val="0"/>
          <w:numId w:val="5"/>
        </w:numPr>
        <w:spacing w:after="40"/>
      </w:pPr>
      <w:r>
        <w:t xml:space="preserve">Anterior then posterior ethmoidectomy through the basal lamella, identifying skull base and lamina papyracea.</w:t>
      </w:r>
    </w:p>
    <w:p>
      <w:pPr>
        <w:pStyle w:val="ListParagraph"/>
        <w:numPr>
          <w:ilvl w:val="0"/>
          <w:numId w:val="5"/>
        </w:numPr>
        <w:spacing w:after="40"/>
      </w:pPr>
      <w:r>
        <w:t xml:space="preserve">Sphenoidotomy (ostium medial to the superior turbinate); frontal recess last as needed.</w:t>
      </w:r>
    </w:p>
    <w:p>
      <w:pPr>
        <w:pStyle w:val="Heading3"/>
        <w:spacing w:after="80" w:before="160"/>
      </w:pPr>
      <w:r>
        <w:t xml:space="preserve">Danger structures</w:t>
      </w:r>
    </w:p>
    <w:p>
      <w:pPr>
        <w:spacing w:after="80"/>
      </w:pPr>
      <w:r>
        <w:t xml:space="preserve">Lamina papyracea/orbit (medial rectus, optic nerve), skull base at the cribriform/fovea (CSF leak), the anterior ethmoid artery: which can run in a mesentery below the skull base rather than always within bone, which is exactly why it retracts into the orbit when transected: and the carotid in the lateral sphenoid wall.</w:t>
      </w:r>
    </w:p>
    <w:p>
      <w:pPr>
        <w:pStyle w:val="Heading3"/>
        <w:spacing w:after="80" w:before="160"/>
      </w:pPr>
      <w:r>
        <w:t xml:space="preserve">High-yield pearl</w:t>
      </w:r>
    </w:p>
    <w:p>
      <w:pPr>
        <w:spacing w:after="80"/>
      </w:pPr>
      <w:r>
        <w:t xml:space="preserve">Suspected clear rhinorrhea: send fluid for beta-2 transferrin, the most specific test for CSF.</w:t>
      </w:r>
    </w:p>
    <w:p>
      <w:pPr>
        <w:pStyle w:val="Heading1"/>
        <w:spacing w:after="80" w:before="320"/>
      </w:pPr>
      <w:r>
        <w:t xml:space="preserve">4. Epistaxis control</w:t>
      </w:r>
    </w:p>
    <w:p>
      <w:pPr>
        <w:spacing w:after="80"/>
        <w:rPr>
          <w:i/>
          <w:iCs/>
          <w:color w:val="666666"/>
        </w:rPr>
      </w:pPr>
      <w:r>
        <w:rPr>
          <w:i/>
          <w:iCs/>
          <w:color w:val="666666"/>
        </w:rPr>
        <w:t xml:space="preserve">Subspecialty: Rhinology &amp; Skull Base   |   id: epistaxis</w:t>
      </w:r>
    </w:p>
    <w:p>
      <w:pPr>
        <w:pStyle w:val="Heading3"/>
        <w:spacing w:after="80" w:before="160"/>
      </w:pPr>
      <w:r>
        <w:t xml:space="preserve">Patient vignette</w:t>
      </w:r>
    </w:p>
    <w:p>
      <w:pPr>
        <w:spacing w:after="80"/>
      </w:pPr>
      <w:r>
        <w:t xml:space="preserve">A 60-year-old on apixaban with 45 minutes of brisk bleeding, spitting blood, and no anterior source after decongestion.</w:t>
      </w:r>
    </w:p>
    <w:p>
      <w:pPr>
        <w:pStyle w:val="Heading3"/>
        <w:spacing w:after="80" w:before="160"/>
      </w:pPr>
      <w:r>
        <w:t xml:space="preserve">Decision points</w:t>
      </w:r>
    </w:p>
    <w:p>
      <w:pPr>
        <w:pStyle w:val="ListParagraph"/>
        <w:numPr>
          <w:ilvl w:val="0"/>
          <w:numId w:val="2"/>
        </w:numPr>
        <w:spacing w:after="40"/>
      </w:pPr>
      <w:r>
        <w:t xml:space="preserve">Anterior vs. posterior: failure of firm compression plus posterior bleeding or no visible anterior source suggests a posterior (sphenopalatine) bleed.</w:t>
      </w:r>
    </w:p>
    <w:p>
      <w:pPr>
        <w:pStyle w:val="ListParagraph"/>
        <w:numPr>
          <w:ilvl w:val="0"/>
          <w:numId w:val="2"/>
        </w:numPr>
        <w:spacing w:after="40"/>
      </w:pPr>
      <w:r>
        <w:t xml:space="preserve">Escalate: topical vasoconstrictor, then cautery of a seen source, then anterior/posterior packing, then sphenopalatine artery (SPA) ligation or embolization.</w:t>
      </w:r>
    </w:p>
    <w:p>
      <w:pPr>
        <w:pStyle w:val="ListParagraph"/>
        <w:numPr>
          <w:ilvl w:val="0"/>
          <w:numId w:val="2"/>
        </w:numPr>
        <w:spacing w:after="40"/>
      </w:pPr>
      <w:r>
        <w:t xml:space="preserve">Transnasal endoscopic sphenopalatine artery ligation (TESPAL) is favored over repeat packing: ~98% success with a low (~3.4%) rebleed rate.</w:t>
      </w:r>
    </w:p>
    <w:p>
      <w:pPr>
        <w:pStyle w:val="ListParagraph"/>
        <w:numPr>
          <w:ilvl w:val="0"/>
          <w:numId w:val="2"/>
        </w:numPr>
        <w:spacing w:after="40"/>
      </w:pPr>
      <w:r>
        <w:t xml:space="preserve">Correct the coagulopathy and check hemodynamics; posterior packs need monitoring for airway compromise and hypoxia.</w:t>
      </w:r>
    </w:p>
    <w:p>
      <w:pPr>
        <w:pStyle w:val="Heading3"/>
        <w:spacing w:after="80" w:before="160"/>
      </w:pPr>
      <w:r>
        <w:t xml:space="preserve">Key steps</w:t>
      </w:r>
    </w:p>
    <w:p>
      <w:pPr>
        <w:pStyle w:val="ListParagraph"/>
        <w:numPr>
          <w:ilvl w:val="0"/>
          <w:numId w:val="6"/>
        </w:numPr>
        <w:spacing w:after="40"/>
      </w:pPr>
      <w:r>
        <w:t xml:space="preserve">Firm compression of the lower-third nose for about 15 minutes leaning forward, plus topical oxymetazoline.</w:t>
      </w:r>
    </w:p>
    <w:p>
      <w:pPr>
        <w:pStyle w:val="ListParagraph"/>
        <w:numPr>
          <w:ilvl w:val="0"/>
          <w:numId w:val="6"/>
        </w:numPr>
        <w:spacing w:after="40"/>
      </w:pPr>
      <w:r>
        <w:t xml:space="preserve">Anterior rhinoscopy/endoscopy after decongestion to localize the source.</w:t>
      </w:r>
    </w:p>
    <w:p>
      <w:pPr>
        <w:pStyle w:val="ListParagraph"/>
        <w:numPr>
          <w:ilvl w:val="0"/>
          <w:numId w:val="6"/>
        </w:numPr>
        <w:spacing w:after="40"/>
      </w:pPr>
      <w:r>
        <w:t xml:space="preserve">Silver nitrate or electrocautery of a visualized anterior source (avoid bilateral septal cautery).</w:t>
      </w:r>
    </w:p>
    <w:p>
      <w:pPr>
        <w:pStyle w:val="ListParagraph"/>
        <w:numPr>
          <w:ilvl w:val="0"/>
          <w:numId w:val="6"/>
        </w:numPr>
        <w:spacing w:after="40"/>
      </w:pPr>
      <w:r>
        <w:t xml:space="preserve">Anterior packing if diffuse; add posterior packing for posterior bleeds.</w:t>
      </w:r>
    </w:p>
    <w:p>
      <w:pPr>
        <w:pStyle w:val="ListParagraph"/>
        <w:numPr>
          <w:ilvl w:val="0"/>
          <w:numId w:val="6"/>
        </w:numPr>
        <w:spacing w:after="40"/>
      </w:pPr>
      <w:r>
        <w:t xml:space="preserve">Endoscopic sphenopalatine artery ligation, or IR embolization, for refractory bleeding.</w:t>
      </w:r>
    </w:p>
    <w:p>
      <w:pPr>
        <w:pStyle w:val="Heading3"/>
        <w:spacing w:after="80" w:before="160"/>
      </w:pPr>
      <w:r>
        <w:t xml:space="preserve">Danger structures</w:t>
      </w:r>
    </w:p>
    <w:p>
      <w:pPr>
        <w:spacing w:after="80"/>
      </w:pPr>
      <w:r>
        <w:t xml:space="preserve">Sphenopalatine artery (posterior source), anterior and posterior ethmoid arteries (skull base, can retract into the orbit). Ethmoid artery embolization is contraindicated: they arise from the ophthalmic artery, so embolization risks blindness; refractory ethmoidal bleeds need surgical ligation, not IR. Also watch the septal cartilage (perforation with bilateral cautery).</w:t>
      </w:r>
    </w:p>
    <w:p>
      <w:pPr>
        <w:pStyle w:val="Heading3"/>
        <w:spacing w:after="80" w:before="160"/>
      </w:pPr>
      <w:r>
        <w:t xml:space="preserve">High-yield pearl</w:t>
      </w:r>
    </w:p>
    <w:p>
      <w:pPr>
        <w:spacing w:after="80"/>
      </w:pPr>
      <w:r>
        <w:t xml:space="preserve">Unilateral recurrent epistaxis with obstruction in an adolescent male suggests juvenile nasopharyngeal angiofibroma: image it, do not biopsy in clinic.</w:t>
      </w:r>
    </w:p>
    <w:p>
      <w:pPr>
        <w:pStyle w:val="Heading1"/>
        <w:spacing w:after="80" w:before="320"/>
      </w:pPr>
      <w:r>
        <w:t xml:space="preserve">5. Transsphenoidal hypophysectomy</w:t>
      </w:r>
    </w:p>
    <w:p>
      <w:pPr>
        <w:spacing w:after="80"/>
        <w:rPr>
          <w:i/>
          <w:iCs/>
          <w:color w:val="666666"/>
        </w:rPr>
      </w:pPr>
      <w:r>
        <w:rPr>
          <w:i/>
          <w:iCs/>
          <w:color w:val="666666"/>
        </w:rPr>
        <w:t xml:space="preserve">Subspecialty: Rhinology &amp; Skull Base   |   id: tsa</w:t>
      </w:r>
    </w:p>
    <w:p>
      <w:pPr>
        <w:pStyle w:val="Heading3"/>
        <w:spacing w:after="80" w:before="160"/>
      </w:pPr>
      <w:r>
        <w:t xml:space="preserve">Patient vignette</w:t>
      </w:r>
    </w:p>
    <w:p>
      <w:pPr>
        <w:spacing w:after="80"/>
      </w:pPr>
      <w:r>
        <w:t xml:space="preserve">A 52-year-old with bitemporal hemianopia and a 2.2 cm sellar mass compressing the optic chiasm; labs confirm a nonfunctioning adenoma.</w:t>
      </w:r>
    </w:p>
    <w:p>
      <w:pPr>
        <w:pStyle w:val="Heading3"/>
        <w:spacing w:after="80" w:before="160"/>
      </w:pPr>
      <w:r>
        <w:t xml:space="preserve">Decision points</w:t>
      </w:r>
    </w:p>
    <w:p>
      <w:pPr>
        <w:pStyle w:val="ListParagraph"/>
        <w:numPr>
          <w:ilvl w:val="0"/>
          <w:numId w:val="2"/>
        </w:numPr>
        <w:spacing w:after="40"/>
      </w:pPr>
      <w:r>
        <w:t xml:space="preserve">Preop workup: morning hormone panel (prolactin, IGF-1, ACTH/cortisol, TSH/free T4, FSH/LH) plus formal visual field testing.</w:t>
      </w:r>
    </w:p>
    <w:p>
      <w:pPr>
        <w:pStyle w:val="ListParagraph"/>
        <w:numPr>
          <w:ilvl w:val="0"/>
          <w:numId w:val="2"/>
        </w:numPr>
        <w:spacing w:after="40"/>
      </w:pPr>
      <w:r>
        <w:t xml:space="preserve">Indication: mass effect (visual loss, chiasmal compression) with extrasellar extension.</w:t>
      </w:r>
    </w:p>
    <w:p>
      <w:pPr>
        <w:pStyle w:val="ListParagraph"/>
        <w:numPr>
          <w:ilvl w:val="0"/>
          <w:numId w:val="2"/>
        </w:numPr>
        <w:spacing w:after="40"/>
      </w:pPr>
      <w:r>
        <w:t xml:space="preserve">Prolactinomas are treated medically first, not surgically; by contrast, Cushing disease and acromegaly require surgery even when the adenoma is small.</w:t>
      </w:r>
    </w:p>
    <w:p>
      <w:pPr>
        <w:pStyle w:val="ListParagraph"/>
        <w:numPr>
          <w:ilvl w:val="0"/>
          <w:numId w:val="2"/>
        </w:numPr>
        <w:spacing w:after="40"/>
      </w:pPr>
      <w:r>
        <w:t xml:space="preserve">Border structures: carotids laterally, optic nerves/chiasm superiorly, cavernous sinus (CN III, IV, V1, V2, VI) laterally.</w:t>
      </w:r>
    </w:p>
    <w:p>
      <w:pPr>
        <w:pStyle w:val="Heading3"/>
        <w:spacing w:after="80" w:before="160"/>
      </w:pPr>
      <w:r>
        <w:t xml:space="preserve">Key steps</w:t>
      </w:r>
    </w:p>
    <w:p>
      <w:pPr>
        <w:pStyle w:val="ListParagraph"/>
        <w:numPr>
          <w:ilvl w:val="0"/>
          <w:numId w:val="7"/>
        </w:numPr>
        <w:spacing w:after="40"/>
      </w:pPr>
      <w:r>
        <w:t xml:space="preserve">Endoscopic transnasal approach; preserve superior turbinate/septal mucosa to spare olfaction.</w:t>
      </w:r>
    </w:p>
    <w:p>
      <w:pPr>
        <w:pStyle w:val="ListParagraph"/>
        <w:numPr>
          <w:ilvl w:val="0"/>
          <w:numId w:val="7"/>
        </w:numPr>
        <w:spacing w:after="40"/>
      </w:pPr>
      <w:r>
        <w:t xml:space="preserve">Posterior septectomy/sphenoethmoidectomy to widen the corridor.</w:t>
      </w:r>
    </w:p>
    <w:p>
      <w:pPr>
        <w:pStyle w:val="ListParagraph"/>
        <w:numPr>
          <w:ilvl w:val="0"/>
          <w:numId w:val="7"/>
        </w:numPr>
        <w:spacing w:after="40"/>
      </w:pPr>
      <w:r>
        <w:t xml:space="preserve">Wide sphenoidotomy; remove septations to expose the sella.</w:t>
      </w:r>
    </w:p>
    <w:p>
      <w:pPr>
        <w:pStyle w:val="ListParagraph"/>
        <w:numPr>
          <w:ilvl w:val="0"/>
          <w:numId w:val="7"/>
        </w:numPr>
        <w:spacing w:after="40"/>
      </w:pPr>
      <w:r>
        <w:t xml:space="preserve">Open the sellar floor; X-shaped durotomy.</w:t>
      </w:r>
    </w:p>
    <w:p>
      <w:pPr>
        <w:pStyle w:val="ListParagraph"/>
        <w:numPr>
          <w:ilvl w:val="0"/>
          <w:numId w:val="7"/>
        </w:numPr>
        <w:spacing w:after="40"/>
      </w:pPr>
      <w:r>
        <w:t xml:space="preserve">Intradural resection; reconstruct with fat graft and nasoseptal flap.</w:t>
      </w:r>
    </w:p>
    <w:p>
      <w:pPr>
        <w:pStyle w:val="Heading3"/>
        <w:spacing w:after="80" w:before="160"/>
      </w:pPr>
      <w:r>
        <w:t xml:space="preserve">Danger structures</w:t>
      </w:r>
    </w:p>
    <w:p>
      <w:pPr>
        <w:spacing w:after="80"/>
      </w:pPr>
      <w:r>
        <w:t xml:space="preserve">Internal carotid arteries (lateral sphenoid wall), optic nerves/chiasm (superolateral), cavernous sinus contents, and the diaphragma sellae (CSF leak).</w:t>
      </w:r>
    </w:p>
    <w:p>
      <w:pPr>
        <w:pStyle w:val="Heading3"/>
        <w:spacing w:after="80" w:before="160"/>
      </w:pPr>
      <w:r>
        <w:t xml:space="preserve">High-yield pearl</w:t>
      </w:r>
    </w:p>
    <w:p>
      <w:pPr>
        <w:spacing w:after="80"/>
      </w:pPr>
      <w:r>
        <w:t xml:space="preserve">Watch the endocrine course: transient diabetes insipidus (DI) is the most common early problem, delayed hyponatremia (syndrome of inappropriate antidiuretic hormone, SIADH) around days 5 to 9 drives readmissions, and CSF leak is the most common surgical complication.</w:t>
      </w:r>
    </w:p>
    <w:p>
      <w:pPr>
        <w:pStyle w:val="Heading1"/>
        <w:spacing w:after="80" w:before="320"/>
      </w:pPr>
      <w:r>
        <w:t xml:space="preserve">6. Flexible laryngoscopy &amp; vocal fold surgery</w:t>
      </w:r>
    </w:p>
    <w:p>
      <w:pPr>
        <w:spacing w:after="80"/>
        <w:rPr>
          <w:i/>
          <w:iCs/>
          <w:color w:val="666666"/>
        </w:rPr>
      </w:pPr>
      <w:r>
        <w:rPr>
          <w:i/>
          <w:iCs/>
          <w:color w:val="666666"/>
        </w:rPr>
        <w:t xml:space="preserve">Subspecialty: Laryngology   |   id: vocalfold</w:t>
      </w:r>
    </w:p>
    <w:p>
      <w:pPr>
        <w:pStyle w:val="Heading3"/>
        <w:spacing w:after="80" w:before="160"/>
      </w:pPr>
      <w:r>
        <w:t xml:space="preserve">Patient vignette</w:t>
      </w:r>
    </w:p>
    <w:p>
      <w:pPr>
        <w:spacing w:after="80"/>
      </w:pPr>
      <w:r>
        <w:t xml:space="preserve">A 30-year-old teacher with 3 months of hoarseness; scope shows symmetric bilateral lesions at the anterior/middle-third junction.</w:t>
      </w:r>
    </w:p>
    <w:p>
      <w:pPr>
        <w:pStyle w:val="Heading3"/>
        <w:spacing w:after="80" w:before="160"/>
      </w:pPr>
      <w:r>
        <w:t xml:space="preserve">Decision points</w:t>
      </w:r>
    </w:p>
    <w:p>
      <w:pPr>
        <w:pStyle w:val="ListParagraph"/>
        <w:numPr>
          <w:ilvl w:val="0"/>
          <w:numId w:val="2"/>
        </w:numPr>
        <w:spacing w:after="40"/>
      </w:pPr>
      <w:r>
        <w:t xml:space="preserve">Diagnosis: vocal fold nodules (bilateral, at the point of maximal contact, from overuse).</w:t>
      </w:r>
    </w:p>
    <w:p>
      <w:pPr>
        <w:pStyle w:val="ListParagraph"/>
        <w:numPr>
          <w:ilvl w:val="0"/>
          <w:numId w:val="2"/>
        </w:numPr>
        <w:spacing w:after="40"/>
      </w:pPr>
      <w:r>
        <w:t xml:space="preserve">Videostroboscopy is the key office assessment before the OR: it evaluates the mucosal wave and identifies whether a lesion is epithelial vs. involves the deeper lamina propria, which changes the operative plan (microflap vs. simple excision) more than a white-light scope alone.</w:t>
      </w:r>
    </w:p>
    <w:p>
      <w:pPr>
        <w:pStyle w:val="ListParagraph"/>
        <w:numPr>
          <w:ilvl w:val="0"/>
          <w:numId w:val="2"/>
        </w:numPr>
        <w:spacing w:after="40"/>
      </w:pPr>
      <w:r>
        <w:t xml:space="preserve">Optimize reflux and vocal hygiene first; many nodules and mild lesions improve with voice therapy alone over 612 weeks, avoiding surgery entirely.</w:t>
      </w:r>
    </w:p>
    <w:p>
      <w:pPr>
        <w:pStyle w:val="ListParagraph"/>
        <w:numPr>
          <w:ilvl w:val="0"/>
          <w:numId w:val="2"/>
        </w:numPr>
        <w:spacing w:after="40"/>
      </w:pPr>
      <w:r>
        <w:t xml:space="preserve">Contrast with a paramedian immobile cord (recurrent laryngeal nerve, RLN, injury) or a unilateral polyp/cyst.</w:t>
      </w:r>
    </w:p>
    <w:p>
      <w:pPr>
        <w:pStyle w:val="Heading3"/>
        <w:spacing w:after="80" w:before="160"/>
      </w:pPr>
      <w:r>
        <w:t xml:space="preserve">Key steps</w:t>
      </w:r>
    </w:p>
    <w:p>
      <w:pPr>
        <w:pStyle w:val="ListParagraph"/>
        <w:numPr>
          <w:ilvl w:val="0"/>
          <w:numId w:val="8"/>
        </w:numPr>
        <w:spacing w:after="40"/>
      </w:pPr>
      <w:r>
        <w:t xml:space="preserve">Suspension microlaryngoscopy under GA (or awake injection for medialization).</w:t>
      </w:r>
    </w:p>
    <w:p>
      <w:pPr>
        <w:pStyle w:val="ListParagraph"/>
        <w:numPr>
          <w:ilvl w:val="0"/>
          <w:numId w:val="8"/>
        </w:numPr>
        <w:spacing w:after="40"/>
      </w:pPr>
      <w:r>
        <w:t xml:space="preserve">Assess the lesion and vibratory margin with a rigid endoscope and microscope.</w:t>
      </w:r>
    </w:p>
    <w:p>
      <w:pPr>
        <w:pStyle w:val="ListParagraph"/>
        <w:numPr>
          <w:ilvl w:val="0"/>
          <w:numId w:val="8"/>
        </w:numPr>
        <w:spacing w:after="40"/>
      </w:pPr>
      <w:r>
        <w:t xml:space="preserve">For a benign lesion: raise a subepithelial microflap, preserving the vocal ligament and superficial lamina propria.</w:t>
      </w:r>
    </w:p>
    <w:p>
      <w:pPr>
        <w:pStyle w:val="ListParagraph"/>
        <w:numPr>
          <w:ilvl w:val="0"/>
          <w:numId w:val="8"/>
        </w:numPr>
        <w:spacing w:after="40"/>
      </w:pPr>
      <w:r>
        <w:t xml:space="preserve">Excise with cold instruments, preferred over laser for benign disease: cold-steel microflap avoids thermal injury to the superficial lamina propria (Reinke's space); laser is reserved for select vascular lesions/papilloma, not routine benign lesions.</w:t>
      </w:r>
    </w:p>
    <w:p>
      <w:pPr>
        <w:pStyle w:val="ListParagraph"/>
        <w:numPr>
          <w:ilvl w:val="0"/>
          <w:numId w:val="8"/>
        </w:numPr>
        <w:spacing w:after="40"/>
      </w:pPr>
      <w:r>
        <w:t xml:space="preserve">For glottic insufficiency: inject a medialization material lateral to the vocalis until midline closure.</w:t>
      </w:r>
    </w:p>
    <w:p>
      <w:pPr>
        <w:pStyle w:val="Heading3"/>
        <w:spacing w:after="80" w:before="160"/>
      </w:pPr>
      <w:r>
        <w:t xml:space="preserve">Danger structures</w:t>
      </w:r>
    </w:p>
    <w:p>
      <w:pPr>
        <w:spacing w:after="80"/>
      </w:pPr>
      <w:r>
        <w:t xml:space="preserve">The layered lamina propria and vocal ligament (over-resection causes scar); the anterior commissure: avoid operating on both folds there in the same setting, since opposing raw surfaces cause an anterior glottic web (stage bilateral lesions if needed); and the superior laryngeal nerve (SLN) bundle in the supraglottic danger triangle during CO2 laser work.</w:t>
      </w:r>
    </w:p>
    <w:p>
      <w:pPr>
        <w:pStyle w:val="Heading3"/>
        <w:spacing w:after="80" w:before="160"/>
      </w:pPr>
      <w:r>
        <w:t xml:space="preserve">High-yield pearl</w:t>
      </w:r>
    </w:p>
    <w:p>
      <w:pPr>
        <w:spacing w:after="80"/>
      </w:pPr>
      <w:r>
        <w:t xml:space="preserve">Breathy hoarseness with a paramedian fixed cord after neck/thyroid surgery points to recurrent laryngeal nerve (RLN) injury; a normal-appearing cord with loss of pitch/projection and vocal fatigue points to external branch of the superior laryngeal nerve (SLN) injury (cricothyroid weakness). Both can follow thyroid/neck surgery.</w:t>
      </w:r>
    </w:p>
    <w:p>
      <w:pPr>
        <w:pStyle w:val="Heading1"/>
        <w:spacing w:after="80" w:before="320"/>
      </w:pPr>
      <w:r>
        <w:t xml:space="preserve">7. Tonsillectomy &amp; adenoidectomy</w:t>
      </w:r>
    </w:p>
    <w:p>
      <w:pPr>
        <w:spacing w:after="80"/>
        <w:rPr>
          <w:i/>
          <w:iCs/>
          <w:color w:val="666666"/>
        </w:rPr>
      </w:pPr>
      <w:r>
        <w:rPr>
          <w:i/>
          <w:iCs/>
          <w:color w:val="666666"/>
        </w:rPr>
        <w:t xml:space="preserve">Subspecialty: Head &amp; Neck   |   id: tonsils</w:t>
      </w:r>
    </w:p>
    <w:p>
      <w:pPr>
        <w:pStyle w:val="Heading3"/>
        <w:spacing w:after="80" w:before="160"/>
      </w:pPr>
      <w:r>
        <w:t xml:space="preserve">Patient vignette</w:t>
      </w:r>
    </w:p>
    <w:p>
      <w:pPr>
        <w:spacing w:after="80"/>
      </w:pPr>
      <w:r>
        <w:t xml:space="preserve">A 6-year-old with loud snoring, witnessed apneas, and 3+ obstructing tonsils.</w:t>
      </w:r>
    </w:p>
    <w:p>
      <w:pPr>
        <w:pStyle w:val="Heading3"/>
        <w:spacing w:after="80" w:before="160"/>
      </w:pPr>
      <w:r>
        <w:t xml:space="preserve">Decision points</w:t>
      </w:r>
    </w:p>
    <w:p>
      <w:pPr>
        <w:pStyle w:val="ListParagraph"/>
        <w:numPr>
          <w:ilvl w:val="0"/>
          <w:numId w:val="2"/>
        </w:numPr>
        <w:spacing w:after="40"/>
      </w:pPr>
      <w:r>
        <w:t xml:space="preserve">Two classic indications: obstructive sleep-disordered breathing/OSA, and recurrent infection by Paradise criteria (7 in 1 year, 5/year for 2 years, or 3/year for 3 years).</w:t>
      </w:r>
    </w:p>
    <w:p>
      <w:pPr>
        <w:pStyle w:val="ListParagraph"/>
        <w:numPr>
          <w:ilvl w:val="0"/>
          <w:numId w:val="2"/>
        </w:numPr>
        <w:spacing w:after="40"/>
      </w:pPr>
      <w:r>
        <w:t xml:space="preserve">For the obstructive/OSA indication, intracapsular tonsillectomy (tonsillotomy) gives comparable obstructive outcomes with less pain and substantially lower post-tonsillectomy hemorrhage, at a small regrowth risk (~215%); extracapsular (total) tonsillectomy is preferred when recurrent/chronic infection is the driver.</w:t>
      </w:r>
    </w:p>
    <w:p>
      <w:pPr>
        <w:pStyle w:val="ListParagraph"/>
        <w:numPr>
          <w:ilvl w:val="0"/>
          <w:numId w:val="2"/>
        </w:numPr>
        <w:spacing w:after="40"/>
      </w:pPr>
      <w:r>
        <w:t xml:space="preserve">Screen for a submucous cleft or bifid uvula before adenoidectomy (velopharyngeal insufficiency risk).</w:t>
      </w:r>
    </w:p>
    <w:p>
      <w:pPr>
        <w:pStyle w:val="ListParagraph"/>
        <w:numPr>
          <w:ilvl w:val="0"/>
          <w:numId w:val="2"/>
        </w:numPr>
        <w:spacing w:after="40"/>
      </w:pPr>
      <w:r>
        <w:t xml:space="preserve">Perioperative essentials (AAO-HNS): single intraoperative IV dexamethasone (~0.5 mg/kg) reduces nausea/vomiting; no routine prophylactic antibiotics; scheduled acetaminophen +/- ibuprofen; codeine is contraindicated post-T&amp;A.</w:t>
      </w:r>
    </w:p>
    <w:p>
      <w:pPr>
        <w:pStyle w:val="ListParagraph"/>
        <w:numPr>
          <w:ilvl w:val="0"/>
          <w:numId w:val="2"/>
        </w:numPr>
        <w:spacing w:after="40"/>
      </w:pPr>
      <w:r>
        <w:t xml:space="preserve">Admit high-risk children: age &lt;3, severe OSA, or significant comorbidity -&gt; postoperative overnight monitoring for respiratory compromise.</w:t>
      </w:r>
    </w:p>
    <w:p>
      <w:pPr>
        <w:pStyle w:val="Heading3"/>
        <w:spacing w:after="80" w:before="160"/>
      </w:pPr>
      <w:r>
        <w:t xml:space="preserve">Key steps</w:t>
      </w:r>
    </w:p>
    <w:p>
      <w:pPr>
        <w:pStyle w:val="ListParagraph"/>
        <w:numPr>
          <w:ilvl w:val="0"/>
          <w:numId w:val="9"/>
        </w:numPr>
        <w:spacing w:after="40"/>
      </w:pPr>
      <w:r>
        <w:t xml:space="preserve">Oral Ring-Adair-Elwyn (RAE) tube; place the mouth gag; confirm the airway and tongue are not compressed.</w:t>
      </w:r>
    </w:p>
    <w:p>
      <w:pPr>
        <w:pStyle w:val="ListParagraph"/>
        <w:numPr>
          <w:ilvl w:val="0"/>
          <w:numId w:val="9"/>
        </w:numPr>
        <w:spacing w:after="40"/>
      </w:pPr>
      <w:r>
        <w:t xml:space="preserve">Retract the tonsil medially; incise mucosa over the superior pole.</w:t>
      </w:r>
    </w:p>
    <w:p>
      <w:pPr>
        <w:pStyle w:val="ListParagraph"/>
        <w:numPr>
          <w:ilvl w:val="0"/>
          <w:numId w:val="9"/>
        </w:numPr>
        <w:spacing w:after="40"/>
      </w:pPr>
      <w:r>
        <w:t xml:space="preserve">Develop the plane between capsule and pharyngeal muscle (extracapsular), or debride to the capsule (intracapsular).</w:t>
      </w:r>
    </w:p>
    <w:p>
      <w:pPr>
        <w:pStyle w:val="ListParagraph"/>
        <w:numPr>
          <w:ilvl w:val="0"/>
          <w:numId w:val="9"/>
        </w:numPr>
        <w:spacing w:after="40"/>
      </w:pPr>
      <w:r>
        <w:t xml:space="preserve">Dissect superior to inferior; remove at the inferior pole.</w:t>
      </w:r>
    </w:p>
    <w:p>
      <w:pPr>
        <w:pStyle w:val="ListParagraph"/>
        <w:numPr>
          <w:ilvl w:val="0"/>
          <w:numId w:val="9"/>
        </w:numPr>
        <w:spacing w:after="40"/>
      </w:pPr>
      <w:r>
        <w:t xml:space="preserve">Hemostasis in the fossa; adenoidectomy by curettage, suction cautery, or microdebrider.</w:t>
      </w:r>
    </w:p>
    <w:p>
      <w:pPr>
        <w:pStyle w:val="Heading3"/>
        <w:spacing w:after="80" w:before="160"/>
      </w:pPr>
      <w:r>
        <w:t xml:space="preserve">Danger structures</w:t>
      </w:r>
    </w:p>
    <w:p>
      <w:pPr>
        <w:spacing w:after="80"/>
      </w:pPr>
      <w:r>
        <w:t xml:space="preserve">The tonsillar branch of the facial artery and the internal carotid artery (ICA) lateral to the fossa, the pharyngeal muscle, and (during adenoidectomy) the Eustachian tube orifices and velopharynx.</w:t>
      </w:r>
    </w:p>
    <w:p>
      <w:pPr>
        <w:pStyle w:val="Heading3"/>
        <w:spacing w:after="80" w:before="160"/>
      </w:pPr>
      <w:r>
        <w:t xml:space="preserve">High-yield pearl</w:t>
      </w:r>
    </w:p>
    <w:p>
      <w:pPr>
        <w:spacing w:after="80"/>
      </w:pPr>
      <w:r>
        <w:t xml:space="preserve">A post-tonsillectomy bleed can be catastrophic: ABCs, IV access, type and screen, and return to OR for brisk bleeding. Secondary bleeds classically occur days 510 (eschar sloughs); overall post-tonsillectomy hemorrhage (PTH) rate is ~45%. Any PTH is an ABC/return-to-OR consideration even without active bleeding on exam, since a herald bleed can precede catastrophic hemorrhage.</w:t>
      </w:r>
    </w:p>
    <w:p>
      <w:pPr>
        <w:pStyle w:val="Heading1"/>
        <w:spacing w:after="80" w:before="320"/>
      </w:pPr>
      <w:r>
        <w:t xml:space="preserve">8. Thyroidectomy</w:t>
      </w:r>
    </w:p>
    <w:p>
      <w:pPr>
        <w:spacing w:after="80"/>
        <w:rPr>
          <w:i/>
          <w:iCs/>
          <w:color w:val="666666"/>
        </w:rPr>
      </w:pPr>
      <w:r>
        <w:rPr>
          <w:i/>
          <w:iCs/>
          <w:color w:val="666666"/>
        </w:rPr>
        <w:t xml:space="preserve">Subspecialty: Head &amp; Neck   |   id: thyroid</w:t>
      </w:r>
    </w:p>
    <w:p>
      <w:pPr>
        <w:pStyle w:val="Heading3"/>
        <w:spacing w:after="80" w:before="160"/>
      </w:pPr>
      <w:r>
        <w:t xml:space="preserve">Patient vignette</w:t>
      </w:r>
    </w:p>
    <w:p>
      <w:pPr>
        <w:spacing w:after="80"/>
      </w:pPr>
      <w:r>
        <w:t xml:space="preserve">A 48-year-old with a 2.5 cm TR4 nodule, Bethesda V on FNA; total thyroidectomy planned.</w:t>
      </w:r>
    </w:p>
    <w:p>
      <w:pPr>
        <w:pStyle w:val="Heading3"/>
        <w:spacing w:after="80" w:before="160"/>
      </w:pPr>
      <w:r>
        <w:t xml:space="preserve">Decision points</w:t>
      </w:r>
    </w:p>
    <w:p>
      <w:pPr>
        <w:pStyle w:val="ListParagraph"/>
        <w:numPr>
          <w:ilvl w:val="0"/>
          <w:numId w:val="2"/>
        </w:numPr>
        <w:spacing w:after="40"/>
      </w:pPr>
      <w:r>
        <w:t xml:space="preserve">Nerves at risk: recurrent laryngeal nerve (RLN) (near the inferior thyroid artery and ligament of Berry) and the external branch of the superior laryngeal nerve (SLN).</w:t>
      </w:r>
    </w:p>
    <w:p>
      <w:pPr>
        <w:pStyle w:val="ListParagraph"/>
        <w:numPr>
          <w:ilvl w:val="0"/>
          <w:numId w:val="2"/>
        </w:numPr>
        <w:spacing w:after="40"/>
      </w:pPr>
      <w:r>
        <w:t xml:space="preserve">Find the RLN in the tracheoesophageal (TE) groove within Beahrs' triangle; the tubercle of Zuckerkandl points to it.</w:t>
      </w:r>
    </w:p>
    <w:p>
      <w:pPr>
        <w:pStyle w:val="ListParagraph"/>
        <w:numPr>
          <w:ilvl w:val="0"/>
          <w:numId w:val="2"/>
        </w:numPr>
        <w:spacing w:after="40"/>
      </w:pPr>
      <w:r>
        <w:t xml:space="preserve">Intraoperative nerve monitoring (IONM, endotracheal-tube based) is widely used to map and confirm RLN integrity; a loss of signal on the first side may prompt staging the contralateral lobectomy to avoid bilateral RLN injury/airway catastrophe: not a substitute for anatomic dissection.</w:t>
      </w:r>
    </w:p>
    <w:p>
      <w:pPr>
        <w:pStyle w:val="ListParagraph"/>
        <w:numPr>
          <w:ilvl w:val="0"/>
          <w:numId w:val="2"/>
        </w:numPr>
        <w:spacing w:after="40"/>
      </w:pPr>
      <w:r>
        <w:t xml:space="preserve">Anticipate transient hypocalcemia: check calcium/PTH; watch for perioral numbness and Chvostek/Trousseau signs.</w:t>
      </w:r>
    </w:p>
    <w:p>
      <w:pPr>
        <w:pStyle w:val="Heading3"/>
        <w:spacing w:after="80" w:before="160"/>
      </w:pPr>
      <w:r>
        <w:t xml:space="preserve">Key steps</w:t>
      </w:r>
    </w:p>
    <w:p>
      <w:pPr>
        <w:pStyle w:val="ListParagraph"/>
        <w:numPr>
          <w:ilvl w:val="0"/>
          <w:numId w:val="10"/>
        </w:numPr>
        <w:spacing w:after="40"/>
      </w:pPr>
      <w:r>
        <w:t xml:space="preserve">Curvilinear incision two fingerbreadths above the sternal notch; divide platysma; separate straps in the midline.</w:t>
      </w:r>
    </w:p>
    <w:p>
      <w:pPr>
        <w:pStyle w:val="ListParagraph"/>
        <w:numPr>
          <w:ilvl w:val="0"/>
          <w:numId w:val="10"/>
        </w:numPr>
        <w:spacing w:after="40"/>
      </w:pPr>
      <w:r>
        <w:t xml:space="preserve">Rotate the lobe medially; ligate the middle thyroid vein.</w:t>
      </w:r>
    </w:p>
    <w:p>
      <w:pPr>
        <w:pStyle w:val="ListParagraph"/>
        <w:numPr>
          <w:ilvl w:val="0"/>
          <w:numId w:val="10"/>
        </w:numPr>
        <w:spacing w:after="40"/>
      </w:pPr>
      <w:r>
        <w:t xml:space="preserve">Take the superior pole close to the capsule to protect the external SLN branch.</w:t>
      </w:r>
    </w:p>
    <w:p>
      <w:pPr>
        <w:pStyle w:val="ListParagraph"/>
        <w:numPr>
          <w:ilvl w:val="0"/>
          <w:numId w:val="10"/>
        </w:numPr>
        <w:spacing w:after="40"/>
      </w:pPr>
      <w:r>
        <w:t xml:space="preserve">Identify and preserve both parathyroids with their blood supply; if one is devascularized or inadvertently removed, confirm it is parathyroid (not cancer) by frozen section, then autotransplant into the SCM or strap muscle: inspect the specimen before it leaves the field to salvage glands.</w:t>
      </w:r>
    </w:p>
    <w:p>
      <w:pPr>
        <w:pStyle w:val="ListParagraph"/>
        <w:numPr>
          <w:ilvl w:val="0"/>
          <w:numId w:val="10"/>
        </w:numPr>
        <w:spacing w:after="40"/>
      </w:pPr>
      <w:r>
        <w:t xml:space="preserve">Trace the RLN in the TE groove; reidentify it at Berry's ligament and dissect off the trachea; repeat contralaterally.</w:t>
      </w:r>
    </w:p>
    <w:p>
      <w:pPr>
        <w:pStyle w:val="Heading3"/>
        <w:spacing w:after="80" w:before="160"/>
      </w:pPr>
      <w:r>
        <w:t xml:space="preserve">Danger structures</w:t>
      </w:r>
    </w:p>
    <w:p>
      <w:pPr>
        <w:spacing w:after="80"/>
      </w:pPr>
      <w:r>
        <w:t xml:space="preserve">RLN (especially at Berry's ligament and near the inferior thyroid artery), external branch of the SLN (superior pole), the parathyroids and their pedicles, the trachea/esophagus, and a postoperative neck hematoma: an expanding neck hematoma with airway compromise is a bedside emergency: open the wound/evacuate the clot immediately, before returning to the OR.</w:t>
      </w:r>
    </w:p>
    <w:p>
      <w:pPr>
        <w:pStyle w:val="Heading3"/>
        <w:spacing w:after="80" w:before="160"/>
      </w:pPr>
      <w:r>
        <w:t xml:space="preserve">High-yield pearl</w:t>
      </w:r>
    </w:p>
    <w:p>
      <w:pPr>
        <w:spacing w:after="80"/>
      </w:pPr>
      <w:r>
        <w:t xml:space="preserve">Postoperative stridor and airway obstruction on extubation suggests bilateral RLN injury: be ready to reintubate or perform tracheostomy. Postoperative hypocalcemia is the most common cause of prolonged stay; PTH-directed calcium/vitamin D supplementation after total thyroidectomy reduces symptomatic hypocalcemia.</w:t>
      </w:r>
    </w:p>
    <w:p>
      <w:pPr>
        <w:pStyle w:val="Heading1"/>
        <w:spacing w:after="80" w:before="320"/>
      </w:pPr>
      <w:r>
        <w:t xml:space="preserve">9. Parotidectomy &amp; neck dissection</w:t>
      </w:r>
    </w:p>
    <w:p>
      <w:pPr>
        <w:spacing w:after="80"/>
        <w:rPr>
          <w:i/>
          <w:iCs/>
          <w:color w:val="666666"/>
        </w:rPr>
      </w:pPr>
      <w:r>
        <w:rPr>
          <w:i/>
          <w:iCs/>
          <w:color w:val="666666"/>
        </w:rPr>
        <w:t xml:space="preserve">Subspecialty: Head &amp; Neck   |   id: parotid</w:t>
      </w:r>
    </w:p>
    <w:p>
      <w:pPr>
        <w:pStyle w:val="Heading3"/>
        <w:spacing w:after="80" w:before="160"/>
      </w:pPr>
      <w:r>
        <w:t xml:space="preserve">Patient vignette</w:t>
      </w:r>
    </w:p>
    <w:p>
      <w:pPr>
        <w:spacing w:after="80"/>
      </w:pPr>
      <w:r>
        <w:t xml:space="preserve">A 55-year-old with a slow-growing painless mass at the mandibular angle, intact facial nerve, FNA suggesting pleomorphic adenoma.</w:t>
      </w:r>
    </w:p>
    <w:p>
      <w:pPr>
        <w:pStyle w:val="Heading3"/>
        <w:spacing w:after="80" w:before="160"/>
      </w:pPr>
      <w:r>
        <w:t xml:space="preserve">Decision points</w:t>
      </w:r>
    </w:p>
    <w:p>
      <w:pPr>
        <w:pStyle w:val="ListParagraph"/>
        <w:numPr>
          <w:ilvl w:val="0"/>
          <w:numId w:val="2"/>
        </w:numPr>
        <w:spacing w:after="40"/>
      </w:pPr>
      <w:r>
        <w:t xml:space="preserve">Most common benign parotid tumor is pleomorphic adenoma (Warthin is second, bilateral, smokers); mucoepidermoid is the most common malignancy.</w:t>
      </w:r>
    </w:p>
    <w:p>
      <w:pPr>
        <w:pStyle w:val="ListParagraph"/>
        <w:numPr>
          <w:ilvl w:val="0"/>
          <w:numId w:val="2"/>
        </w:numPr>
        <w:spacing w:after="40"/>
      </w:pPr>
      <w:r>
        <w:t xml:space="preserve">Tell anesthesia to avoid muscle relaxants so the facial nerve can be stimulated/monitored throughout.</w:t>
      </w:r>
    </w:p>
    <w:p>
      <w:pPr>
        <w:pStyle w:val="ListParagraph"/>
        <w:numPr>
          <w:ilvl w:val="0"/>
          <w:numId w:val="2"/>
        </w:numPr>
        <w:spacing w:after="40"/>
      </w:pPr>
      <w:r>
        <w:t xml:space="preserve">Counsel on Frey syndrome (gustatory sweating) as a delayed complication.</w:t>
      </w:r>
    </w:p>
    <w:p>
      <w:pPr>
        <w:pStyle w:val="Heading3"/>
        <w:spacing w:after="80" w:before="160"/>
      </w:pPr>
      <w:r>
        <w:t xml:space="preserve">Key steps</w:t>
      </w:r>
    </w:p>
    <w:p>
      <w:pPr>
        <w:pStyle w:val="ListParagraph"/>
        <w:numPr>
          <w:ilvl w:val="0"/>
          <w:numId w:val="11"/>
        </w:numPr>
        <w:spacing w:after="40"/>
      </w:pPr>
      <w:r>
        <w:t xml:space="preserve">Modified Blair incision; raise a thick skinSMAS (superficial musculoaponeurotic system) flap: and consider SMAS reapproximation: which lowers both skin necrosis and Frey syndrome rates.</w:t>
      </w:r>
    </w:p>
    <w:p>
      <w:pPr>
        <w:pStyle w:val="ListParagraph"/>
        <w:numPr>
          <w:ilvl w:val="0"/>
          <w:numId w:val="11"/>
        </w:numPr>
        <w:spacing w:after="40"/>
      </w:pPr>
      <w:r>
        <w:t xml:space="preserve">Identify the great auricular nerve and external jugular vein; free the parotid tail from the SCM.</w:t>
      </w:r>
    </w:p>
    <w:p>
      <w:pPr>
        <w:pStyle w:val="ListParagraph"/>
        <w:numPr>
          <w:ilvl w:val="0"/>
          <w:numId w:val="11"/>
        </w:numPr>
        <w:spacing w:after="40"/>
      </w:pPr>
      <w:r>
        <w:t xml:space="preserve">Locate the facial nerve main trunk at the standard landmarks (tragal pointer, tympanomastoid suture, posterior belly of digastric): it lies ~1 cm deep and inferior to the tragal pointer, with the retromandibular vein and external carotid artery running deep to the nerve (dissection deep to those vessels, e.g. for deep-lobe tumors, is safe for the nerve).</w:t>
      </w:r>
    </w:p>
    <w:p>
      <w:pPr>
        <w:pStyle w:val="ListParagraph"/>
        <w:numPr>
          <w:ilvl w:val="0"/>
          <w:numId w:val="11"/>
        </w:numPr>
        <w:spacing w:after="40"/>
      </w:pPr>
      <w:r>
        <w:t xml:space="preserve">Dissect the branches anteriorly, separating superficial from deep lobe along the nerve plane.</w:t>
      </w:r>
    </w:p>
    <w:p>
      <w:pPr>
        <w:pStyle w:val="ListParagraph"/>
        <w:numPr>
          <w:ilvl w:val="0"/>
          <w:numId w:val="11"/>
        </w:numPr>
        <w:spacing w:after="40"/>
      </w:pPr>
      <w:r>
        <w:t xml:space="preserve">Remove the tumor with a cuff of normal gland; confirm nerve integrity with a stimulator; close over a drain.</w:t>
      </w:r>
    </w:p>
    <w:p>
      <w:pPr>
        <w:pStyle w:val="Heading3"/>
        <w:spacing w:after="80" w:before="160"/>
      </w:pPr>
      <w:r>
        <w:t xml:space="preserve">Danger structures</w:t>
      </w:r>
    </w:p>
    <w:p>
      <w:pPr>
        <w:spacing w:after="80"/>
      </w:pPr>
      <w:r>
        <w:t xml:space="preserve">Facial nerve (trunk and branches, especially marginal mandibular), the retromandibular vein and external carotid within the gland, the great auricular nerve, and the auriculotemporal nerve (Frey syndrome: aberrant reinnervation of skin sweat glands by severed parasympathetic fibers; confirmed with Minor's starch-iodine test).</w:t>
      </w:r>
    </w:p>
    <w:p>
      <w:pPr>
        <w:pStyle w:val="Heading3"/>
        <w:spacing w:after="80" w:before="160"/>
      </w:pPr>
      <w:r>
        <w:t xml:space="preserve">High-yield pearl</w:t>
      </w:r>
    </w:p>
    <w:p>
      <w:pPr>
        <w:spacing w:after="80"/>
      </w:pPr>
      <w:r>
        <w:t xml:space="preserve">A cystic neck mass in a middle-aged adult is metastatic HPV-associated oropharyngeal SCC until proven otherwise: do FNA and imaging, never assume a branchial cleft cyst.</w:t>
      </w:r>
    </w:p>
    <w:p>
      <w:pPr>
        <w:pStyle w:val="Heading1"/>
        <w:spacing w:after="80" w:before="320"/>
      </w:pPr>
      <w:r>
        <w:t xml:space="preserve">10. Facial trauma &amp; nasal fracture</w:t>
      </w:r>
    </w:p>
    <w:p>
      <w:pPr>
        <w:spacing w:after="80"/>
        <w:rPr>
          <w:i/>
          <w:iCs/>
          <w:color w:val="666666"/>
        </w:rPr>
      </w:pPr>
      <w:r>
        <w:rPr>
          <w:i/>
          <w:iCs/>
          <w:color w:val="666666"/>
        </w:rPr>
        <w:t xml:space="preserve">Subspecialty: Facial Plastics   |   id: nasalfx</w:t>
      </w:r>
    </w:p>
    <w:p>
      <w:pPr>
        <w:pStyle w:val="Heading3"/>
        <w:spacing w:after="80" w:before="160"/>
      </w:pPr>
      <w:r>
        <w:t xml:space="preserve">Patient vignette</w:t>
      </w:r>
    </w:p>
    <w:p>
      <w:pPr>
        <w:spacing w:after="80"/>
      </w:pPr>
      <w:r>
        <w:t xml:space="preserve">A 22-year-old after a sports injury with a deformed swollen nose, epistaxis, and a bluish boggy septal swelling.</w:t>
      </w:r>
    </w:p>
    <w:p>
      <w:pPr>
        <w:pStyle w:val="Heading3"/>
        <w:spacing w:after="80" w:before="160"/>
      </w:pPr>
      <w:r>
        <w:t xml:space="preserve">Decision points</w:t>
      </w:r>
    </w:p>
    <w:p>
      <w:pPr>
        <w:pStyle w:val="ListParagraph"/>
        <w:numPr>
          <w:ilvl w:val="0"/>
          <w:numId w:val="2"/>
        </w:numPr>
        <w:spacing w:after="40"/>
      </w:pPr>
      <w:r>
        <w:t xml:space="preserve">Rule out first: septal hematoma (drain urgently) and CSF rhinorrhea (beta-2 transferrin).</w:t>
      </w:r>
    </w:p>
    <w:p>
      <w:pPr>
        <w:pStyle w:val="ListParagraph"/>
        <w:numPr>
          <w:ilvl w:val="0"/>
          <w:numId w:val="2"/>
        </w:numPr>
        <w:spacing w:after="40"/>
      </w:pPr>
      <w:r>
        <w:t xml:space="preserve">Untreated septal hematoma leads to cartilage necrosis and saddle-nose deformity.</w:t>
      </w:r>
    </w:p>
    <w:p>
      <w:pPr>
        <w:pStyle w:val="ListParagraph"/>
        <w:numPr>
          <w:ilvl w:val="0"/>
          <w:numId w:val="2"/>
        </w:numPr>
        <w:spacing w:after="40"/>
      </w:pPr>
      <w:r>
        <w:t xml:space="preserve">Nasal fracture diagnosis is clinical; plain nasal X-rays add little and can mislead. CT only when concomitant facial fractures (orbit, naso-orbito-ethmoid (NOE), midface) or CSF leak are suspected.</w:t>
      </w:r>
    </w:p>
    <w:p>
      <w:pPr>
        <w:pStyle w:val="ListParagraph"/>
        <w:numPr>
          <w:ilvl w:val="0"/>
          <w:numId w:val="2"/>
        </w:numPr>
        <w:spacing w:after="40"/>
      </w:pPr>
      <w:r>
        <w:t xml:space="preserve">For orbital trauma, check enophthalmos, diplopia on upgaze, and infraorbital hypesthesia (blowout fracture).</w:t>
      </w:r>
    </w:p>
    <w:p>
      <w:pPr>
        <w:pStyle w:val="Heading3"/>
        <w:spacing w:after="80" w:before="160"/>
      </w:pPr>
      <w:r>
        <w:t xml:space="preserve">Key steps</w:t>
      </w:r>
    </w:p>
    <w:p>
      <w:pPr>
        <w:pStyle w:val="ListParagraph"/>
        <w:numPr>
          <w:ilvl w:val="0"/>
          <w:numId w:val="12"/>
        </w:numPr>
        <w:spacing w:after="40"/>
      </w:pPr>
      <w:r>
        <w:t xml:space="preserve">Inspect intranasally for septal hematoma; if present, incise, drain, and quilt/pack to prevent reaccumulation.</w:t>
      </w:r>
    </w:p>
    <w:p>
      <w:pPr>
        <w:pStyle w:val="ListParagraph"/>
        <w:numPr>
          <w:ilvl w:val="0"/>
          <w:numId w:val="12"/>
        </w:numPr>
        <w:spacing w:after="40"/>
      </w:pPr>
      <w:r>
        <w:t xml:space="preserve">Time the closed reduction: reduce before swelling sets in, or after swelling subsides: ~35 days in children, up to 710 days (some say 14) in adults, before fragments fixate.</w:t>
      </w:r>
    </w:p>
    <w:p>
      <w:pPr>
        <w:pStyle w:val="ListParagraph"/>
        <w:numPr>
          <w:ilvl w:val="0"/>
          <w:numId w:val="12"/>
        </w:numPr>
        <w:spacing w:after="40"/>
      </w:pPr>
      <w:r>
        <w:t xml:space="preserve">Anesthetize (local or general).</w:t>
      </w:r>
    </w:p>
    <w:p>
      <w:pPr>
        <w:pStyle w:val="ListParagraph"/>
        <w:numPr>
          <w:ilvl w:val="0"/>
          <w:numId w:val="12"/>
        </w:numPr>
        <w:spacing w:after="40"/>
      </w:pPr>
      <w:r>
        <w:t xml:space="preserve">Reduce the nasal bones with a Boies elevator plus external molding.</w:t>
      </w:r>
    </w:p>
    <w:p>
      <w:pPr>
        <w:pStyle w:val="ListParagraph"/>
        <w:numPr>
          <w:ilvl w:val="0"/>
          <w:numId w:val="12"/>
        </w:numPr>
        <w:spacing w:after="40"/>
      </w:pPr>
      <w:r>
        <w:t xml:space="preserve">Reduce the septum; apply internal and external splints.</w:t>
      </w:r>
    </w:p>
    <w:p>
      <w:pPr>
        <w:pStyle w:val="Heading3"/>
        <w:spacing w:after="80" w:before="160"/>
      </w:pPr>
      <w:r>
        <w:t xml:space="preserve">Danger structures</w:t>
      </w:r>
    </w:p>
    <w:p>
      <w:pPr>
        <w:spacing w:after="80"/>
      </w:pPr>
      <w:r>
        <w:t xml:space="preserve">The septal cartilage blood supply (necrosis and saddle-nose from untreated hematoma), the cribriform plate (CSF leak), and the medial canthal/lacrimal apparatus in naso-orbito-ethmoid injury. Red flag: a widened intercanthal distance or a flattened/splayed nasal bridge suggests an NOE fracture with medial canthal tendon disruption (bowstring test): refer, do not treat as a simple nasal fracture.</w:t>
      </w:r>
    </w:p>
    <w:p>
      <w:pPr>
        <w:pStyle w:val="Heading3"/>
        <w:spacing w:after="80" w:before="160"/>
      </w:pPr>
      <w:r>
        <w:t xml:space="preserve">High-yield pearl</w:t>
      </w:r>
    </w:p>
    <w:p>
      <w:pPr>
        <w:spacing w:after="80"/>
      </w:pPr>
      <w:r>
        <w:t xml:space="preserve">A child with an orbital trapdoor fracture and bradycardia/nausea (oculocardiac reflex from muscle entrapment) is a surgical urgency, not a delayed repair. Refer to a subspecialist for: septal hematoma, CSF rhinorrhea, malocclusion, or an extraocular movement deficit.</w:t>
      </w:r>
    </w:p>
    <w:p>
      <w:pPr>
        <w:pStyle w:val="Heading1"/>
        <w:spacing w:after="80" w:before="320"/>
      </w:pPr>
      <w:r>
        <w:t xml:space="preserve">11. Pediatric airway (direct laryngoscopy &amp; bronchoscopy)</w:t>
      </w:r>
    </w:p>
    <w:p>
      <w:pPr>
        <w:spacing w:after="80"/>
        <w:rPr>
          <w:i/>
          <w:iCs/>
          <w:color w:val="666666"/>
        </w:rPr>
      </w:pPr>
      <w:r>
        <w:rPr>
          <w:i/>
          <w:iCs/>
          <w:color w:val="666666"/>
        </w:rPr>
        <w:t xml:space="preserve">Subspecialty: Pediatric   |   id: pedairway</w:t>
      </w:r>
    </w:p>
    <w:p>
      <w:pPr>
        <w:pStyle w:val="Heading3"/>
        <w:spacing w:after="80" w:before="160"/>
      </w:pPr>
      <w:r>
        <w:t xml:space="preserve">Patient vignette</w:t>
      </w:r>
    </w:p>
    <w:p>
      <w:pPr>
        <w:spacing w:after="80"/>
      </w:pPr>
      <w:r>
        <w:t xml:space="preserve">A 4-month-old with inspiratory stridor since birth, worse supine and with feeding, better prone; growth is adequate.</w:t>
      </w:r>
    </w:p>
    <w:p>
      <w:pPr>
        <w:pStyle w:val="Heading3"/>
        <w:spacing w:after="80" w:before="160"/>
      </w:pPr>
      <w:r>
        <w:t xml:space="preserve">Decision points</w:t>
      </w:r>
    </w:p>
    <w:p>
      <w:pPr>
        <w:pStyle w:val="ListParagraph"/>
        <w:numPr>
          <w:ilvl w:val="0"/>
          <w:numId w:val="2"/>
        </w:numPr>
        <w:spacing w:after="40"/>
      </w:pPr>
      <w:r>
        <w:t xml:space="preserve">Most likely laryngomalacia, the most common cause of infant stridor, usually self-resolving.</w:t>
      </w:r>
    </w:p>
    <w:p>
      <w:pPr>
        <w:pStyle w:val="ListParagraph"/>
        <w:numPr>
          <w:ilvl w:val="0"/>
          <w:numId w:val="2"/>
        </w:numPr>
        <w:spacing w:after="40"/>
      </w:pPr>
      <w:r>
        <w:t xml:space="preserve">The narrowest part of the pediatric airway is the subglottis (cricoid ring).</w:t>
      </w:r>
    </w:p>
    <w:p>
      <w:pPr>
        <w:pStyle w:val="ListParagraph"/>
        <w:numPr>
          <w:ilvl w:val="0"/>
          <w:numId w:val="2"/>
        </w:numPr>
        <w:spacing w:after="40"/>
      </w:pPr>
      <w:r>
        <w:t xml:space="preserve">Distinguish emergent mimics: croup (steeple sign), epiglottitis (thumbprint sign, do not agitate), foreign body (unilateral wheeze, air trapping).</w:t>
      </w:r>
    </w:p>
    <w:p>
      <w:pPr>
        <w:pStyle w:val="Heading3"/>
        <w:spacing w:after="80" w:before="160"/>
      </w:pPr>
      <w:r>
        <w:t xml:space="preserve">Key steps</w:t>
      </w:r>
    </w:p>
    <w:p>
      <w:pPr>
        <w:pStyle w:val="ListParagraph"/>
        <w:numPr>
          <w:ilvl w:val="0"/>
          <w:numId w:val="13"/>
        </w:numPr>
        <w:spacing w:after="40"/>
      </w:pPr>
      <w:r>
        <w:t xml:space="preserve">Shared airway plan with anesthesia; maintain spontaneous ventilation.</w:t>
      </w:r>
    </w:p>
    <w:p>
      <w:pPr>
        <w:pStyle w:val="ListParagraph"/>
        <w:numPr>
          <w:ilvl w:val="0"/>
          <w:numId w:val="13"/>
        </w:numPr>
        <w:spacing w:after="40"/>
      </w:pPr>
      <w:r>
        <w:t xml:space="preserve">Awake flexible laryngoscopy to assess dynamic collapse.</w:t>
      </w:r>
    </w:p>
    <w:p>
      <w:pPr>
        <w:pStyle w:val="ListParagraph"/>
        <w:numPr>
          <w:ilvl w:val="0"/>
          <w:numId w:val="13"/>
        </w:numPr>
        <w:spacing w:after="40"/>
      </w:pPr>
      <w:r>
        <w:t xml:space="preserve">Direct laryngoscopy/rigid bronchoscopy of the supraglottis, glottis, subglottis, and trachea.</w:t>
      </w:r>
    </w:p>
    <w:p>
      <w:pPr>
        <w:pStyle w:val="ListParagraph"/>
        <w:numPr>
          <w:ilvl w:val="0"/>
          <w:numId w:val="13"/>
        </w:numPr>
        <w:spacing w:after="40"/>
      </w:pPr>
      <w:r>
        <w:t xml:space="preserve">Treat pathology (supraglottoplasty for severe laryngomalacia; retrieve a foreign body with optical forceps).</w:t>
      </w:r>
    </w:p>
    <w:p>
      <w:pPr>
        <w:pStyle w:val="ListParagraph"/>
        <w:numPr>
          <w:ilvl w:val="0"/>
          <w:numId w:val="13"/>
        </w:numPr>
        <w:spacing w:after="40"/>
      </w:pPr>
      <w:r>
        <w:t xml:space="preserve">Reassess for a synchronous second airway lesion.</w:t>
      </w:r>
    </w:p>
    <w:p>
      <w:pPr>
        <w:pStyle w:val="Heading3"/>
        <w:spacing w:after="80" w:before="160"/>
      </w:pPr>
      <w:r>
        <w:t xml:space="preserve">Danger structures</w:t>
      </w:r>
    </w:p>
    <w:p>
      <w:pPr>
        <w:spacing w:after="80"/>
      </w:pPr>
      <w:r>
        <w:t xml:space="preserve">The subglottis (cricoid, post-procedure edema/stenosis), the true vocal folds, the teeth and lips, and friable mucosa; for foreign bodies, distal migration and complete obstruction.</w:t>
      </w:r>
    </w:p>
    <w:p>
      <w:pPr>
        <w:pStyle w:val="Heading3"/>
        <w:spacing w:after="80" w:before="160"/>
      </w:pPr>
      <w:r>
        <w:t xml:space="preserve">High-yield pearl</w:t>
      </w:r>
    </w:p>
    <w:p>
      <w:pPr>
        <w:spacing w:after="80"/>
      </w:pPr>
      <w:r>
        <w:t xml:space="preserve">An esophageal button battery is a true emergency: liquefactive necrosis within hours mandates emergent removal.</w:t>
      </w:r>
    </w:p>
    <w:p>
      <w:pPr>
        <w:pStyle w:val="Heading1"/>
        <w:spacing w:after="80" w:before="320"/>
      </w:pPr>
      <w:r>
        <w:t xml:space="preserve">12. OSA surgery (UPPP)</w:t>
      </w:r>
    </w:p>
    <w:p>
      <w:pPr>
        <w:spacing w:after="80"/>
        <w:rPr>
          <w:i/>
          <w:iCs/>
          <w:color w:val="666666"/>
        </w:rPr>
      </w:pPr>
      <w:r>
        <w:rPr>
          <w:i/>
          <w:iCs/>
          <w:color w:val="666666"/>
        </w:rPr>
        <w:t xml:space="preserve">Subspecialty: Sleep/Airway   |   id: uppp</w:t>
      </w:r>
    </w:p>
    <w:p>
      <w:pPr>
        <w:pStyle w:val="Heading3"/>
        <w:spacing w:after="80" w:before="160"/>
      </w:pPr>
      <w:r>
        <w:t xml:space="preserve">Patient vignette</w:t>
      </w:r>
    </w:p>
    <w:p>
      <w:pPr>
        <w:spacing w:after="80"/>
      </w:pPr>
      <w:r>
        <w:t xml:space="preserve">A 50-year-old with moderate OSA (AHI 28) who cannot tolerate CPAP and asks about surgery.</w:t>
      </w:r>
    </w:p>
    <w:p>
      <w:pPr>
        <w:pStyle w:val="Heading3"/>
        <w:spacing w:after="80" w:before="160"/>
      </w:pPr>
      <w:r>
        <w:t xml:space="preserve">Decision points</w:t>
      </w:r>
    </w:p>
    <w:p>
      <w:pPr>
        <w:pStyle w:val="ListParagraph"/>
        <w:numPr>
          <w:ilvl w:val="0"/>
          <w:numId w:val="2"/>
        </w:numPr>
        <w:spacing w:after="40"/>
      </w:pPr>
      <w:r>
        <w:t xml:space="preserve">Severity by AHI: mild 5 to 15, moderate 15 to 30, severe over 30.</w:t>
      </w:r>
    </w:p>
    <w:p>
      <w:pPr>
        <w:pStyle w:val="ListParagraph"/>
        <w:numPr>
          <w:ilvl w:val="0"/>
          <w:numId w:val="2"/>
        </w:numPr>
        <w:spacing w:after="40"/>
      </w:pPr>
      <w:r>
        <w:t xml:space="preserve">CPAP is first-line; surgery is for intolerance/failure or a specific anatomic obstruction.</w:t>
      </w:r>
    </w:p>
    <w:p>
      <w:pPr>
        <w:pStyle w:val="ListParagraph"/>
        <w:numPr>
          <w:ilvl w:val="0"/>
          <w:numId w:val="2"/>
        </w:numPr>
        <w:spacing w:after="40"/>
      </w:pPr>
      <w:r>
        <w:t xml:space="preserve">Drug-induced sleep endoscopy (DISE) identifies the level(s) of collapse to tailor surgery.</w:t>
      </w:r>
    </w:p>
    <w:p>
      <w:pPr>
        <w:pStyle w:val="Heading3"/>
        <w:spacing w:after="80" w:before="160"/>
      </w:pPr>
      <w:r>
        <w:t xml:space="preserve">Key steps</w:t>
      </w:r>
    </w:p>
    <w:p>
      <w:pPr>
        <w:pStyle w:val="ListParagraph"/>
        <w:numPr>
          <w:ilvl w:val="0"/>
          <w:numId w:val="14"/>
        </w:numPr>
        <w:spacing w:after="40"/>
      </w:pPr>
      <w:r>
        <w:t xml:space="preserve">Orotracheal intubation and mouth-gag exposure.</w:t>
      </w:r>
    </w:p>
    <w:p>
      <w:pPr>
        <w:pStyle w:val="ListParagraph"/>
        <w:numPr>
          <w:ilvl w:val="0"/>
          <w:numId w:val="14"/>
        </w:numPr>
        <w:spacing w:after="40"/>
      </w:pPr>
      <w:r>
        <w:t xml:space="preserve">Tonsillectomy if tonsils are present.</w:t>
      </w:r>
    </w:p>
    <w:p>
      <w:pPr>
        <w:pStyle w:val="ListParagraph"/>
        <w:numPr>
          <w:ilvl w:val="0"/>
          <w:numId w:val="14"/>
        </w:numPr>
        <w:spacing w:after="40"/>
      </w:pPr>
      <w:r>
        <w:t xml:space="preserve">Trim and reposition the posterior tonsillar pillar.</w:t>
      </w:r>
    </w:p>
    <w:p>
      <w:pPr>
        <w:pStyle w:val="ListParagraph"/>
        <w:numPr>
          <w:ilvl w:val="0"/>
          <w:numId w:val="14"/>
        </w:numPr>
        <w:spacing w:after="40"/>
      </w:pPr>
      <w:r>
        <w:t xml:space="preserve">Conservatively excise redundant soft palate/uvular mucosa (avoid over-resection).</w:t>
      </w:r>
    </w:p>
    <w:p>
      <w:pPr>
        <w:pStyle w:val="ListParagraph"/>
        <w:numPr>
          <w:ilvl w:val="0"/>
          <w:numId w:val="14"/>
        </w:numPr>
        <w:spacing w:after="40"/>
      </w:pPr>
      <w:r>
        <w:t xml:space="preserve">Suture the pillars/flaps to widen the retropalatal airway; confirm an adequate velopharyngeal port.</w:t>
      </w:r>
    </w:p>
    <w:p>
      <w:pPr>
        <w:pStyle w:val="Heading3"/>
        <w:spacing w:after="80" w:before="160"/>
      </w:pPr>
      <w:r>
        <w:t xml:space="preserve">Danger structures</w:t>
      </w:r>
    </w:p>
    <w:p>
      <w:pPr>
        <w:spacing w:after="80"/>
      </w:pPr>
      <w:r>
        <w:t xml:space="preserve">The velopharynx (over-resection causes velopharyngeal insufficiency and nasopharyngeal stenosis), the great vessels lateral to the fossa, and postoperative airway edema.</w:t>
      </w:r>
    </w:p>
    <w:p>
      <w:pPr>
        <w:pStyle w:val="Heading3"/>
        <w:spacing w:after="80" w:before="160"/>
      </w:pPr>
      <w:r>
        <w:t xml:space="preserve">High-yield pearl</w:t>
      </w:r>
    </w:p>
    <w:p>
      <w:pPr>
        <w:spacing w:after="80"/>
      </w:pPr>
      <w:r>
        <w:t xml:space="preserve">OSA patients are high-risk perioperatively (sensitivity to sedatives/opioids, difficult airway, postoperative respiratory depression): minimize opioids and monitor closely.</w:t>
      </w:r>
    </w:p>
    <w:p>
      <w:pPr>
        <w:pStyle w:val="Heading1"/>
        <w:spacing w:after="80" w:before="320"/>
      </w:pPr>
      <w:r>
        <w:t xml:space="preserve">13. Hypoglossal nerve stimulator (HGNS)</w:t>
      </w:r>
    </w:p>
    <w:p>
      <w:pPr>
        <w:spacing w:after="80"/>
        <w:rPr>
          <w:i/>
          <w:iCs/>
          <w:color w:val="666666"/>
        </w:rPr>
      </w:pPr>
      <w:r>
        <w:rPr>
          <w:i/>
          <w:iCs/>
          <w:color w:val="666666"/>
        </w:rPr>
        <w:t xml:space="preserve">Subspecialty: Sleep/Airway   |   id: hgns</w:t>
      </w:r>
    </w:p>
    <w:p>
      <w:pPr>
        <w:pStyle w:val="Heading3"/>
        <w:spacing w:after="80" w:before="160"/>
      </w:pPr>
      <w:r>
        <w:t xml:space="preserve">Patient vignette</w:t>
      </w:r>
    </w:p>
    <w:p>
      <w:pPr>
        <w:spacing w:after="80"/>
      </w:pPr>
      <w:r>
        <w:t xml:space="preserve">The same CPAP-intolerant patient has moderate-to-severe OSA, an eligible BMI, and DISE showing anteroposterior tongue-base collapse without complete concentric palatal collapse.</w:t>
      </w:r>
    </w:p>
    <w:p>
      <w:pPr>
        <w:pStyle w:val="Heading3"/>
        <w:spacing w:after="80" w:before="160"/>
      </w:pPr>
      <w:r>
        <w:t xml:space="preserve">Decision points</w:t>
      </w:r>
    </w:p>
    <w:p>
      <w:pPr>
        <w:pStyle w:val="ListParagraph"/>
        <w:numPr>
          <w:ilvl w:val="0"/>
          <w:numId w:val="2"/>
        </w:numPr>
        <w:spacing w:after="40"/>
      </w:pPr>
      <w:r>
        <w:t xml:space="preserve">Candidacy: moderate-to-severe OSA, CPAP failure, BMI below threshold, and absence of complete concentric palatal collapse (a contraindication).</w:t>
      </w:r>
    </w:p>
    <w:p>
      <w:pPr>
        <w:pStyle w:val="ListParagraph"/>
        <w:numPr>
          <w:ilvl w:val="0"/>
          <w:numId w:val="2"/>
        </w:numPr>
        <w:spacing w:after="40"/>
      </w:pPr>
      <w:r>
        <w:t xml:space="preserve">Mechanism: inspiration-synchronized stimulation of the protrusor branches of CN XII (hypoglossal nerve) advances the tongue via genioglossus.</w:t>
      </w:r>
    </w:p>
    <w:p>
      <w:pPr>
        <w:pStyle w:val="ListParagraph"/>
        <w:numPr>
          <w:ilvl w:val="0"/>
          <w:numId w:val="2"/>
        </w:numPr>
        <w:spacing w:after="40"/>
      </w:pPr>
      <w:r>
        <w:t xml:space="preserve">Branch selection is the crux: include the medial (protrusor) division, exclude the lateral (retractor) division and the C1 twig.</w:t>
      </w:r>
    </w:p>
    <w:p>
      <w:pPr>
        <w:pStyle w:val="Heading3"/>
        <w:spacing w:after="80" w:before="160"/>
      </w:pPr>
      <w:r>
        <w:t xml:space="preserve">Key steps</w:t>
      </w:r>
    </w:p>
    <w:p>
      <w:pPr>
        <w:pStyle w:val="ListParagraph"/>
        <w:numPr>
          <w:ilvl w:val="0"/>
          <w:numId w:val="15"/>
        </w:numPr>
        <w:spacing w:after="40"/>
      </w:pPr>
      <w:r>
        <w:t xml:space="preserve">Place EMG electrodes in the tongue; map the three incisions.</w:t>
      </w:r>
    </w:p>
    <w:p>
      <w:pPr>
        <w:pStyle w:val="ListParagraph"/>
        <w:numPr>
          <w:ilvl w:val="0"/>
          <w:numId w:val="15"/>
        </w:numPr>
        <w:spacing w:after="40"/>
      </w:pPr>
      <w:r>
        <w:t xml:space="preserve">Submandibular incision about one fingerbreadth below the mandible to reach CN XII.</w:t>
      </w:r>
    </w:p>
    <w:p>
      <w:pPr>
        <w:pStyle w:val="ListParagraph"/>
        <w:numPr>
          <w:ilvl w:val="0"/>
          <w:numId w:val="15"/>
        </w:numPr>
        <w:spacing w:after="40"/>
      </w:pPr>
      <w:r>
        <w:t xml:space="preserve">Isolate CN XII; use neurostimulation to confirm protrusor (medial) branches and exclude retractor fibers; place the cuff.</w:t>
      </w:r>
    </w:p>
    <w:p>
      <w:pPr>
        <w:pStyle w:val="ListParagraph"/>
        <w:numPr>
          <w:ilvl w:val="0"/>
          <w:numId w:val="15"/>
        </w:numPr>
        <w:spacing w:after="40"/>
      </w:pPr>
      <w:r>
        <w:t xml:space="preserve">Create an infraclavicular pocket for the pulse generator.</w:t>
      </w:r>
    </w:p>
    <w:p>
      <w:pPr>
        <w:pStyle w:val="ListParagraph"/>
        <w:numPr>
          <w:ilvl w:val="0"/>
          <w:numId w:val="15"/>
        </w:numPr>
        <w:spacing w:after="40"/>
      </w:pPr>
      <w:r>
        <w:t xml:space="preserve">Place the respiratory sensing lead between the intercostal muscles; tunnel, connect, and test before closure.</w:t>
      </w:r>
    </w:p>
    <w:p>
      <w:pPr>
        <w:pStyle w:val="Heading3"/>
        <w:spacing w:after="80" w:before="160"/>
      </w:pPr>
      <w:r>
        <w:t xml:space="preserve">Danger structures</w:t>
      </w:r>
    </w:p>
    <w:p>
      <w:pPr>
        <w:spacing w:after="80"/>
      </w:pPr>
      <w:r>
        <w:t xml:space="preserve">The lateral (retractor) branch of CN XII and the C1 twig (exclude from the cuff), Wharton's duct and the lingual vein, the marginal mandibular nerve, the external jugular vein, and the pleura (sensing lead).</w:t>
      </w:r>
    </w:p>
    <w:p>
      <w:pPr>
        <w:pStyle w:val="Heading3"/>
        <w:spacing w:after="80" w:before="160"/>
      </w:pPr>
      <w:r>
        <w:t xml:space="preserve">High-yield pearl</w:t>
      </w:r>
    </w:p>
    <w:p>
      <w:pPr>
        <w:spacing w:after="80"/>
      </w:pPr>
      <w:r>
        <w:t xml:space="preserve">Intraoperative EMG confirms capture: medial-branch stimulation protrudes the tongue, lateral-branch stimulation retracts it; the cuff sits superficial to the hyoglossus where the fibers separate.</w:t>
      </w:r>
    </w:p>
    <w:p>
      <w:pPr>
        <w:pStyle w:val="Heading1"/>
        <w:spacing w:after="80" w:before="320"/>
      </w:pPr>
      <w:r>
        <w:t xml:space="preserve">14. Tracheostomy</w:t>
      </w:r>
    </w:p>
    <w:p>
      <w:pPr>
        <w:spacing w:after="80"/>
        <w:rPr>
          <w:i/>
          <w:iCs/>
          <w:color w:val="666666"/>
        </w:rPr>
      </w:pPr>
      <w:r>
        <w:rPr>
          <w:i/>
          <w:iCs/>
          <w:color w:val="666666"/>
        </w:rPr>
        <w:t xml:space="preserve">Subspecialty: Cross-Cutting   |   id: trach</w:t>
      </w:r>
    </w:p>
    <w:p>
      <w:pPr>
        <w:pStyle w:val="Heading3"/>
        <w:spacing w:after="80" w:before="160"/>
      </w:pPr>
      <w:r>
        <w:t xml:space="preserve">Patient vignette</w:t>
      </w:r>
    </w:p>
    <w:p>
      <w:pPr>
        <w:spacing w:after="80"/>
      </w:pPr>
      <w:r>
        <w:t xml:space="preserve">A ventilated ICU patient 4 days after tracheostomy suddenly desaturates and the tube looks partially dislodged during repositioning.</w:t>
      </w:r>
    </w:p>
    <w:p>
      <w:pPr>
        <w:pStyle w:val="Heading3"/>
        <w:spacing w:after="80" w:before="160"/>
      </w:pPr>
      <w:r>
        <w:t xml:space="preserve">Decision points</w:t>
      </w:r>
    </w:p>
    <w:p>
      <w:pPr>
        <w:pStyle w:val="ListParagraph"/>
        <w:numPr>
          <w:ilvl w:val="0"/>
          <w:numId w:val="2"/>
        </w:numPr>
        <w:spacing w:after="40"/>
      </w:pPr>
      <w:r>
        <w:t xml:space="preserve">Is the tract mature? No: maturation takes about 5 to 7 days, so do not blindly reinsert an immature tube.</w:t>
      </w:r>
    </w:p>
    <w:p>
      <w:pPr>
        <w:pStyle w:val="ListParagraph"/>
        <w:numPr>
          <w:ilvl w:val="0"/>
          <w:numId w:val="2"/>
        </w:numPr>
        <w:spacing w:after="40"/>
      </w:pPr>
      <w:r>
        <w:t xml:space="preserve">Secure the airway from above: orally intubate or bag-mask as needed and call for help.</w:t>
      </w:r>
    </w:p>
    <w:p>
      <w:pPr>
        <w:pStyle w:val="ListParagraph"/>
        <w:numPr>
          <w:ilvl w:val="0"/>
          <w:numId w:val="2"/>
        </w:numPr>
        <w:spacing w:after="40"/>
      </w:pPr>
      <w:r>
        <w:t xml:space="preserve">Beware a false passage into pretracheal tissue: confirm intraluminal placement with capnography or bronchoscopy.</w:t>
      </w:r>
    </w:p>
    <w:p>
      <w:pPr>
        <w:pStyle w:val="Heading3"/>
        <w:spacing w:after="80" w:before="160"/>
      </w:pPr>
      <w:r>
        <w:t xml:space="preserve">Key steps</w:t>
      </w:r>
    </w:p>
    <w:p>
      <w:pPr>
        <w:pStyle w:val="ListParagraph"/>
        <w:numPr>
          <w:ilvl w:val="0"/>
          <w:numId w:val="16"/>
        </w:numPr>
        <w:spacing w:after="40"/>
      </w:pPr>
      <w:r>
        <w:t xml:space="preserve">Extend the neck; horizontal incision midway between cricoid and sternal notch.</w:t>
      </w:r>
    </w:p>
    <w:p>
      <w:pPr>
        <w:pStyle w:val="ListParagraph"/>
        <w:numPr>
          <w:ilvl w:val="0"/>
          <w:numId w:val="16"/>
        </w:numPr>
        <w:spacing w:after="40"/>
      </w:pPr>
      <w:r>
        <w:t xml:space="preserve">Divide platysma; separate the straps in the midline.</w:t>
      </w:r>
    </w:p>
    <w:p>
      <w:pPr>
        <w:pStyle w:val="ListParagraph"/>
        <w:numPr>
          <w:ilvl w:val="0"/>
          <w:numId w:val="16"/>
        </w:numPr>
        <w:spacing w:after="40"/>
      </w:pPr>
      <w:r>
        <w:t xml:space="preserve">Retract or divide the thyroid isthmus to expose the trachea.</w:t>
      </w:r>
    </w:p>
    <w:p>
      <w:pPr>
        <w:pStyle w:val="ListParagraph"/>
        <w:numPr>
          <w:ilvl w:val="0"/>
          <w:numId w:val="16"/>
        </w:numPr>
        <w:spacing w:after="40"/>
      </w:pPr>
      <w:r>
        <w:t xml:space="preserve">Identify the cricoid and rings; place a cricoid hook and stay sutures.</w:t>
      </w:r>
    </w:p>
    <w:p>
      <w:pPr>
        <w:pStyle w:val="ListParagraph"/>
        <w:numPr>
          <w:ilvl w:val="0"/>
          <w:numId w:val="16"/>
        </w:numPr>
        <w:spacing w:after="40"/>
      </w:pPr>
      <w:r>
        <w:t xml:space="preserve">Enter between the 2nd3rd (or 3rd4th) rings; insert the tube; confirm with capnography; secure.</w:t>
      </w:r>
    </w:p>
    <w:p>
      <w:pPr>
        <w:pStyle w:val="Heading3"/>
        <w:spacing w:after="80" w:before="160"/>
      </w:pPr>
      <w:r>
        <w:t xml:space="preserve">Danger structures</w:t>
      </w:r>
    </w:p>
    <w:p>
      <w:pPr>
        <w:spacing w:after="80"/>
      </w:pPr>
      <w:r>
        <w:t xml:space="preserve">The thyroid isthmus, anterior jugular veins, the innominate artery low in the neck (tracheo-innominate fistula), the esophagus/posterior tracheal wall, and the RLNs in the TE grooves.</w:t>
      </w:r>
    </w:p>
    <w:p>
      <w:pPr>
        <w:pStyle w:val="Heading3"/>
        <w:spacing w:after="80" w:before="160"/>
      </w:pPr>
      <w:r>
        <w:t xml:space="preserve">High-yield pearl</w:t>
      </w:r>
    </w:p>
    <w:p>
      <w:pPr>
        <w:spacing w:after="80"/>
      </w:pPr>
      <w:r>
        <w:t xml:space="preserve">A herald sentinel bleed from a trach signals a possible tracheo-innominate fistula: hyperinflate the cuff or apply digital compression (Utley maneuver) and go emergently to OR. The most common cause of acute distress overall is a mucus plug.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abstractNum w:abstractNumId="4" w15:restartNumberingAfterBreak="0">
    <w:multiLevelType w:val="hybridMultilevel"/>
    <w:lvl w:ilvl="0" w:tentative="1">
      <w:start w:val="1"/>
      <w:numFmt w:val="decimal"/>
      <w:lvlText w:val="%1."/>
      <w:lvlJc w:val="left"/>
      <w:pPr>
        <w:ind w:left="540" w:hanging="270"/>
      </w:pPr>
    </w:lvl>
  </w:abstractNum>
  <w:abstractNum w:abstractNumId="5" w15:restartNumberingAfterBreak="0">
    <w:multiLevelType w:val="hybridMultilevel"/>
    <w:lvl w:ilvl="0" w:tentative="1">
      <w:start w:val="1"/>
      <w:numFmt w:val="decimal"/>
      <w:lvlText w:val="%1."/>
      <w:lvlJc w:val="left"/>
      <w:pPr>
        <w:ind w:left="540" w:hanging="270"/>
      </w:pPr>
    </w:lvl>
  </w:abstractNum>
  <w:abstractNum w:abstractNumId="6" w15:restartNumberingAfterBreak="0">
    <w:multiLevelType w:val="hybridMultilevel"/>
    <w:lvl w:ilvl="0" w:tentative="1">
      <w:start w:val="1"/>
      <w:numFmt w:val="decimal"/>
      <w:lvlText w:val="%1."/>
      <w:lvlJc w:val="left"/>
      <w:pPr>
        <w:ind w:left="540" w:hanging="270"/>
      </w:pPr>
    </w:lvl>
  </w:abstractNum>
  <w:abstractNum w:abstractNumId="7" w15:restartNumberingAfterBreak="0">
    <w:multiLevelType w:val="hybridMultilevel"/>
    <w:lvl w:ilvl="0" w:tentative="1">
      <w:start w:val="1"/>
      <w:numFmt w:val="decimal"/>
      <w:lvlText w:val="%1."/>
      <w:lvlJc w:val="left"/>
      <w:pPr>
        <w:ind w:left="540" w:hanging="270"/>
      </w:pPr>
    </w:lvl>
  </w:abstractNum>
  <w:abstractNum w:abstractNumId="8" w15:restartNumberingAfterBreak="0">
    <w:multiLevelType w:val="hybridMultilevel"/>
    <w:lvl w:ilvl="0" w:tentative="1">
      <w:start w:val="1"/>
      <w:numFmt w:val="decimal"/>
      <w:lvlText w:val="%1."/>
      <w:lvlJc w:val="left"/>
      <w:pPr>
        <w:ind w:left="540" w:hanging="270"/>
      </w:pPr>
    </w:lvl>
  </w:abstractNum>
  <w:abstractNum w:abstractNumId="9" w15:restartNumberingAfterBreak="0">
    <w:multiLevelType w:val="hybridMultilevel"/>
    <w:lvl w:ilvl="0" w:tentative="1">
      <w:start w:val="1"/>
      <w:numFmt w:val="decimal"/>
      <w:lvlText w:val="%1."/>
      <w:lvlJc w:val="left"/>
      <w:pPr>
        <w:ind w:left="540" w:hanging="270"/>
      </w:pPr>
    </w:lvl>
  </w:abstractNum>
  <w:abstractNum w:abstractNumId="10" w15:restartNumberingAfterBreak="0">
    <w:multiLevelType w:val="hybridMultilevel"/>
    <w:lvl w:ilvl="0" w:tentative="1">
      <w:start w:val="1"/>
      <w:numFmt w:val="decimal"/>
      <w:lvlText w:val="%1."/>
      <w:lvlJc w:val="left"/>
      <w:pPr>
        <w:ind w:left="540" w:hanging="270"/>
      </w:pPr>
    </w:lvl>
  </w:abstractNum>
  <w:abstractNum w:abstractNumId="11" w15:restartNumberingAfterBreak="0">
    <w:multiLevelType w:val="hybridMultilevel"/>
    <w:lvl w:ilvl="0" w:tentative="1">
      <w:start w:val="1"/>
      <w:numFmt w:val="decimal"/>
      <w:lvlText w:val="%1."/>
      <w:lvlJc w:val="left"/>
      <w:pPr>
        <w:ind w:left="540" w:hanging="270"/>
      </w:pPr>
    </w:lvl>
  </w:abstractNum>
  <w:abstractNum w:abstractNumId="12" w15:restartNumberingAfterBreak="0">
    <w:multiLevelType w:val="hybridMultilevel"/>
    <w:lvl w:ilvl="0" w:tentative="1">
      <w:start w:val="1"/>
      <w:numFmt w:val="decimal"/>
      <w:lvlText w:val="%1."/>
      <w:lvlJc w:val="left"/>
      <w:pPr>
        <w:ind w:left="540" w:hanging="270"/>
      </w:pPr>
    </w:lvl>
  </w:abstractNum>
  <w:abstractNum w:abstractNumId="13" w15:restartNumberingAfterBreak="0">
    <w:multiLevelType w:val="hybridMultilevel"/>
    <w:lvl w:ilvl="0" w:tentative="1">
      <w:start w:val="1"/>
      <w:numFmt w:val="decimal"/>
      <w:lvlText w:val="%1."/>
      <w:lvlJc w:val="left"/>
      <w:pPr>
        <w:ind w:left="540" w:hanging="270"/>
      </w:pPr>
    </w:lvl>
  </w:abstractNum>
  <w:abstractNum w:abstractNumId="14" w15:restartNumberingAfterBreak="0">
    <w:multiLevelType w:val="hybridMultilevel"/>
    <w:lvl w:ilvl="0" w:tentative="1">
      <w:start w:val="1"/>
      <w:numFmt w:val="decimal"/>
      <w:lvlText w:val="%1."/>
      <w:lvlJc w:val="left"/>
      <w:pPr>
        <w:ind w:left="540" w:hanging="270"/>
      </w:pPr>
    </w:lvl>
  </w:abstractNum>
  <w:abstractNum w:abstractNumId="15" w15:restartNumberingAfterBreak="0">
    <w:multiLevelType w:val="hybridMultilevel"/>
    <w:lvl w:ilvl="0" w:tentative="1">
      <w:start w:val="1"/>
      <w:numFmt w:val="decimal"/>
      <w:lvlText w:val="%1."/>
      <w:lvlJc w:val="left"/>
      <w:pPr>
        <w:ind w:left="540" w:hanging="270"/>
      </w:pPr>
    </w:lvl>
  </w:abstractNum>
  <w:abstractNum w:abstractNumId="16"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2026-10-21T12:40:16.587Z</dcterms:created>
  <dcterms:modified xsi:type="dcterms:W3CDTF">2026-10-21T12:40:16.591Z</dcterms:modified>
</cp:coreProperties>
</file>

<file path=docProps/custom.xml><?xml version="1.0" encoding="utf-8"?>
<Properties xmlns="http://schemas.openxmlformats.org/officeDocument/2006/custom-properties" xmlns:vt="http://schemas.openxmlformats.org/officeDocument/2006/docPropsVTypes"/>
</file>