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1940223_paired_ttest–1-.R</w:t>
      </w:r>
    </w:p>
    <w:p>
      <w:pPr>
        <w:pStyle w:val="Author"/>
      </w:pPr>
      <w:r>
        <w:t xml:space="preserve">pranav</w:t>
      </w:r>
    </w:p>
    <w:p>
      <w:pPr>
        <w:pStyle w:val="Date"/>
      </w:pPr>
      <w:r>
        <w:t xml:space="preserve">2020-09-18</w:t>
      </w:r>
    </w:p>
    <w:p>
      <w:pPr>
        <w:pStyle w:val="FirstParagraph"/>
      </w:pPr>
      <w:r>
        <w:t xml:space="preserve">QUESTION 1</w:t>
      </w:r>
    </w:p>
    <w:p>
      <w:pPr>
        <w:pStyle w:val="SourceCode"/>
      </w:pPr>
      <w:r>
        <w:rPr>
          <w:rStyle w:val="NormalTok"/>
        </w:rPr>
        <w:t xml:space="preserve">Vernier =</w:t>
      </w:r>
      <w:r>
        <w:rPr>
          <w:rStyle w:val="StringTok"/>
        </w:rPr>
        <w:t xml:space="preserve"> </w:t>
      </w:r>
      <w:r>
        <w:rPr>
          <w:rStyle w:val="KeywordTok"/>
        </w:rPr>
        <w:t xml:space="preserve">c</w:t>
      </w:r>
      <w:r>
        <w:rPr>
          <w:rStyle w:val="NormalTok"/>
        </w:rPr>
        <w:t xml:space="preserve">(</w:t>
      </w:r>
      <w:r>
        <w:rPr>
          <w:rStyle w:val="FloatTok"/>
        </w:rPr>
        <w:t xml:space="preserve">2.265</w:t>
      </w:r>
      <w:r>
        <w:rPr>
          <w:rStyle w:val="NormalTok"/>
        </w:rPr>
        <w:t xml:space="preserve">, </w:t>
      </w:r>
      <w:r>
        <w:rPr>
          <w:rStyle w:val="FloatTok"/>
        </w:rPr>
        <w:t xml:space="preserve">2.267</w:t>
      </w:r>
      <w:r>
        <w:rPr>
          <w:rStyle w:val="NormalTok"/>
        </w:rPr>
        <w:t xml:space="preserve">, </w:t>
      </w:r>
      <w:r>
        <w:rPr>
          <w:rStyle w:val="FloatTok"/>
        </w:rPr>
        <w:t xml:space="preserve">2.264</w:t>
      </w:r>
      <w:r>
        <w:rPr>
          <w:rStyle w:val="NormalTok"/>
        </w:rPr>
        <w:t xml:space="preserve">, </w:t>
      </w:r>
      <w:r>
        <w:rPr>
          <w:rStyle w:val="FloatTok"/>
        </w:rPr>
        <w:t xml:space="preserve">2.267</w:t>
      </w:r>
      <w:r>
        <w:rPr>
          <w:rStyle w:val="NormalTok"/>
        </w:rPr>
        <w:t xml:space="preserve">, </w:t>
      </w:r>
      <w:r>
        <w:rPr>
          <w:rStyle w:val="FloatTok"/>
        </w:rPr>
        <w:t xml:space="preserve">2.268</w:t>
      </w:r>
      <w:r>
        <w:rPr>
          <w:rStyle w:val="NormalTok"/>
        </w:rPr>
        <w:t xml:space="preserve">, </w:t>
      </w:r>
      <w:r>
        <w:rPr>
          <w:rStyle w:val="FloatTok"/>
        </w:rPr>
        <w:t xml:space="preserve">2.263</w:t>
      </w:r>
      <w:r>
        <w:rPr>
          <w:rStyle w:val="NormalTok"/>
        </w:rPr>
        <w:t xml:space="preserve">, </w:t>
      </w:r>
      <w:r>
        <w:rPr>
          <w:rStyle w:val="FloatTok"/>
        </w:rPr>
        <w:t xml:space="preserve">2.264</w:t>
      </w:r>
      <w:r>
        <w:rPr>
          <w:rStyle w:val="NormalTok"/>
        </w:rPr>
        <w:t xml:space="preserve">, </w:t>
      </w:r>
      <w:r>
        <w:rPr>
          <w:rStyle w:val="FloatTok"/>
        </w:rPr>
        <w:t xml:space="preserve">2.258</w:t>
      </w:r>
      <w:r>
        <w:rPr>
          <w:rStyle w:val="NormalTok"/>
        </w:rPr>
        <w:t xml:space="preserve">)</w:t>
      </w:r>
      <w:r>
        <w:br w:type="textWrapping"/>
      </w:r>
      <w:r>
        <w:rPr>
          <w:rStyle w:val="NormalTok"/>
        </w:rPr>
        <w:t xml:space="preserve">Micrometer =</w:t>
      </w:r>
      <w:r>
        <w:rPr>
          <w:rStyle w:val="StringTok"/>
        </w:rPr>
        <w:t xml:space="preserve"> </w:t>
      </w:r>
      <w:r>
        <w:rPr>
          <w:rStyle w:val="KeywordTok"/>
        </w:rPr>
        <w:t xml:space="preserve">c</w:t>
      </w:r>
      <w:r>
        <w:rPr>
          <w:rStyle w:val="NormalTok"/>
        </w:rPr>
        <w:t xml:space="preserve">(</w:t>
      </w:r>
      <w:r>
        <w:rPr>
          <w:rStyle w:val="FloatTok"/>
        </w:rPr>
        <w:t xml:space="preserve">2.270</w:t>
      </w:r>
      <w:r>
        <w:rPr>
          <w:rStyle w:val="NormalTok"/>
        </w:rPr>
        <w:t xml:space="preserve">, </w:t>
      </w:r>
      <w:r>
        <w:rPr>
          <w:rStyle w:val="FloatTok"/>
        </w:rPr>
        <w:t xml:space="preserve">2.268</w:t>
      </w:r>
      <w:r>
        <w:rPr>
          <w:rStyle w:val="NormalTok"/>
        </w:rPr>
        <w:t xml:space="preserve">, </w:t>
      </w:r>
      <w:r>
        <w:rPr>
          <w:rStyle w:val="FloatTok"/>
        </w:rPr>
        <w:t xml:space="preserve">2.269</w:t>
      </w:r>
      <w:r>
        <w:rPr>
          <w:rStyle w:val="NormalTok"/>
        </w:rPr>
        <w:t xml:space="preserve">, </w:t>
      </w:r>
      <w:r>
        <w:rPr>
          <w:rStyle w:val="FloatTok"/>
        </w:rPr>
        <w:t xml:space="preserve">2.273</w:t>
      </w:r>
      <w:r>
        <w:rPr>
          <w:rStyle w:val="NormalTok"/>
        </w:rPr>
        <w:t xml:space="preserve">, </w:t>
      </w:r>
      <w:r>
        <w:rPr>
          <w:rStyle w:val="FloatTok"/>
        </w:rPr>
        <w:t xml:space="preserve">2.270</w:t>
      </w:r>
      <w:r>
        <w:rPr>
          <w:rStyle w:val="NormalTok"/>
        </w:rPr>
        <w:t xml:space="preserve">, </w:t>
      </w:r>
      <w:r>
        <w:rPr>
          <w:rStyle w:val="FloatTok"/>
        </w:rPr>
        <w:t xml:space="preserve">2.270</w:t>
      </w:r>
      <w:r>
        <w:rPr>
          <w:rStyle w:val="NormalTok"/>
        </w:rPr>
        <w:t xml:space="preserve">, </w:t>
      </w:r>
      <w:r>
        <w:rPr>
          <w:rStyle w:val="FloatTok"/>
        </w:rPr>
        <w:t xml:space="preserve">2.268</w:t>
      </w:r>
      <w:r>
        <w:rPr>
          <w:rStyle w:val="NormalTok"/>
        </w:rPr>
        <w:t xml:space="preserve">, </w:t>
      </w:r>
      <w:r>
        <w:rPr>
          <w:rStyle w:val="FloatTok"/>
        </w:rPr>
        <w:t xml:space="preserve">2.268</w:t>
      </w:r>
      <w:r>
        <w:rPr>
          <w:rStyle w:val="NormalTok"/>
        </w:rPr>
        <w:t xml:space="preserve">)</w:t>
      </w:r>
    </w:p>
    <w:p>
      <w:pPr>
        <w:pStyle w:val="FirstParagraph"/>
      </w:pPr>
      <w:r>
        <w:t xml:space="preserve">Here, we have two measurements on the same entities (same cylinders), but with differing conditions (measurement tool).</w:t>
      </w:r>
      <w:r>
        <w:t xml:space="preserve"> </w:t>
      </w:r>
      <w:r>
        <w:t xml:space="preserve">Hence, these samples are paired samples.</w:t>
      </w:r>
    </w:p>
    <w:p>
      <w:pPr>
        <w:pStyle w:val="BodyText"/>
      </w:pPr>
      <w:r>
        <w:t xml:space="preserve">AIM</w:t>
      </w:r>
    </w:p>
    <w:p>
      <w:pPr>
        <w:pStyle w:val="SourceCode"/>
      </w:pPr>
      <w:r>
        <w:rPr>
          <w:rStyle w:val="CommentTok"/>
        </w:rPr>
        <w:t xml:space="preserve">#</w:t>
      </w:r>
    </w:p>
    <w:p>
      <w:pPr>
        <w:pStyle w:val="FirstParagraph"/>
      </w:pPr>
      <w:r>
        <w:t xml:space="preserve">We need to see if the change in the measurement tool causes significant change in the sample.</w:t>
      </w:r>
      <w:r>
        <w:t xml:space="preserve"> </w:t>
      </w:r>
      <w:r>
        <w:t xml:space="preserve">In other words, we want to use these samples to generalise (for the whole population of cylidrical rods) whether the measurements of vernier calliper and micrometer on the same entities are significantly different.</w:t>
      </w:r>
    </w:p>
    <w:p>
      <w:pPr>
        <w:pStyle w:val="BodyText"/>
      </w:pPr>
      <w:r>
        <w:t xml:space="preserve">CHECKING ASSUMPTIONS</w:t>
      </w:r>
    </w:p>
    <w:p>
      <w:pPr>
        <w:pStyle w:val="SourceCode"/>
      </w:pPr>
      <w:r>
        <w:rPr>
          <w:rStyle w:val="CommentTok"/>
        </w:rPr>
        <w:t xml:space="preserve">#</w:t>
      </w:r>
    </w:p>
    <w:p>
      <w:pPr>
        <w:pStyle w:val="FirstParagraph"/>
      </w:pPr>
      <w:r>
        <w:t xml:space="preserve">Assumption 1…</w:t>
      </w:r>
    </w:p>
    <w:p>
      <w:pPr>
        <w:pStyle w:val="SourceCode"/>
      </w:pPr>
      <w:r>
        <w:rPr>
          <w:rStyle w:val="KeywordTok"/>
        </w:rPr>
        <w:t xml:space="preserve">shapiro.test</w:t>
      </w:r>
      <w:r>
        <w:rPr>
          <w:rStyle w:val="NormalTok"/>
        </w:rPr>
        <w:t xml:space="preserve">(Vernier)</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Vernier</w:t>
      </w:r>
      <w:r>
        <w:br w:type="textWrapping"/>
      </w:r>
      <w:r>
        <w:rPr>
          <w:rStyle w:val="VerbatimChar"/>
        </w:rPr>
        <w:t xml:space="preserve">## W = 0.89104, p-value = 0.2393</w:t>
      </w:r>
    </w:p>
    <w:p>
      <w:pPr>
        <w:pStyle w:val="FirstParagraph"/>
      </w:pPr>
      <w:r>
        <w:t xml:space="preserve">We have that p = 0.2393 &gt; 0.05, hence hence the sample may be said to be taken from a normal distribution.</w:t>
      </w:r>
    </w:p>
    <w:p>
      <w:pPr>
        <w:pStyle w:val="SourceCode"/>
      </w:pPr>
      <w:r>
        <w:rPr>
          <w:rStyle w:val="CommentTok"/>
        </w:rPr>
        <w:t xml:space="preserve">#</w:t>
      </w:r>
      <w:r>
        <w:br w:type="textWrapping"/>
      </w:r>
      <w:r>
        <w:rPr>
          <w:rStyle w:val="KeywordTok"/>
        </w:rPr>
        <w:t xml:space="preserve">shapiro.test</w:t>
      </w:r>
      <w:r>
        <w:rPr>
          <w:rStyle w:val="NormalTok"/>
        </w:rPr>
        <w:t xml:space="preserve">(Micrometer)</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Micrometer</w:t>
      </w:r>
      <w:r>
        <w:br w:type="textWrapping"/>
      </w:r>
      <w:r>
        <w:rPr>
          <w:rStyle w:val="VerbatimChar"/>
        </w:rPr>
        <w:t xml:space="preserve">## W = 0.82605, p-value = 0.054</w:t>
      </w:r>
    </w:p>
    <w:p>
      <w:pPr>
        <w:pStyle w:val="FirstParagraph"/>
      </w:pPr>
      <w:r>
        <w:t xml:space="preserve">We have that p = 0.054 &gt; 0.05, hence the sample may be said to be taken from a normal distribution.</w:t>
      </w:r>
    </w:p>
    <w:p>
      <w:pPr>
        <w:pStyle w:val="SourceCode"/>
      </w:pPr>
      <w:r>
        <w:rPr>
          <w:rStyle w:val="CommentTok"/>
        </w:rPr>
        <w:t xml:space="preserve">#</w:t>
      </w:r>
    </w:p>
    <w:p>
      <w:pPr>
        <w:pStyle w:val="FirstParagraph"/>
      </w:pPr>
      <w:r>
        <w:t xml:space="preserve">Assumption 2…</w:t>
      </w:r>
    </w:p>
    <w:p>
      <w:pPr>
        <w:pStyle w:val="SourceCode"/>
      </w:pPr>
      <w:r>
        <w:rPr>
          <w:rStyle w:val="CommentTok"/>
        </w:rPr>
        <w:t xml:space="preserve">#</w:t>
      </w:r>
    </w:p>
    <w:p>
      <w:pPr>
        <w:pStyle w:val="FirstParagraph"/>
      </w:pPr>
      <w:r>
        <w:t xml:space="preserve">Since the measurement of one cylindrical rod does not affect the measurement of another, we can say that each sample’s each observation is independently taken.</w:t>
      </w:r>
    </w:p>
    <w:p>
      <w:pPr>
        <w:pStyle w:val="SourceCode"/>
      </w:pPr>
      <w:r>
        <w:rPr>
          <w:rStyle w:val="CommentTok"/>
        </w:rPr>
        <w:t xml:space="preserve">#</w:t>
      </w:r>
    </w:p>
    <w:p>
      <w:pPr>
        <w:pStyle w:val="FirstParagraph"/>
      </w:pPr>
      <w:r>
        <w:t xml:space="preserve">Assumption 3…</w:t>
      </w:r>
    </w:p>
    <w:p>
      <w:pPr>
        <w:pStyle w:val="SourceCode"/>
      </w:pPr>
      <w:r>
        <w:rPr>
          <w:rStyle w:val="CommentTok"/>
        </w:rPr>
        <w:t xml:space="preserve">#</w:t>
      </w:r>
    </w:p>
    <w:p>
      <w:pPr>
        <w:pStyle w:val="FirstParagraph"/>
      </w:pPr>
      <w:r>
        <w:t xml:space="preserve">Since the samples are taken from the same entities, and since both samples only differ in measurement tools and not in some quality affecting the entities, we may say that the variances of the populations of the samples are equal.</w:t>
      </w:r>
      <w:r>
        <w:t xml:space="preserve"> </w:t>
      </w:r>
      <w:r>
        <w:t xml:space="preserve">Verifying with f-test…</w:t>
      </w:r>
    </w:p>
    <w:p>
      <w:pPr>
        <w:pStyle w:val="SourceCode"/>
      </w:pPr>
      <w:r>
        <w:rPr>
          <w:rStyle w:val="KeywordTok"/>
        </w:rPr>
        <w:t xml:space="preserve">var.test</w:t>
      </w:r>
      <w:r>
        <w:rPr>
          <w:rStyle w:val="NormalTok"/>
        </w:rPr>
        <w:t xml:space="preserve">(Vernier, Micrometer)</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Vernier and Micrometer</w:t>
      </w:r>
      <w:r>
        <w:br w:type="textWrapping"/>
      </w:r>
      <w:r>
        <w:rPr>
          <w:rStyle w:val="VerbatimChar"/>
        </w:rPr>
        <w:t xml:space="preserve">## F = 3.5, num df = 7, denom df = 7, p-value = 0.1204</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0.7007134 17.4821823</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3.5</w:t>
      </w:r>
    </w:p>
    <w:p>
      <w:pPr>
        <w:pStyle w:val="FirstParagraph"/>
      </w:pPr>
      <w:r>
        <w:t xml:space="preserve">We see that p = 0.1204 &gt; 0.05, hence we can say that the variances of the sample populations are similar enough to be considered equal.</w:t>
      </w:r>
    </w:p>
    <w:p>
      <w:pPr>
        <w:pStyle w:val="SourceCode"/>
      </w:pPr>
      <w:r>
        <w:rPr>
          <w:rStyle w:val="CommentTok"/>
        </w:rPr>
        <w:t xml:space="preserve">#</w:t>
      </w:r>
    </w:p>
    <w:p>
      <w:pPr>
        <w:pStyle w:val="FirstParagraph"/>
      </w:pPr>
      <w:r>
        <w:t xml:space="preserve">Assumption 4…</w:t>
      </w:r>
    </w:p>
    <w:p>
      <w:pPr>
        <w:pStyle w:val="SourceCode"/>
      </w:pPr>
      <w:r>
        <w:rPr>
          <w:rStyle w:val="CommentTok"/>
        </w:rPr>
        <w:t xml:space="preserve">#</w:t>
      </w:r>
      <w:r>
        <w:br w:type="textWrapping"/>
      </w:r>
      <w:r>
        <w:rPr>
          <w:rStyle w:val="KeywordTok"/>
        </w:rPr>
        <w:t xml:space="preserve">boxplot</w:t>
      </w:r>
      <w:r>
        <w:rPr>
          <w:rStyle w:val="NormalTok"/>
        </w:rPr>
        <w:t xml:space="preserve">(Vernier, Micrometer,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"Vernier"</w:t>
      </w:r>
      <w:r>
        <w:rPr>
          <w:rStyle w:val="NormalTok"/>
        </w:rPr>
        <w:t xml:space="preserve">, </w:t>
      </w:r>
      <w:r>
        <w:rPr>
          <w:rStyle w:val="StringTok"/>
        </w:rPr>
        <w:t xml:space="preserve">"Micrometer"</w:t>
      </w:r>
      <w:r>
        <w:rPr>
          <w:rStyle w:val="NormalTok"/>
        </w:rPr>
        <w:t xml:space="preserve">), </w:t>
      </w:r>
      <w:r>
        <w:rPr>
          <w:rStyle w:val="DataTypeTok"/>
        </w:rPr>
        <w:t xml:space="preserve">outline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1940223_paired_ttest--1-_files/figure-docx/unnamed-chunk-1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only one outlier in Vernier sample…</w:t>
      </w:r>
      <w:r>
        <w:t xml:space="preserve"> </w:t>
      </w:r>
      <w:r>
        <w:t xml:space="preserve">We may proceed.</w:t>
      </w:r>
    </w:p>
    <w:p>
      <w:pPr>
        <w:pStyle w:val="SourceCode"/>
      </w:pPr>
      <w:r>
        <w:rPr>
          <w:rStyle w:val="CommentTok"/>
        </w:rPr>
        <w:t xml:space="preserve">#</w:t>
      </w:r>
    </w:p>
    <w:p>
      <w:pPr>
        <w:pStyle w:val="FirstParagraph"/>
      </w:pPr>
      <w:r>
        <w:t xml:space="preserve">PAIRED T-TEST</w:t>
      </w:r>
    </w:p>
    <w:p>
      <w:pPr>
        <w:pStyle w:val="SourceCode"/>
      </w:pPr>
      <w:r>
        <w:rPr>
          <w:rStyle w:val="KeywordTok"/>
        </w:rPr>
        <w:t xml:space="preserve">t.test</w:t>
      </w:r>
      <w:r>
        <w:rPr>
          <w:rStyle w:val="NormalTok"/>
        </w:rPr>
        <w:t xml:space="preserve">(Vernier, Micrometer, ,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Vernier and Micrometer</w:t>
      </w:r>
      <w:r>
        <w:br w:type="textWrapping"/>
      </w:r>
      <w:r>
        <w:rPr>
          <w:rStyle w:val="VerbatimChar"/>
        </w:rPr>
        <w:t xml:space="preserve">## t = -5, df = 7, p-value = 0.001565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-0.007364624 -0.002635376</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-0.005</w:t>
      </w:r>
    </w:p>
    <w:p>
      <w:pPr>
        <w:pStyle w:val="FirstParagraph"/>
      </w:pPr>
      <w:r>
        <w:t xml:space="preserve">We see that p = 0.001565 &lt; 0.05, hence we reject the null hypothesis that the sample populations are the same.</w:t>
      </w:r>
      <w:r>
        <w:t xml:space="preserve"> </w:t>
      </w:r>
      <w:r>
        <w:t xml:space="preserve">Hence we conclude that the sample populations are different.</w:t>
      </w:r>
      <w:r>
        <w:t xml:space="preserve"> </w:t>
      </w:r>
      <w:r>
        <w:t xml:space="preserve">Hence, we can say that the change in measurement tool from Vernier calliper to micrometer causes significant difference in measurement of cylidrical rods, in general.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1940223_paired_ttest–1-.R</dc:title>
  <dc:creator>pranav</dc:creator>
  <cp:keywords/>
  <dcterms:created xsi:type="dcterms:W3CDTF">2020-09-18T10:48:17Z</dcterms:created>
  <dcterms:modified xsi:type="dcterms:W3CDTF">2020-09-18T10:48:17Z</dcterms:modified>
</cp:coreProperties>
</file>