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Portfolio — alle Texte</w:t>
      </w:r>
    </w:p>
    <w:p>
      <w:pPr>
        <w:spacing w:after="160"/>
      </w:pPr>
      <w:r>
        <w:rPr>
          <w:sz w:val="20"/>
          <w:szCs w:val="20"/>
        </w:rPr>
        <w:t xml:space="preserve">Bitte nur die rechte Spalte ändern. Die linke Spalte sagt, wo der Text im Code steht — ohne sie lässt sich das Dokument nicht wieder einlesen. Zeilen, die leer bleiben sollen, einfach leeren; gelöschte Zeilen werden beim Einlesen übersprungen.</w:t>
      </w:r>
    </w:p>
    <w:p>
      <w:pPr>
        <w:spacing w:after="320"/>
      </w:pPr>
      <w:r>
        <w:rPr>
          <w:i/>
          <w:iCs/>
          <w:sz w:val="20"/>
          <w:szCs w:val="20"/>
        </w:rPr>
        <w:t xml:space="preserve">Zurückgeben: Datei speichern und mir sagen, wo sie liegt — ich schreibe die Änderungen dann in die Datendateien zurück.</w:t>
      </w:r>
    </w:p>
    <w:p>
      <w:pPr>
        <w:pStyle w:val="Heading1"/>
        <w:spacing w:before="320" w:after="140"/>
      </w:pPr>
      <w:r>
        <w:t xml:space="preserve">Allgemein</w:t>
      </w:r>
    </w:p>
    <w:p>
      <w:r>
        <w:rPr>
          <w:rFonts w:ascii="Consolas" w:cs="Consolas" w:eastAsia="Consolas" w:hAnsi="Consolas"/>
          <w:color w:val="888888"/>
          <w:sz w:val="18"/>
          <w:szCs w:val="18"/>
        </w:rPr>
        <w:t xml:space="preserve">src/data/site.js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site.name</w:t>
            </w:r>
          </w:p>
        </w:tc>
        <w:tc>
          <w:tcPr>
            <w:tcW w:type="dxa" w:w="7138"/>
            <w:tcMar>
              <w:top w:type="dxa" w:w="80"/>
              <w:left w:type="dxa" w:w="120"/>
              <w:bottom w:type="dxa" w:w="80"/>
              <w:right w:type="dxa" w:w="120"/>
            </w:tcMar>
          </w:tcPr>
          <w:p>
            <w:r>
              <w:rPr>
                <w:sz w:val="21"/>
                <w:szCs w:val="21"/>
              </w:rPr>
              <w:t xml:space="preserve">PREJNI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site.role</w:t>
            </w:r>
          </w:p>
        </w:tc>
        <w:tc>
          <w:tcPr>
            <w:tcW w:type="dxa" w:w="7138"/>
            <w:tcMar>
              <w:top w:type="dxa" w:w="80"/>
              <w:left w:type="dxa" w:w="120"/>
              <w:bottom w:type="dxa" w:w="80"/>
              <w:right w:type="dxa" w:w="120"/>
            </w:tcMar>
          </w:tcPr>
          <w:p>
            <w:r>
              <w:rPr>
                <w:sz w:val="21"/>
                <w:szCs w:val="21"/>
              </w:rPr>
              <w:t xml:space="preserve">Film · Kommunikationsdesign · Creative Technology · 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site.intro</w:t>
            </w:r>
          </w:p>
        </w:tc>
        <w:tc>
          <w:tcPr>
            <w:tcW w:type="dxa" w:w="7138"/>
            <w:tcMar>
              <w:top w:type="dxa" w:w="80"/>
              <w:left w:type="dxa" w:w="120"/>
              <w:bottom w:type="dxa" w:w="80"/>
              <w:right w:type="dxa" w:w="120"/>
            </w:tcMar>
          </w:tcPr>
          <w:p>
            <w:r>
              <w:rPr>
                <w:sz w:val="21"/>
                <w:szCs w:val="21"/>
              </w:rPr>
              <w:t xml:space="preserve">Ich gestalte PRINT, DIGITALES und RAUM. Im folgenden sind verschiedene Projekte dokumentiert.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site.ueber.rolle</w:t>
            </w:r>
          </w:p>
        </w:tc>
        <w:tc>
          <w:tcPr>
            <w:tcW w:type="dxa" w:w="7138"/>
            <w:tcMar>
              <w:top w:type="dxa" w:w="80"/>
              <w:left w:type="dxa" w:w="120"/>
              <w:bottom w:type="dxa" w:w="80"/>
              <w:right w:type="dxa" w:w="120"/>
            </w:tcMar>
          </w:tcPr>
          <w:p>
            <w:r>
              <w:rPr>
                <w:sz w:val="21"/>
                <w:szCs w:val="21"/>
              </w:rPr>
              <w:t xml:space="preserve">Designerin für Interaktive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site.ueber.text</w:t>
            </w:r>
          </w:p>
        </w:tc>
        <w:tc>
          <w:tcPr>
            <w:tcW w:type="dxa" w:w="7138"/>
            <w:tcMar>
              <w:top w:type="dxa" w:w="80"/>
              <w:left w:type="dxa" w:w="120"/>
              <w:bottom w:type="dxa" w:w="80"/>
              <w:right w:type="dxa" w:w="120"/>
            </w:tcMar>
          </w:tcPr>
          <w:p>
            <w:r>
              <w:rPr>
                <w:sz w:val="21"/>
                <w:szCs w:val="21"/>
              </w:rPr>
              <w:t xml:space="preserve">Ich gestalte an der Stelle, an der Print, Digitales und Raum aufhören, getrennte Disziplinen zu sein: Installationen, die man betritt, Hefte, die man faltet, Automaten, die zwei Fremde ins Gespräch bringen. Was dabei entsteht, soll nicht erklären, sondern erfahrbar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site.ueber.vorgehen[0].title</w:t>
            </w:r>
          </w:p>
        </w:tc>
        <w:tc>
          <w:tcPr>
            <w:tcW w:type="dxa" w:w="7138"/>
            <w:tcMar>
              <w:top w:type="dxa" w:w="80"/>
              <w:left w:type="dxa" w:w="120"/>
              <w:bottom w:type="dxa" w:w="80"/>
              <w:right w:type="dxa" w:w="120"/>
            </w:tcMar>
          </w:tcPr>
          <w:p>
            <w:r>
              <w:rPr>
                <w:sz w:val="21"/>
                <w:szCs w:val="21"/>
              </w:rPr>
              <w:t xml:space="preserve">Rahmen setzen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site.ueber.vorgehen[0].text</w:t>
            </w:r>
          </w:p>
        </w:tc>
        <w:tc>
          <w:tcPr>
            <w:tcW w:type="dxa" w:w="7138"/>
            <w:tcMar>
              <w:top w:type="dxa" w:w="80"/>
              <w:left w:type="dxa" w:w="120"/>
              <w:bottom w:type="dxa" w:w="80"/>
              <w:right w:type="dxa" w:w="120"/>
            </w:tcMar>
          </w:tcPr>
          <w:p>
            <w:r>
              <w:rPr>
                <w:sz w:val="21"/>
                <w:szCs w:val="21"/>
              </w:rPr>
              <w:t xml:space="preserve">Am Anfang steht ein grober Styleguide und ein klares Ziel, gemeinsam mit Kundschaft oder Team festgelegt. Wer weiß, worauf er zuarbeitet, diskutiert später über Entscheidungen statt über Geschmack.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site.ueber.vorgehen[1].title</w:t>
            </w:r>
          </w:p>
        </w:tc>
        <w:tc>
          <w:tcPr>
            <w:tcW w:type="dxa" w:w="7138"/>
            <w:tcMar>
              <w:top w:type="dxa" w:w="80"/>
              <w:left w:type="dxa" w:w="120"/>
              <w:bottom w:type="dxa" w:w="80"/>
              <w:right w:type="dxa" w:w="120"/>
            </w:tcMar>
          </w:tcPr>
          <w:p>
            <w:r>
              <w:rPr>
                <w:sz w:val="21"/>
                <w:szCs w:val="21"/>
              </w:rPr>
              <w:t xml:space="preserve">Brainstorm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site.ueber.vorgehen[1].text</w:t>
            </w:r>
          </w:p>
        </w:tc>
        <w:tc>
          <w:tcPr>
            <w:tcW w:type="dxa" w:w="7138"/>
            <w:tcMar>
              <w:top w:type="dxa" w:w="80"/>
              <w:left w:type="dxa" w:w="120"/>
              <w:bottom w:type="dxa" w:w="80"/>
              <w:right w:type="dxa" w:w="120"/>
            </w:tcMar>
          </w:tcPr>
          <w:p>
            <w:r>
              <w:rPr>
                <w:sz w:val="21"/>
                <w:szCs w:val="21"/>
              </w:rPr>
              <w:t xml:space="preserve">Dann wird das Projekt konkret: offene Runde, viele Richtungen, am Ende eine Idee, die sich in einem Satz erklären lässt — und die den Rahmen von vorhin trägt.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site.ueber.vorgehen[2].title</w:t>
            </w:r>
          </w:p>
        </w:tc>
        <w:tc>
          <w:tcPr>
            <w:tcW w:type="dxa" w:w="7138"/>
            <w:tcMar>
              <w:top w:type="dxa" w:w="80"/>
              <w:left w:type="dxa" w:w="120"/>
              <w:bottom w:type="dxa" w:w="80"/>
              <w:right w:type="dxa" w:w="120"/>
            </w:tcMar>
          </w:tcPr>
          <w:p>
            <w:r>
              <w:rPr>
                <w:sz w:val="21"/>
                <w:szCs w:val="21"/>
              </w:rPr>
              <w:t xml:space="preserve">Aufgaben verteilen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site.ueber.vorgehen[2].text</w:t>
            </w:r>
          </w:p>
        </w:tc>
        <w:tc>
          <w:tcPr>
            <w:tcW w:type="dxa" w:w="7138"/>
            <w:tcMar>
              <w:top w:type="dxa" w:w="80"/>
              <w:left w:type="dxa" w:w="120"/>
              <w:bottom w:type="dxa" w:w="80"/>
              <w:right w:type="dxa" w:w="120"/>
            </w:tcMar>
          </w:tcPr>
          <w:p>
            <w:r>
              <w:rPr>
                <w:sz w:val="21"/>
                <w:szCs w:val="21"/>
              </w:rPr>
              <w:t xml:space="preserve">Wer macht was bis wann? Jede Aufgabe bekommt einen Namen und ein Datum. Das hält die Verantwortung sichtbar und die Abstimmung kurz.</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site.ueber.vorgehen[3].title</w:t>
            </w:r>
          </w:p>
        </w:tc>
        <w:tc>
          <w:tcPr>
            <w:tcW w:type="dxa" w:w="7138"/>
            <w:tcMar>
              <w:top w:type="dxa" w:w="80"/>
              <w:left w:type="dxa" w:w="120"/>
              <w:bottom w:type="dxa" w:w="80"/>
              <w:right w:type="dxa" w:w="120"/>
            </w:tcMar>
          </w:tcPr>
          <w:p>
            <w:r>
              <w:rPr>
                <w:sz w:val="21"/>
                <w:szCs w:val="21"/>
              </w:rPr>
              <w:t xml:space="preserve">Distribution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site.ueber.vorgehen[3].text</w:t>
            </w:r>
          </w:p>
        </w:tc>
        <w:tc>
          <w:tcPr>
            <w:tcW w:type="dxa" w:w="7138"/>
            <w:tcMar>
              <w:top w:type="dxa" w:w="80"/>
              <w:left w:type="dxa" w:w="120"/>
              <w:bottom w:type="dxa" w:w="80"/>
              <w:right w:type="dxa" w:w="120"/>
            </w:tcMar>
          </w:tcPr>
          <w:p>
            <w:r>
              <w:rPr>
                <w:sz w:val="21"/>
                <w:szCs w:val="21"/>
              </w:rPr>
              <w:t xml:space="preserve">Zum Schluss steht die Frage, wo die Arbeit landet: Druckdaten, Kanäle, Formate, Ausspielung. Ein Entwurf ist erst fertig, wenn er dort funktioniert, wo er hinsoll.</w:t>
            </w:r>
          </w:p>
        </w:tc>
      </w:tr>
    </w:tbl>
    <w:p>
      <w:pPr>
        <w:pStyle w:val="Heading1"/>
        <w:spacing w:before="320" w:after="140"/>
      </w:pPr>
      <w:r>
        <w:t xml:space="preserve">Creative Technology</w:t>
      </w:r>
    </w:p>
    <w:p>
      <w:r>
        <w:rPr>
          <w:rFonts w:ascii="Consolas" w:cs="Consolas" w:eastAsia="Consolas" w:hAnsi="Consolas"/>
          <w:color w:val="888888"/>
          <w:sz w:val="18"/>
          <w:szCs w:val="18"/>
        </w:rPr>
        <w:t xml:space="preserve">src/data/creative-technology.js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Creative Technology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Installationen, Interaktion und Prototypen — Arbeiten, in denen Technik zum Material wird.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Eine Frage finden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Am Anfang steht ein Gefühl oder eine Beobachtung, nicht die Technik. Erst wenn klar ist, was jemand erleben soll, suche ich das Werkzeug dafür.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Schnell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Billige Prototypen aus Raspberry Pi, TouchDesigner oder Pappe — lieber zehn grobe Versuche als ein perfekter.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Mit Menschen testen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Ich lasse andere ausprobieren und schaue zu. Was sie tun, sagt mehr als das, was sie darüber sagen.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Den Raum gestalten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Licht, Ton, Wege und Ablauf entscheiden, ob die Technik verschwindet und nur das Erlebnis bleibt.</w:t>
            </w:r>
          </w:p>
        </w:tc>
      </w:tr>
    </w:tbl>
    <w:p>
      <w:pPr>
        <w:pStyle w:val="Heading2"/>
        <w:spacing w:before="320" w:after="140"/>
      </w:pPr>
      <w:r>
        <w:t xml:space="preserve">Rreth</w:t>
      </w:r>
    </w:p>
    <w:p>
      <w:r>
        <w:rPr>
          <w:rFonts w:ascii="Consolas" w:cs="Consolas" w:eastAsia="Consolas" w:hAnsi="Consolas"/>
          <w:color w:val="888888"/>
          <w:sz w:val="18"/>
          <w:szCs w:val="18"/>
        </w:rPr>
        <w:t xml:space="preserve">src/data/creative-technology.js  ·  slug: rreth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Rreth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Take It All Off // Break the Silence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2020–2025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Konzeption, Recherche, Regie, Videoschnitt, Sounddesign,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Bachelorthesis "Rreth — Dokumentation einer immersiven Rauminstallation", vorgelegt 2023 im Studiengang Online Medien, Fakultät Digitale Medien der Hochschule Furtwangen. Betreuung: Prof. Thomas Krach und Prof. Matthias Reusch. Fortführung 2025 im Master Design Interaktiver Medien mit Cara Brüggendieck und Laura Zahn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Rreth — albanisch für Kreis — läuft seit 2020: angefangen mit einem kleinen Magazin, daraus eine begehbare Videoinstallation über die komplexe posttraumatische Belastungsstörung, und 2028 eine Ausstellung, die beides zusammenbringt.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plötzliche Stille ist fast lauter als der Lärm.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Meine These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Einen Raum schaffen, in dem Schweigen nicht mehr schützt, sondern offenlegt. „Take It All Off // Break the Silence" verwandelt Verletzlichkeit in kollektive Stärke — Verbindung entsteht erst, wenn wir aufhören, unsere Emotionen zu verstecken. Den Anlass gibt eine Diagnose, die kaum jemand kennt: Die komplexe posttraumatische Belastungsstörung steht erst seit der ICD-11 als eigenständige Erkrankung da. Wer betroffen ist, hat selten ein Wort dafür. Die Frage war nie, wie man darüber aufklärt, sondern wie man es spürbar 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Magazin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Heft führt durch die Modelle hinter der Arbeit: Freuds Instanzenmodell, Melanie Kleins Objektbeziehungstheorie, Pete Walkers vier Überlebensstrategien. Der Satz, auf den alles hinausläuft: Jede dieser Strategien hat einmal funktioniert. Sie war nie ein Charakterfehler.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Vier Videoakte und ein Soundtrack aus 42 Spuren laufen über Projektion und Lautsprecher in den Raum. Fünf Phasen geben vor, was wann zu sehen und zu hören ist; am Ende stehen Telefonzellen, in denen die Besucher selbst erzählen können.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Vier Akte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Bachelorarbeit von 2021 bis 2023. Die Akte tragen albanische Namen — „Themeli" (Grundstein) zeigt die Reaktionsmuster aus der Kindheit, „Shprehje Emocionale" übersetzt in Tanz, was ein Trigger auslöst, „Metamorfoza" ist der Wendepunkt, „Çlirim" die Katharsis, in der zum ersten Mal Farbe ins Bild kommt. Die ersten drei Akte sind streng schwarzweiß. Getanzt von Carina Borgards, gebaut aus Rotoskopie, EbSynth und 42 Tonspuren.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Ausgestellt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Juli 2023 war die Arbeit einen Tag lang in der Städtischen Galerie Villingen-Schwenningen zu 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Projektpitch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2025 im Master noch einmal überarbeitet, zu dritt mit Cara Brüggendieck und Laura Zahn. Daraus wurde ein Raum, der sich dreht: kaltes Licht, gedämpfte Klänge, alles still und fast kontrolliert. Auf dem Karussell zeigen sich die gewohnten Pausen und inneren Grenzen — und verwandeln sich in Offenheit, in Verbindung, in ein geteiltes Bewusstsein. Vorgearbeitet wurde viel; die Umsetzung musste aus Zeitgründen warten.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chapters[6].title</w:t>
            </w:r>
          </w:p>
        </w:tc>
        <w:tc>
          <w:tcPr>
            <w:tcW w:type="dxa" w:w="7138"/>
            <w:tcMar>
              <w:top w:type="dxa" w:w="80"/>
              <w:left w:type="dxa" w:w="120"/>
              <w:bottom w:type="dxa" w:w="80"/>
              <w:right w:type="dxa" w:w="120"/>
            </w:tcMar>
          </w:tcPr>
          <w:p>
            <w:r>
              <w:rPr>
                <w:sz w:val="21"/>
                <w:szCs w:val="21"/>
              </w:rPr>
              <w:t xml:space="preserve">Erster Einblick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chapters[6].text</w:t>
            </w:r>
          </w:p>
        </w:tc>
        <w:tc>
          <w:tcPr>
            <w:tcW w:type="dxa" w:w="7138"/>
            <w:tcMar>
              <w:top w:type="dxa" w:w="80"/>
              <w:left w:type="dxa" w:w="120"/>
              <w:bottom w:type="dxa" w:w="80"/>
              <w:right w:type="dxa" w:w="120"/>
            </w:tcMar>
          </w:tcPr>
          <w:p>
            <w:r>
              <w:rPr>
                <w:sz w:val="21"/>
                <w:szCs w:val="21"/>
              </w:rPr>
              <w:t xml:space="preserve">Drehbuch, Regie und Schnitt: Pranvera Pelaj, Cara Brüggendieck, Laura Zahn. Kamera und Licht: Joscha Reuther, Jan Borghart.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chapters[7].title</w:t>
            </w:r>
          </w:p>
        </w:tc>
        <w:tc>
          <w:tcPr>
            <w:tcW w:type="dxa" w:w="7138"/>
            <w:tcMar>
              <w:top w:type="dxa" w:w="80"/>
              <w:left w:type="dxa" w:w="120"/>
              <w:bottom w:type="dxa" w:w="80"/>
              <w:right w:type="dxa" w:w="120"/>
            </w:tcMar>
          </w:tcPr>
          <w:p>
            <w:r>
              <w:rPr>
                <w:sz w:val="21"/>
                <w:szCs w:val="21"/>
              </w:rPr>
              <w:t xml:space="preserve">Kampagne und Zukunftsausblick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chapters[7].text</w:t>
            </w:r>
          </w:p>
        </w:tc>
        <w:tc>
          <w:tcPr>
            <w:tcW w:type="dxa" w:w="7138"/>
            <w:tcMar>
              <w:top w:type="dxa" w:w="80"/>
              <w:left w:type="dxa" w:w="120"/>
              <w:bottom w:type="dxa" w:w="80"/>
              <w:right w:type="dxa" w:w="120"/>
            </w:tcMar>
          </w:tcPr>
          <w:p>
            <w:r>
              <w:rPr>
                <w:sz w:val="21"/>
                <w:szCs w:val="21"/>
              </w:rPr>
              <w:t xml:space="preserve">Die Instagram-Kampagne läuft im Vorfeld: kurze Videos, selbst aufgenommen und mit KI weiterbearbeitet, Captions in der ersten Person. Jeder Post trägt den Namen eines Musters statt eines Titels — Suppressing, Self Sabotage, Self Destruction. 2028 soll die Installation in der Halle 93 in Stuttgart stehen, mit überarbeitetem Magazin und einer App.</w:t>
            </w:r>
          </w:p>
        </w:tc>
      </w:tr>
    </w:tbl>
    <w:p>
      <w:pPr>
        <w:pStyle w:val="Heading2"/>
        <w:spacing w:before="320" w:after="140"/>
      </w:pPr>
      <w:r>
        <w:t xml:space="preserve">In Lak’ech</w:t>
      </w:r>
    </w:p>
    <w:p>
      <w:r>
        <w:rPr>
          <w:rFonts w:ascii="Consolas" w:cs="Consolas" w:eastAsia="Consolas" w:hAnsi="Consolas"/>
          <w:color w:val="888888"/>
          <w:sz w:val="18"/>
          <w:szCs w:val="18"/>
        </w:rPr>
        <w:t xml:space="preserve">src/data/creative-technology.js  ·  slug: in-lakech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 Lak’ech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Begegnungsautomat für den öffentlichen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Programmierung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„In Lak’ech" ist ein Gruß der Maya: Ich bin ein anderes Du. Ein Automat, der zwei Fremde zusammenbringt — ein Videospiel im Nokia-3310-Look auf einem Raspberry Pi, bedient über zwei Arcade-Knöpfe.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Ich werde an dir zu mir.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Himmel und Hölle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Wer gegenübersteht, ist nicht das Fremde, sondern dasselbe in anderer Gestalt. Diesen Satz wollte ich nicht als Spruch weitergeben, sondern als Erfahrung. Also ein Spiel, das zwei Fremde zueinander bringt, ohne dass einer anfangen muss. Daraus wurde die Idee, mit dem zu spielen, was zwischen Fremden immer zuerst da ist: Misstrauen.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Zwei Arcade-Knöpfe, ein Raspberry Pi, ein Display im Nokia-Format. Jeder Knopf gehört zu einer Figur und leuchtet nur, wenn sie spricht. Am Ende löst die Kamera aus und der Bon-Drucker gibt die Begegnung durchnummeriert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Automat in 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beiden Figuren heißen Taiyo und Tsuki, Sonne und Mond. Sie streiten sich im Pokémon-Stil durch ein Duell, bis die Frage steht: to die or to live together? Am Ende der Vertrauenstest — „Kann ich dir vertrauen?", „Das hat weh getan", „Ich hab dich trotzdem lieb." Weiter geht es nur, wenn beide gleichzeitig drücken.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Gedruckte Begegnungen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Jede gelungene Begegnung wird fotografiert und auf einen Kassenbon gedruckt, durchnummeriert. Zwei Menschen, die sich vorher nicht kannten, halten danach denselben Zettel in der Hand.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Regensburg, Sommer 2027</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Im Sommer 2027 soll der Automat in der Innenstadt von Regensburg stehen — dort, wo die Leute ohnehin aneinander vorbeigehen.</w:t>
            </w:r>
          </w:p>
        </w:tc>
      </w:tr>
    </w:tbl>
    <w:p>
      <w:pPr>
        <w:pStyle w:val="Heading2"/>
        <w:spacing w:before="320" w:after="140"/>
      </w:pPr>
      <w:r>
        <w:t xml:space="preserve">Nostalgia is a Portal</w:t>
      </w:r>
    </w:p>
    <w:p>
      <w:r>
        <w:rPr>
          <w:rFonts w:ascii="Consolas" w:cs="Consolas" w:eastAsia="Consolas" w:hAnsi="Consolas"/>
          <w:color w:val="888888"/>
          <w:sz w:val="18"/>
          <w:szCs w:val="18"/>
        </w:rPr>
        <w:t xml:space="preserve">src/data/creative-technology.js  ·  slug: nostalgia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Nostalgia is a Portal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Interaktive Videoinstallation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Interaktion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Städtische Galerie Villingen-Schwenningen, März–April 2026. Mit Julia Mamani und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Videoinstallation über Nostalgie als Abwehrmechanismus: Wir verdrängen, was gerade passiert, und romantisieren es später durch den Filter von Social Media. Zwei Röhrenmonitore an den Ausgängen des Aufzugs, gesteuert nur mit Körperhaltung und Handbewegung.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Was bleibt, wenn der Schein trügt?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Schwelle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Den Namen habe ich zuerst bei Likana Cana gelesen. Kurz darauf ging es in der Hochschule um Liminalität — den Zustand zwischen zwei Zuständen — und da war die Idee da. Aus Brainstorming und Materialarchiv kamen drei Stränge: Sprache, nationale Identität, Spiritualität. Daraus die These: Nostalgie ist kein Erinnern, sondern ein Ausweichen. Wir lassen das, was gerade passiert, nicht an uns heran und holen es später gefiltert zurück.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 Kamera liest die Körperhaltung aus, zwei TouchDesigner-Projekte rechnen daraus Schwellenwerte und streamen live auf zwei Röhrenmonitore. Die Ästhetik kommt vom Signalfehler — RGB-Versatz, Rauschen, verrissene Zeilen. Was auf einem modernen Bildschirm wie ein Defekt aussieht, ist auf der Röhre normal.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Niemand bedient etwas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Wer aus dem Aufzug tritt, steht im Bild, bevor er es merkt. Es gibt nichts zu bedienen: Die Position im Raum und die Hand vor der Kamera sind die ganze Steuerung — die beiden Plakate erklären das wortlos. Oben läuft dieselbe Erkennung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Im 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Die Installation in der Städtischen Galerie.</w:t>
            </w:r>
          </w:p>
        </w:tc>
      </w:tr>
    </w:tbl>
    <w:p>
      <w:pPr>
        <w:pStyle w:val="Heading2"/>
        <w:spacing w:before="320" w:after="140"/>
      </w:pPr>
      <w:r>
        <w:t xml:space="preserve">Multi Shepard</w:t>
      </w:r>
    </w:p>
    <w:p>
      <w:r>
        <w:rPr>
          <w:rFonts w:ascii="Consolas" w:cs="Consolas" w:eastAsia="Consolas" w:hAnsi="Consolas"/>
          <w:color w:val="888888"/>
          <w:sz w:val="18"/>
          <w:szCs w:val="18"/>
        </w:rPr>
        <w:t xml:space="preserve">src/data/creative-technology.js  ·  slug: shepard-tone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Multi Shepard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Audiovisuelle Rauminstallation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Januar 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Raumgestaltung, Sound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und Kathrin Krell. Betreut von Prof. Norbert Schnell und Peter Kirschenbauer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Der Shepard-Ton ist eine Hörtäuschung: eine Tonhöhe, die endlos zu steigen scheint, ohne je anzukommen. Multi Shepard bringt ihn in einen Vorlesungssaal. Der Ton läuft bereits, bevor jemand da ist — der Weg nach unten ist das Erlebnis.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Kann ich meinen Sinnen überhaupt trauen?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Geplant war eine Installation mit Positionstracking. Auf Rat von Prof. Norbert Schnell haben wir radikal vereinfacht und uns auf drei Parameter beschränkt: Geschwindigkeit, Richtung, Lautstärke. Weniger ging nicht, mehr brauchte es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Elf Oszillatoren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Elf Oszillatoren decken 20 Hz bis 20.480 Hz in Oktaven ab, eine Hüllkurve macht die Ränder unhörbar — deshalb hört niemand, wann ein Ton verschwindet und am anderen Ende wieder auftaucht. Dazu eine projizierte optische Illusion als visuelles Gegenstück.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Weg nach unten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Der Grundriss entscheidet: Nur ein Weg führt links durch den Vorlesungssaal, alles andere versperren die Sitzreihen. Jeder geht dieselbe Strecke. Stehenbleiben und zuschauen geht nicht — der Weg durch den Raum ist die Arbeit. Oben lässt sich der Saal durchlaufen, mit demselben Klang.</w:t>
            </w:r>
          </w:p>
        </w:tc>
      </w:tr>
    </w:tbl>
    <w:p>
      <w:pPr>
        <w:pStyle w:val="Heading2"/>
        <w:spacing w:before="320" w:after="140"/>
      </w:pPr>
      <w:r>
        <w:t xml:space="preserve">Inner Flow</w:t>
      </w:r>
    </w:p>
    <w:p>
      <w:r>
        <w:rPr>
          <w:rFonts w:ascii="Consolas" w:cs="Consolas" w:eastAsia="Consolas" w:hAnsi="Consolas"/>
          <w:color w:val="888888"/>
          <w:sz w:val="18"/>
          <w:szCs w:val="18"/>
        </w:rPr>
        <w:t xml:space="preserve">src/data/creative-technology.js  ·  slug: interaktionsdesign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Inner Flow</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Multimodale Visualisierung emotionaler Zustände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Experteninterviews, Video- und Audioanalyse, Prototyp, Evaluation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Rosa Stark, Johannes Merschroth und Marla Speth. Modul Interaktionsdesign bei Prof. Dr.-Ing. Thomas Schlegel,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Anwendung, die während einer Therapiesitzung Mimik, Stimme und Puls mitliest und daraus einen Verlauf zeichnet — als Gesprächsgrundlage für die Nachbesprechung, nicht als Diagnose. Alles läuft lokal, Rohbilder werden nie gespeichert.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Die Einschätzung der Klient:innen steht über der KI.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Beschreiben reicht nicht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Therapeut:innen stützen sich auf das, was sie sehen und hören. Nur: Viele Klient:innen erinnern Erlebtes ungenau, finden keine Worte für ihr Befinden oder passen ihr Verhalten an — aus Scham, aus Angst vor Bewertung. Daraus wurde unsere Frage: Wie kann eine multimodale Visualisierung emotionaler Zustände Therapeut:innen helfen, Reaktionen besser zu erfassen und einzuordnen?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 Psycholog:innen gefragt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Ich habe drei angehende Psycholog:innen interviewt. Ihre Antworten haben das Projekt gedreht. Heute messen sie mit Skalierungsfragen und Fragebögen, achten nebenbei auf gebrochene Stimme, monotonen Tonfall, vermiedenen Blickkontakt. Von konkreten Emotionslabels hielten sie wenig — Emotionen ließen sich ohnehin kaum trennen. Was zählt, sind Tendenzen und Muster im Verlauf. Und ein Satz blieb hängen: Ein technisches Werkzeug darf den Vertrauensaufbau nicht stören. Daraus wurden die Leitplanken — lokale Verarbeitung, nachvollziehbare Logik, und die Selbstwahrnehmung der Klient:innen zählt mehr als jede Messung.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Drei Eingänge, alle lokal: Die Kamera liest über OpenCV und DeepFace die Mimik, das Mikrofon über librosa die Stimme — Lautstärke, Tonhöhe, Sprechtempo, Pausen —, ein Wearable den Puls. Jede Messung landet auf den drei Achsen des PAD-Modells (Valenz, Arousal, Dominanz) und mit Zeitstempel in einer SQLite-Datenbank, aus der das Dashboard sie liest. Keine Cloud, keine Rohbilder — nur abstrahierte Werte. Den Puls mussten wir simulieren: An der Hochschule war kein Wearable aufzutreiben.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Zwei Fenster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Hier laufen die beiden Messungen im Browser, nach demselben Prinzip wie im Prototyp: oben der Eingang, darunter eine Liste, die alle 0,4 Sekunden notiert und nur die letzten beiden Einträge zeigt. Beim Ton gibt es eine Stilleschwelle. Die brauchte es auch im Projekt: Das Modell war auf einem Datensatz ohne Pausen trainiert und hat jede Stille als „happy" gelesen.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chapters[4].title</w:t>
            </w:r>
          </w:p>
        </w:tc>
        <w:tc>
          <w:tcPr>
            <w:tcW w:type="dxa" w:w="7138"/>
            <w:tcMar>
              <w:top w:type="dxa" w:w="80"/>
              <w:left w:type="dxa" w:w="120"/>
              <w:bottom w:type="dxa" w:w="80"/>
              <w:right w:type="dxa" w:w="120"/>
            </w:tcMar>
          </w:tcPr>
          <w:p>
            <w:r>
              <w:rPr>
                <w:sz w:val="21"/>
                <w:szCs w:val="21"/>
              </w:rPr>
              <w:t xml:space="preserve">Was der Test gezeigt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chapters[4].text</w:t>
            </w:r>
          </w:p>
        </w:tc>
        <w:tc>
          <w:tcPr>
            <w:tcW w:type="dxa" w:w="7138"/>
            <w:tcMar>
              <w:top w:type="dxa" w:w="80"/>
              <w:left w:type="dxa" w:w="120"/>
              <w:bottom w:type="dxa" w:w="80"/>
              <w:right w:type="dxa" w:w="120"/>
            </w:tcMar>
          </w:tcPr>
          <w:p>
            <w:r>
              <w:rPr>
                <w:sz w:val="21"/>
                <w:szCs w:val="21"/>
              </w:rPr>
              <w:t xml:space="preserve">Zwei Probanden haben eine Therapiesitzung gespielt — einer als Klient mit Kamera und Mikrofon, einer als Therapeut. Aus den Messwerten wurde das Dashboard gebaut und einer angehenden Psychologin vorgelegt. Ihre Kritik traf den Kern: Grün, Gelb und Rot liest man als Ampel — und damit werden Gefühle ungewollt richtig oder falsch. Und weil nirgends eine Konfidenz stand, wirkten die Werte eindeutiger, als sie sind. Beides ist genau das, was ein solches Werkzeug nicht tun darf.</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chapters[5].title</w:t>
            </w:r>
          </w:p>
        </w:tc>
        <w:tc>
          <w:tcPr>
            <w:tcW w:type="dxa" w:w="7138"/>
            <w:tcMar>
              <w:top w:type="dxa" w:w="80"/>
              <w:left w:type="dxa" w:w="120"/>
              <w:bottom w:type="dxa" w:w="80"/>
              <w:right w:type="dxa" w:w="120"/>
            </w:tcMar>
          </w:tcPr>
          <w:p>
            <w:r>
              <w:rPr>
                <w:sz w:val="21"/>
                <w:szCs w:val="21"/>
              </w:rPr>
              <w:t xml:space="preserve">Was bliebe zu tun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chapters[5].text</w:t>
            </w:r>
          </w:p>
        </w:tc>
        <w:tc>
          <w:tcPr>
            <w:tcW w:type="dxa" w:w="7138"/>
            <w:tcMar>
              <w:top w:type="dxa" w:w="80"/>
              <w:left w:type="dxa" w:w="120"/>
              <w:bottom w:type="dxa" w:w="80"/>
              <w:right w:type="dxa" w:w="120"/>
            </w:tcMar>
          </w:tcPr>
          <w:p>
            <w:r>
              <w:rPr>
                <w:sz w:val="21"/>
                <w:szCs w:val="21"/>
              </w:rPr>
              <w:t xml:space="preserve">Die Farbcodierung müsste raus aus der Bewertung, die Unsicherheit sichtbar werden — Konfidenzbereiche je Modalität, erklärende Texte, Notizen mit Zeitstempel für den Kontext. Technisch fehlen definierte Synchronisationsfenster, die Audioanalyse hängt drei bis fünf Sekunden hinterher, und der simulierte Puls müsste einem echten Sensor weichen. Was bleibt, ist die Haltung: Das System liefert Gesprächsanlässe, keine Diagnosen.</w:t>
            </w:r>
          </w:p>
        </w:tc>
      </w:tr>
    </w:tbl>
    <w:p>
      <w:pPr>
        <w:pStyle w:val="Heading2"/>
        <w:spacing w:before="320" w:after="140"/>
      </w:pPr>
      <w:r>
        <w:t xml:space="preserve">ZodiZine</w:t>
      </w:r>
    </w:p>
    <w:p>
      <w:r>
        <w:rPr>
          <w:rFonts w:ascii="Consolas" w:cs="Consolas" w:eastAsia="Consolas" w:hAnsi="Consolas"/>
          <w:color w:val="888888"/>
          <w:sz w:val="18"/>
          <w:szCs w:val="18"/>
        </w:rPr>
        <w:t xml:space="preserve">src/data/creative-technology.js  ·  slug: zodizine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ZodiZine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Banales Ding — ein Zine-Automat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technische Umsetzung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Cara Brueggendieck. Modul "Inszenierung Interaktiver Medien", Master Design Interaktiver Medien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Station, an der Besucher ihr Geburtsdatum eingeben und ein persönliches Zine gedruckt bekommen — berechnet aus chinesischem, indischem und keltischem Tierkreis. Alles läuft offline auf einem Raspberry Pi.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Banalität als Input, Interaktion als Verstärker, Emotion als Ziel.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Technischer Aufbau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Touchscreen nimmt Tag, Monat und Jahr. Ein Raspberry Pi im Kiosk-Modus rechnet daraus die Zeichen aus drei Tierkreisen, setzt sie mit ReportLab zu einem A4-Bogen und schickt ihn an den Drucker. Acht Seiten auf einem Blatt, gefaltet wird von Hand. Alles läuft offline.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Das warme Papier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Für die Inszenierung haben wir uns an Wahrsagersalons bedient: Tücher verdecken die Umgebung, der nüchterne Automat wird zum rituellen Ort. Die Berührung des Touchscreens, das Warten, während die Mechanik arbeitet, die Übergabe des noch warmen Papiers. Die Faltung macht den Nutzer zum Mitproduzenten — jedes Zine ist ein Unikat in einer Serie von Unikaten.</w:t>
            </w:r>
          </w:p>
        </w:tc>
      </w:tr>
    </w:tbl>
    <w:p>
      <w:pPr>
        <w:pStyle w:val="Heading1"/>
        <w:spacing w:before="320" w:after="140"/>
      </w:pPr>
      <w:r>
        <w:t xml:space="preserve">Film</w:t>
      </w:r>
    </w:p>
    <w:p>
      <w:r>
        <w:rPr>
          <w:rFonts w:ascii="Consolas" w:cs="Consolas" w:eastAsia="Consolas" w:hAnsi="Consolas"/>
          <w:color w:val="888888"/>
          <w:sz w:val="18"/>
          <w:szCs w:val="18"/>
        </w:rPr>
        <w:t xml:space="preserve">src/data/film.js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Kurzfilme, Musikvideos, Animation und Imagefilme — von Storyboard bis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Idee und Recherche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Worum geht es wirklich? Ich sammle Bilder, Musik und Referenzen, bis die Stimmung des Films klar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Storyboard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Jede Einstellung wird vorher gezeichnet. So wissen alle am Set, was gebraucht wird, und der Drehtag bleibt planbar.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Dreh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Kamera, Licht und Regie — mit Raum für das, was am Set ungeplant passiert.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Schnitt und Ton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Im Schnitt entsteht der Rhythmus. Farbe und Sounddesign geben dem Film zum Schluss seinen Charakter.</w:t>
            </w:r>
          </w:p>
        </w:tc>
      </w:tr>
    </w:tbl>
    <w:p>
      <w:pPr>
        <w:pStyle w:val="Heading2"/>
        <w:spacing w:before="320" w:after="140"/>
      </w:pPr>
      <w:r>
        <w:t xml:space="preserve">Love</w:t>
      </w:r>
    </w:p>
    <w:p>
      <w:r>
        <w:rPr>
          <w:rFonts w:ascii="Consolas" w:cs="Consolas" w:eastAsia="Consolas" w:hAnsi="Consolas"/>
          <w:color w:val="888888"/>
          <w:sz w:val="18"/>
          <w:szCs w:val="18"/>
        </w:rPr>
        <w:t xml:space="preserve">src/data/film.js  ·  slug: love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LOVE - what love prompts us to 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Regie, Gestaltung, Sounddesign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Mit Dardan Shala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 story of perspective on love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Offenes Casting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Der Film</w:t>
            </w:r>
          </w:p>
        </w:tc>
      </w:tr>
    </w:tbl>
    <w:p>
      <w:pPr>
        <w:pStyle w:val="Heading2"/>
        <w:spacing w:before="320" w:after="140"/>
      </w:pPr>
      <w:r>
        <w:t xml:space="preserve">Improtheater</w:t>
      </w:r>
    </w:p>
    <w:p>
      <w:r>
        <w:rPr>
          <w:rFonts w:ascii="Consolas" w:cs="Consolas" w:eastAsia="Consolas" w:hAnsi="Consolas"/>
          <w:color w:val="888888"/>
          <w:sz w:val="18"/>
          <w:szCs w:val="18"/>
        </w:rPr>
        <w:t xml:space="preserve">src/data/film.js  ·  slug: improtheater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Improtheater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Landestheater Tübingen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Improvisationstheaterstück, gefilmt und auf einen Trailer gebracht. Niemand weiß vorher, wo die Szene hingeht — es gibt keinen zweiten Take.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Keine zweite Aufnahme, kein Plan, an den man sich halten könnte.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Der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Gedreht im Juli 2026 in Tübingen beim Landestheater, mit Joscha Reuther und Jan Bangert.</w:t>
            </w:r>
          </w:p>
        </w:tc>
      </w:tr>
    </w:tbl>
    <w:p>
      <w:pPr>
        <w:pStyle w:val="Heading2"/>
        <w:spacing w:before="320" w:after="140"/>
      </w:pPr>
      <w:r>
        <w:t xml:space="preserve">Musikvideos</w:t>
      </w:r>
    </w:p>
    <w:p>
      <w:r>
        <w:rPr>
          <w:rFonts w:ascii="Consolas" w:cs="Consolas" w:eastAsia="Consolas" w:hAnsi="Consolas"/>
          <w:color w:val="888888"/>
          <w:sz w:val="18"/>
          <w:szCs w:val="18"/>
        </w:rPr>
        <w:t xml:space="preserve">src/data/film.js  ·  slug: musikvideos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Musikvideos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EREZA —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Regie, Kamera, Schnitt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Ereza ist mittlerweile eine Freundin, mit der ich gerne Ideen fuer Musikvideos bespreche und auch schon oefter eng zusammengearbeitet habe — etwa fuer den Dreh von "A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die Idee besprechen, dann die Kamera auspacken.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 Ereza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Ereza ist mittlerweile eine Freundin. Das verändert die Arbeit: Wir besprechen Ideen lange, bevor eine Kamera im Raum steht.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 kishe guxu?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Das Musikvideo, offiziell veröffentlicht — dazu der Visualizer, der auf Instagram lief. Ein Beispiel aus der Promophase kommt noch dazu.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Jeriko — Pay 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Jeriko ist Rapper aus Frankfurt. Beim Musikvideo zu „Pay Me" war ich für die VFX zuständig.</w:t>
            </w:r>
          </w:p>
        </w:tc>
      </w:tr>
    </w:tbl>
    <w:p>
      <w:pPr>
        <w:pStyle w:val="Heading2"/>
        <w:spacing w:before="320" w:after="140"/>
      </w:pPr>
      <w:r>
        <w:t xml:space="preserve">Huginn</w:t>
      </w:r>
    </w:p>
    <w:p>
      <w:r>
        <w:rPr>
          <w:rFonts w:ascii="Consolas" w:cs="Consolas" w:eastAsia="Consolas" w:hAnsi="Consolas"/>
          <w:color w:val="888888"/>
          <w:sz w:val="18"/>
          <w:szCs w:val="18"/>
        </w:rPr>
        <w:t xml:space="preserve">src/data/film.js  ·  slug: huginn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Raumvermietung, Website und Imagefilm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Gestaltung, Storyboard,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Huginn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Huginn ist Café, Bar, Eventlocation und Co-Working-Space in einem Haus. Über ein Jahr habe ich die Kommunikation gemacht: Konzepte für Bewegtbild, die Drucksachen und die Fotografie.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Sechzehn Bilder, die den Film erzählen, bevor die Kamera läuft.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The Perfect Martini</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Das erste Konzept kam von Guy Buffet und seiner Serie „The Perfect Martini": gemalte Szenen, in denen das Glas die Hauptrolle spielt. Der Plan war, darüber die Cocktails zu vermarkten — so sieht das Ergebnis aus.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Tischaufsteller und WhatsApp Business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Auf den Tischen steht, was die Gäste direkt betrifft. Dazu habe ich das WhatsApp Business aufgesetzt und die passenden Fotos selbst geschossen — die Gerichte vor Rot, damit sie sich in die Bildwelt einfügen statt als Fremdkörper zu wirken.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Magazin für den Eventraum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die Vermietung des Eventraums im Obergeschoss habe ich ein Magazin entworfen: Etage für Etage durch das Haus, jede Doppelseite ein Raum und ein Anlass.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Breakfast at Jule’s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Für die Vermarktung des Frühstücks habe ich einen Videodreh geplant und gefilmt — kurze Werbevideos und Reels unter der Kampagne „Breakfast at Jule’s". Sechzehn gezeichnete Bilder erzählen den Film, bevor die Kamera läuft. Die Aufnahmen stehen, fertig geschnitten sind sie leider nicht.</w:t>
            </w:r>
          </w:p>
        </w:tc>
      </w:tr>
    </w:tbl>
    <w:p>
      <w:pPr>
        <w:pStyle w:val="Heading2"/>
        <w:spacing w:before="320" w:after="140"/>
      </w:pPr>
      <w:r>
        <w:t xml:space="preserve">The Art of Peace</w:t>
      </w:r>
    </w:p>
    <w:p>
      <w:r>
        <w:rPr>
          <w:rFonts w:ascii="Consolas" w:cs="Consolas" w:eastAsia="Consolas" w:hAnsi="Consolas"/>
          <w:color w:val="888888"/>
          <w:sz w:val="18"/>
          <w:szCs w:val="18"/>
        </w:rPr>
        <w:t xml:space="preserve">src/data/film.js  ·  slug: art-of-peace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The Art of Peace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Anime-Pilotfolge ueber Aikido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2022</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Teamprojekt an der Hochschule Furtwangen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Teamprojekt mit dem Ziel, das Interesse an Aikido wiederzubeleben — der Kampfkunst, die Morihei Ueshiba Mitte des 20. Jahrhunderts in Japan entwickelt hat und die Konflikte durch Harmonie statt durch Gewalt loest. Entstanden sind zwei Dinge: ein VR-Spiel und die Pilotfolge einer Anime-Serie. Mein Teil war das Storyboard und dessen Animation.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Konflikte lösen sich durch Harmonie, nicht durch Gewalt.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Ueshiba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Morihei Ueshiba hat Aikido Mitte des 20. Jahrhunderts aus mehreren Strömungen zusammengeführt. Die Technik kommt aus dem Daitō-ryū Aiki-jūjutsu, der Umgang mit dem Gegner aus dem Zen: nicht gewinnen, sondern auflösen. Dazu die Ōmoto-kyō, eine shintoistische Bewegung, aus der Ueshiba den Gedanken nahm, dass Kampfkunst dem Schutz allen Lebens dient. Und das Prinzip des Ki — die Kraft, die man nicht gegen den anderen richtet, sondern mit ihm führt. Das Teamprojekt sollte das Interesse daran wiederbeleben; wichtig war uns, dass die Geschichte das Wesen der Kampfkunst widerspiegelt und nicht nur von ihr handelt.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Dreiundzwanzig Szenen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 junger Schüler Ueshibas begreift das Wesen des Aikido durch eine Begegnung mit einem Betrunkenen im Zug — ein Konflikt, der sich auflöst, ohne dass jemand zuschlägt. Alle 23 Szenen wurden gezeichnet und zu einer animierten Fassung mit Musik und Ton gebracht. Animiert wurde Szene 13 in Blender, die Schlüsselszene im Zugwagen.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Medienpreis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Das animierte Storyboard hat den Medienpreis bekommen.</w:t>
            </w:r>
          </w:p>
        </w:tc>
      </w:tr>
    </w:tbl>
    <w:p>
      <w:pPr>
        <w:pStyle w:val="Heading1"/>
        <w:spacing w:before="320" w:after="140"/>
      </w:pPr>
      <w:r>
        <w:t xml:space="preserve">Game</w:t>
      </w:r>
    </w:p>
    <w:p>
      <w:r>
        <w:rPr>
          <w:rFonts w:ascii="Consolas" w:cs="Consolas" w:eastAsia="Consolas" w:hAnsi="Consolas"/>
          <w:color w:val="888888"/>
          <w:sz w:val="18"/>
          <w:szCs w:val="18"/>
        </w:rPr>
        <w:t xml:space="preserve">src/data/game.js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Game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Spiele aus Game Jams und Seminaren — Botlnick laeuft direkt im Browser.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Spielgefühl festlegen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Bevor gebaut wird, steht fest, wie sich das Spiel anfühlen soll — unheimlich, verspielt, ruhig.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Welt bauen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Echte Orte werden per Photogrammetrie eingescannt und in Blender zu spielbaren Räumen aufbereitet.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Spielbar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In Godot kommen Steuerung, Logik und Interaktion dazu. Ein grauer Prototyp muss schon Spaß machen.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Testen und feilen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Andere spielen lassen, beobachten, nachbessern — bis Schwierigkeit und Tempo stimmen.</w:t>
            </w:r>
          </w:p>
        </w:tc>
      </w:tr>
    </w:tbl>
    <w:p>
      <w:pPr>
        <w:pStyle w:val="Heading2"/>
        <w:spacing w:before="320" w:after="140"/>
      </w:pPr>
      <w:r>
        <w:t xml:space="preserve">Botlnick</w:t>
      </w:r>
    </w:p>
    <w:p>
      <w:r>
        <w:rPr>
          <w:rFonts w:ascii="Consolas" w:cs="Consolas" w:eastAsia="Consolas" w:hAnsi="Consolas"/>
          <w:color w:val="888888"/>
          <w:sz w:val="18"/>
          <w:szCs w:val="18"/>
        </w:rPr>
        <w:t xml:space="preserve">src/data/game.js  ·  slug: botlnick-gamejam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Botlnick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Game Jam — Godot, Blender, Photogrammetrie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Game Design, 3D, Level Design, 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Entstanden im Game Jam bei Prof. Christoph Müller und Julien Trübinger.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Eine Tiefgarage, eingescannt und begehbar gemacht.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Tiefgarage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Eine echte Tiefgarage, mit Photogrammetrie eingescannt und in Godot begehbar gemacht. Oben lässt sie sich betreten — WASD zum Gehen, Maus zum Umsehen.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Dokumentation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ganze Weg: Ideenfindung, Setting, Mechanik, Nachbearbeitung der Scans.</w:t>
            </w:r>
          </w:p>
        </w:tc>
      </w:tr>
    </w:tbl>
    <w:p>
      <w:pPr>
        <w:pStyle w:val="Heading2"/>
        <w:spacing w:before="320" w:after="140"/>
      </w:pPr>
      <w:r>
        <w:t xml:space="preserve">uMakeItGram</w:t>
      </w:r>
    </w:p>
    <w:p>
      <w:r>
        <w:rPr>
          <w:rFonts w:ascii="Consolas" w:cs="Consolas" w:eastAsia="Consolas" w:hAnsi="Consolas"/>
          <w:color w:val="888888"/>
          <w:sz w:val="18"/>
          <w:szCs w:val="18"/>
        </w:rPr>
        <w:t xml:space="preserve">src/data/game.js  ·  slug: umakeitgram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uMakeItGram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Videospiel — Endabgabe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2023</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Story, Game 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Fach "Mediale Gegenkulturen"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Ein Videospiel darüber, wie ein KI-Assistent einen frisch von der Schule kommenden Menschen beim Aufbau einer Social-Media-Karriere „unterstützt". An jeder Gabelung entscheidest du selbst — und der Balken am unteren Rand zählt mit.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Du bist das Ergebnis des Experiments.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ELIZA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Endabgabe im Fach „Mediale Gegenkulturen" sollte sich mit einer Gegenkultur auseinandersetzen. Statt über Social Media zu schreiben, wollte ich die Mechanik nachbauen: ein Assistent, der immer hilfreich klingt und dessen Vorschläge einen Schritt für Schritt woanders hinführen, als man wollte. Der Punkt ist nicht, dass jemand getäuscht wird — sondern dass man an jeder Stelle selbst zugestimmt hat.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166 Schritte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 hast gerade dein Abitur gemacht. ELIZA überarbeitet dein Profil, besorgt dir einen neuen PC und zeigt dir, wie du Follower gewinnst. Bald wächst die Community, das Geld kommt — und ELIZA entscheidet immer mehr für dich: welche Kooperationen, welche Kontakte, welche Freundschaften deiner Karriere nutzen. 166 Schritte, 40 Gabelungen, gebaut als Angular-Anwendung.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Balken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Am Ende hast du alles: Geld, Ruhm, eine große Community. Auf deiner eigenen Geburtstagsfeier merkst du, dass du keinen einzigen Menschen wirklich kennst. Als du ELIZA zur Rede stellst, erfährst du: Du warst von Anfang an Teil eines Experiments. Der Balken am unteren Rand war nie eine Erfolgsanzeige — er hat gemessen, wie weit Egoismus und Selbstbezogenheit in dir gewachsen sind. Oben lässt sich das Spiel von Anfang bis Ende spielen.</w:t>
            </w:r>
          </w:p>
        </w:tc>
      </w:tr>
    </w:tbl>
    <w:p>
      <w:pPr>
        <w:pStyle w:val="Heading1"/>
        <w:spacing w:before="320" w:after="140"/>
      </w:pPr>
      <w:r>
        <w:t xml:space="preserve">Kommunikations­design</w:t>
      </w:r>
    </w:p>
    <w:p>
      <w:r>
        <w:rPr>
          <w:rFonts w:ascii="Consolas" w:cs="Consolas" w:eastAsia="Consolas" w:hAnsi="Consolas"/>
          <w:color w:val="888888"/>
          <w:sz w:val="18"/>
          <w:szCs w:val="18"/>
        </w:rPr>
        <w:t xml:space="preserve">src/data/kommunikationsdesign.js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category.title</w:t>
            </w:r>
          </w:p>
        </w:tc>
        <w:tc>
          <w:tcPr>
            <w:tcW w:type="dxa" w:w="7138"/>
            <w:tcMar>
              <w:top w:type="dxa" w:w="80"/>
              <w:left w:type="dxa" w:w="120"/>
              <w:bottom w:type="dxa" w:w="80"/>
              <w:right w:type="dxa" w:w="120"/>
            </w:tcMar>
          </w:tcPr>
          <w:p>
            <w:r>
              <w:rPr>
                <w:sz w:val="21"/>
                <w:szCs w:val="21"/>
              </w:rPr>
              <w:t xml:space="preserve">Kommunikations­design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category.lead</w:t>
            </w:r>
          </w:p>
        </w:tc>
        <w:tc>
          <w:tcPr>
            <w:tcW w:type="dxa" w:w="7138"/>
            <w:tcMar>
              <w:top w:type="dxa" w:w="80"/>
              <w:left w:type="dxa" w:w="120"/>
              <w:bottom w:type="dxa" w:w="80"/>
              <w:right w:type="dxa" w:w="120"/>
            </w:tcMar>
          </w:tcPr>
          <w:p>
            <w:r>
              <w:rPr>
                <w:sz w:val="21"/>
                <w:szCs w:val="21"/>
              </w:rPr>
              <w:t xml:space="preserve">Corporate Design, Kampagnen und Editorial fuer Gastronomie, Handwerk, Praxen und Bildungseinrichtungen.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category.vorgehen[0].title</w:t>
            </w:r>
          </w:p>
        </w:tc>
        <w:tc>
          <w:tcPr>
            <w:tcW w:type="dxa" w:w="7138"/>
            <w:tcMar>
              <w:top w:type="dxa" w:w="80"/>
              <w:left w:type="dxa" w:w="120"/>
              <w:bottom w:type="dxa" w:w="80"/>
              <w:right w:type="dxa" w:w="120"/>
            </w:tcMar>
          </w:tcPr>
          <w:p>
            <w:r>
              <w:rPr>
                <w:sz w:val="21"/>
                <w:szCs w:val="21"/>
              </w:rPr>
              <w:t xml:space="preserve">Zuhören und analysieren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category.vorgehen[0].text</w:t>
            </w:r>
          </w:p>
        </w:tc>
        <w:tc>
          <w:tcPr>
            <w:tcW w:type="dxa" w:w="7138"/>
            <w:tcMar>
              <w:top w:type="dxa" w:w="80"/>
              <w:left w:type="dxa" w:w="120"/>
              <w:bottom w:type="dxa" w:w="80"/>
              <w:right w:type="dxa" w:w="120"/>
            </w:tcMar>
          </w:tcPr>
          <w:p>
            <w:r>
              <w:rPr>
                <w:sz w:val="21"/>
                <w:szCs w:val="21"/>
              </w:rPr>
              <w:t xml:space="preserve">Was macht den Auftraggeber aus, wer soll erreicht werden, was gibt es schon? Daraus entsteht das Briefing.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category.vorgehen[1].title</w:t>
            </w:r>
          </w:p>
        </w:tc>
        <w:tc>
          <w:tcPr>
            <w:tcW w:type="dxa" w:w="7138"/>
            <w:tcMar>
              <w:top w:type="dxa" w:w="80"/>
              <w:left w:type="dxa" w:w="120"/>
              <w:bottom w:type="dxa" w:w="80"/>
              <w:right w:type="dxa" w:w="120"/>
            </w:tcMar>
          </w:tcPr>
          <w:p>
            <w:r>
              <w:rPr>
                <w:sz w:val="21"/>
                <w:szCs w:val="21"/>
              </w:rPr>
              <w:t xml:space="preserve">Konzept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category.vorgehen[1].text</w:t>
            </w:r>
          </w:p>
        </w:tc>
        <w:tc>
          <w:tcPr>
            <w:tcW w:type="dxa" w:w="7138"/>
            <w:tcMar>
              <w:top w:type="dxa" w:w="80"/>
              <w:left w:type="dxa" w:w="120"/>
              <w:bottom w:type="dxa" w:w="80"/>
              <w:right w:type="dxa" w:w="120"/>
            </w:tcMar>
          </w:tcPr>
          <w:p>
            <w:r>
              <w:rPr>
                <w:sz w:val="21"/>
                <w:szCs w:val="21"/>
              </w:rPr>
              <w:t xml:space="preserve">Eine klare Idee, die sich in einem Satz erklären lässt — sie trägt alle späteren Entscheidungen.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category.vorgehen[2].title</w:t>
            </w:r>
          </w:p>
        </w:tc>
        <w:tc>
          <w:tcPr>
            <w:tcW w:type="dxa" w:w="7138"/>
            <w:tcMar>
              <w:top w:type="dxa" w:w="80"/>
              <w:left w:type="dxa" w:w="120"/>
              <w:bottom w:type="dxa" w:w="80"/>
              <w:right w:type="dxa" w:w="120"/>
            </w:tcMar>
          </w:tcPr>
          <w:p>
            <w:r>
              <w:rPr>
                <w:sz w:val="21"/>
                <w:szCs w:val="21"/>
              </w:rPr>
              <w:t xml:space="preserve">Gestaltung und System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category.vorgehen[2].text</w:t>
            </w:r>
          </w:p>
        </w:tc>
        <w:tc>
          <w:tcPr>
            <w:tcW w:type="dxa" w:w="7138"/>
            <w:tcMar>
              <w:top w:type="dxa" w:w="80"/>
              <w:left w:type="dxa" w:w="120"/>
              <w:bottom w:type="dxa" w:w="80"/>
              <w:right w:type="dxa" w:w="120"/>
            </w:tcMar>
          </w:tcPr>
          <w:p>
            <w:r>
              <w:rPr>
                <w:sz w:val="21"/>
                <w:szCs w:val="21"/>
              </w:rPr>
              <w:t xml:space="preserve">Logo, Farben, Schrift und Raster werden zu einem System, das auf Papier und Bildschirm funktioniert.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category.vorgehen[3].title</w:t>
            </w:r>
          </w:p>
        </w:tc>
        <w:tc>
          <w:tcPr>
            <w:tcW w:type="dxa" w:w="7138"/>
            <w:tcMar>
              <w:top w:type="dxa" w:w="80"/>
              <w:left w:type="dxa" w:w="120"/>
              <w:bottom w:type="dxa" w:w="80"/>
              <w:right w:type="dxa" w:w="120"/>
            </w:tcMar>
          </w:tcPr>
          <w:p>
            <w:r>
              <w:rPr>
                <w:sz w:val="21"/>
                <w:szCs w:val="21"/>
              </w:rPr>
              <w:t xml:space="preserve">Reinzeichnung und Übergabe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category.vorgehen[3].text</w:t>
            </w:r>
          </w:p>
        </w:tc>
        <w:tc>
          <w:tcPr>
            <w:tcW w:type="dxa" w:w="7138"/>
            <w:tcMar>
              <w:top w:type="dxa" w:w="80"/>
              <w:left w:type="dxa" w:w="120"/>
              <w:bottom w:type="dxa" w:w="80"/>
              <w:right w:type="dxa" w:w="120"/>
            </w:tcMar>
          </w:tcPr>
          <w:p>
            <w:r>
              <w:rPr>
                <w:sz w:val="21"/>
                <w:szCs w:val="21"/>
              </w:rPr>
              <w:t xml:space="preserve">Druckfertige Daten, Styleguide und Vorlagen, damit das Design auch ohne mich weiterlebt.</w:t>
            </w:r>
          </w:p>
        </w:tc>
      </w:tr>
    </w:tbl>
    <w:p>
      <w:pPr>
        <w:pStyle w:val="Heading2"/>
        <w:spacing w:before="320" w:after="140"/>
      </w:pPr>
      <w:r>
        <w:t xml:space="preserve">Handwerkerexperten</w:t>
      </w:r>
    </w:p>
    <w:p>
      <w:r>
        <w:rPr>
          <w:rFonts w:ascii="Consolas" w:cs="Consolas" w:eastAsia="Consolas" w:hAnsi="Consolas"/>
          <w:color w:val="888888"/>
          <w:sz w:val="18"/>
          <w:szCs w:val="18"/>
        </w:rPr>
        <w:t xml:space="preserve">src/data/kommunikationsdesign.js  ·  slug: handwerkerexperten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Handwerkerexperten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Marken, eine Geschaeftsausstattung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Redesign, Gestaltung, Reinzeichnung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Killes und Benz Immobilien OHG, Fellbach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Killes und Benz Immobilien betreibt zwei Geschäftsbereiche: die Verwalterexperten für Immobilien- und Büromanagement, die Handwerkerexperten für Projekt- und Schadensmanagement. Beide brauchten eine gemeinsame Formsprache, ohne sich gegenseitig zu verdecken.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Zwei Bereiche, ein Dach — das Logo nimmt die Hausform wörtlich.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Die Krone muss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Ausgangspunkt war das alte Logo von Killes und Benz — eine Wortmarke mit Krone, die weder zum Immobilien- noch zum Handwerksbereich passte. Die Aufgabe lag dazwischen: Zwei Bereiche brauchen ein gemeinsames Zeichen, damit man sie einem Haus zuordnet — und genug Eigenes, damit niemand den Handwerker anruft, wenn er die Verwaltung meint.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Ein Dach, zwei Farben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Aus dem Dach wurde das gemeinsame Zeichen: ein Winkel, der sich für beide Bereiche wiederholt und sie farblich trennt — Grün für die Verwalterexperten, Gelb für die Handwerkerexperten. Dieselbe Form, zwei Temperaturen.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Was man übergibt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Jede Visitenkarte trägt vorne den Namen, hinten das Logo des jeweiligen Bereichs — beim Übergeben ist sofort klar, aus welchem Haus jemand kommt. Dazu zwei Flyer für die Akquise und zum Schluss die stillste Anwendung: ein Briefbogen, der die Dachform nur noch andeutet.</w:t>
            </w:r>
          </w:p>
        </w:tc>
      </w:tr>
    </w:tbl>
    <w:p>
      <w:pPr>
        <w:pStyle w:val="Heading2"/>
        <w:spacing w:before="320" w:after="140"/>
      </w:pPr>
      <w:r>
        <w:t xml:space="preserve">Chiro Med</w:t>
      </w:r>
    </w:p>
    <w:p>
      <w:r>
        <w:rPr>
          <w:rFonts w:ascii="Consolas" w:cs="Consolas" w:eastAsia="Consolas" w:hAnsi="Consolas"/>
          <w:color w:val="888888"/>
          <w:sz w:val="18"/>
          <w:szCs w:val="18"/>
        </w:rPr>
        <w:t xml:space="preserve">src/data/kommunikationsdesign.js  ·  slug: chiro-med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Chiro Med</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Corporate Design fuer eine chiropraktische Praxis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Chiro Med, Novoselle / Prishtina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sollte medizinisch genug wirken, um Vertrauen zu schaffen, und koerperlich genug, um zu zeigen, worum es geht.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Ein Zeichen, das trägt, was es zeigt.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Zwei Entwürfe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Chiro Med in Prishtina behandelt chiropraktisch, physiotherapeutisch und mit Dry Needling. Das Erscheinungsbild musste medizinisch genug wirken, um Vertrauen zu schaffen, und körperlich genug, um zu zeigen, worum es geht. Zu Beginn standen zwei Ansätze nebeneinander.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Die Wirbelsäule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Durchgesetzt hat sich die Wirbelsäule. Sie steht zwischen „chiro" und „med" und trägt die beiden Wörter buchstäblich — Trennzeichen und Bild zugleich. Damit macht das Logo das, was die Praxis macht, statt es zu behaupten.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Styleguide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Farbwelt, Schutzraum, Anwendungsbeispiele — damit die Praxis das Erscheinungsbild selbst weiterführen kann.</w:t>
            </w:r>
          </w:p>
        </w:tc>
      </w:tr>
    </w:tbl>
    <w:p>
      <w:pPr>
        <w:pStyle w:val="Heading2"/>
        <w:spacing w:before="320" w:after="140"/>
      </w:pPr>
      <w:r>
        <w:t xml:space="preserve">SoDaM</w:t>
      </w:r>
    </w:p>
    <w:p>
      <w:r>
        <w:rPr>
          <w:rFonts w:ascii="Consolas" w:cs="Consolas" w:eastAsia="Consolas" w:hAnsi="Consolas"/>
          <w:color w:val="888888"/>
          <w:sz w:val="18"/>
          <w:szCs w:val="18"/>
        </w:rPr>
        <w:t xml:space="preserve">src/data/kommunikationsdesign.js  ·  slug: sodam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SoDaM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Zwei Kampagnen fuer die School of Design and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Strategie,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Hochschule Furtwangen University</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School of Design and Media der Hochschule Furtwangen brauchte eine Kampagne, die Studieninteressierte erreicht, ohne wie Hochschulwerbung auszusehen. Daraus entstanden zwei eigenstaendige Kampagnen: eine Social-Media-Strategie rund um die Serie "Victorious" und eine Live-Action-Plakatkampagne, die Schueler direkt anspricht.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SoDaM FAKE — eine Kampagne, die zugibt, dass sie eine ist.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Nicht nach Hochschule aussehen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School of Design and Media brauchte eine Kampagne, die Studieninteressierte erreicht, ohne wie Hochschulwerbung auszusehen. Sobald eine Institution über sich selbst spricht, hört die Zielgruppe weg.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Victorious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Szenen der Serie „Victorious" werden nachgestellt, weil die Hochschule inhaltlich parallel zur Serie liegt. Die Videos habe ich konzipiert, gedreht und geschnitten, dazu Bilder für Social Media gemacht und auf Messen gesprochen.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Der Stempel</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Die zweite Kampagne setzt auf Live-Action: Die Plakate „attackieren" Schüler förmlich. Der Witz liegt im Widerspruch — ein Motiv, das angreift, und dahinter die Einladung einer Hochschule. Dazu ein Stempel, mit dem man Gegenstände oder Mitschüler kurzerhand „sodamisiert".</w:t>
            </w:r>
          </w:p>
        </w:tc>
      </w:tr>
    </w:tbl>
    <w:p>
      <w:pPr>
        <w:pStyle w:val="Heading2"/>
        <w:spacing w:before="320" w:after="140"/>
      </w:pPr>
      <w:r>
        <w:t xml:space="preserve">Fischerhütte</w:t>
      </w:r>
    </w:p>
    <w:p>
      <w:r>
        <w:rPr>
          <w:rFonts w:ascii="Consolas" w:cs="Consolas" w:eastAsia="Consolas" w:hAnsi="Consolas"/>
          <w:color w:val="888888"/>
          <w:sz w:val="18"/>
          <w:szCs w:val="18"/>
        </w:rPr>
        <w:t xml:space="preserve">src/data/kommunikationsdesign.js  ·  slug: fischerhuette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Fischerhütte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Gastronomie-Kommunikation in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Fotografie, Gestaltung, Social Media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Fischerhuette Plochingen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Die Fischerhuette ist Ausflugslokal und Eventlocation zugleich. Gaeste sitzen im Gruenen, abends wird daraus eine Buehne — beide Zustaende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Mittags im Grünen, abends eine Bühne — dieselbe Bildsprache.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Mittags und abends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Fischerhütte ist Ausflugslokal und Eventlocation zugleich. Gäste sitzen mittags im Grünen, abends wird daraus eine Bühne. Beide Zustände mussten in derselben Bildsprache Platz haben.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Auf den Tischen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Mittagstisch, Hinweise, QR-Code zur Karte. Handschriftliche Logotype und viel Weißraum halten es freundlich statt betrieblich — das ist die leise Hälfte.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Eine Lautstärke höher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Social Media und die Hocketse am 1. Mai wird die Bildsprache lauter: Farbverläufe, große Versalien, „Tradition trifft Moderne". Dieselbe Marke, nur eine Lautstärke höher.</w:t>
            </w:r>
          </w:p>
        </w:tc>
      </w:tr>
    </w:tbl>
    <w:p>
      <w:pPr>
        <w:pStyle w:val="Heading2"/>
        <w:spacing w:before="320" w:after="140"/>
      </w:pPr>
      <w:r>
        <w:t xml:space="preserve">Step V</w:t>
      </w:r>
    </w:p>
    <w:p>
      <w:r>
        <w:rPr>
          <w:rFonts w:ascii="Consolas" w:cs="Consolas" w:eastAsia="Consolas" w:hAnsi="Consolas"/>
          <w:color w:val="888888"/>
          <w:sz w:val="18"/>
          <w:szCs w:val="18"/>
        </w:rPr>
        <w:t xml:space="preserve">src/data/kommunikationsdesign.js  ·  slug: step-v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Step V</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Markenpraesentation fuer ein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Analyse, Kommunikation nach aussen, Trendrecherche, Kundenakquise, Videoproduktion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client</w:t>
            </w:r>
          </w:p>
        </w:tc>
        <w:tc>
          <w:tcPr>
            <w:tcW w:type="dxa" w:w="7138"/>
            <w:tcMar>
              <w:top w:type="dxa" w:w="80"/>
              <w:left w:type="dxa" w:w="120"/>
              <w:bottom w:type="dxa" w:w="80"/>
              <w:right w:type="dxa" w:w="120"/>
            </w:tcMar>
          </w:tcPr>
          <w:p>
            <w:r>
              <w:rPr>
                <w:sz w:val="21"/>
                <w:szCs w:val="21"/>
              </w:rPr>
              <w:t xml:space="preserve">Step V Studio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Step V ist ein Studio, das sich neu positioniert. Neben Konzept und Gestaltung der Praesentation habe ich die Analyse und die Kommunikation nach aussen uebernommen, dazu Trendrecherche und Kundenakquise betrieben. Nebenbei habe ich, um das Unternehmen finanziell mit zu tragen, Videos geplant, geschnitten und mit Effekten bearbeitet.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Erst wofür das Studio steht, dann die Zahlen, dann die Aufforderung.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Eine Entscheidung treffen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Step V ist ein Studio, das sich neu positioniert. Eine Positionierung ist aber erst dann eine, wenn jemand von außen sie nachsprechen kann. Die Präsentation musste also nicht aufzählen, was das Studio alles kann, sondern sich entscheiden.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Zeit für Veränderung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Der Aufbau folgt einer einfachen Dramaturgie: erst wofür das Studio steht, dann die Zahlen, dann die Aufforderung. Neben Konzept und Gestaltung habe ich Analyse, Außenkommunikation, Trendrecherche und Kundenakquise übernommen — dazu Videos geplant, geschnitten und bearbeitet.</w:t>
            </w:r>
          </w:p>
        </w:tc>
      </w:tr>
    </w:tbl>
    <w:p>
      <w:pPr>
        <w:pStyle w:val="Heading2"/>
        <w:spacing w:before="320" w:after="140"/>
      </w:pPr>
      <w:r>
        <w:t xml:space="preserve">Kama Muta</w:t>
      </w:r>
    </w:p>
    <w:p>
      <w:r>
        <w:rPr>
          <w:rFonts w:ascii="Consolas" w:cs="Consolas" w:eastAsia="Consolas" w:hAnsi="Consolas"/>
          <w:color w:val="888888"/>
          <w:sz w:val="18"/>
          <w:szCs w:val="18"/>
        </w:rPr>
        <w:t xml:space="preserve">src/data/kommunikationsdesign.js  ·  slug: kamamuta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Kama Muta</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Ein Magazin ueber das Ergriffensein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2026</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Konzept, Gestaltung, Fotografie, Illustration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Kama Muta ist das plötzliche Gefühl, das entsteht, wenn Nähe unerwartet spürbar wird — Gänsehaut bei einer Umarmung, Tränen bei einem fremden Lied. Das Magazin versucht nicht, das Gefühl zu erklären, sondern es herzustellen. Inzwischen ist daraus eine Installation geworden, die genau das im Raum einlöst.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In Lak’ech — ich bin ein anderes Du.</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Mache ein Foto</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Ein Magazin über ein Gefühl, das sich beim Lesen einstellen soll — das geht nicht mit Artikeln. Am Anfang standen deshalb Handlungsanweisungen: „Mache ein Foto mit der dir gegenüber sitzenden Person. Tausche Adresse und Namen aus." Das Heft sollte etwas verlangen, nicht nur etwas zeigen.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Jedes Kapitel anders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Eines entstand beim Gehen: Bleistiftskizzen von Dingen am Weg, die zufällig etwas auslösen — eine Lampe, ein Stuhl, eine Treppe. Für „Black Swan" habe ich die Reihenfolge der Doppelseiten mit Klebezetteln so lange verschoben, bis der Rhythmus stimmte. Ein weiteres als Collage: gedruckte Doppelseiten, abfotografiert und wieder überklebt.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Zwei Stühle, ein Buch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Für den Pavillon am Schlossplatz in Stuttgart ist aus dem Heft ein Aufbau geworden: zwei Fremde sitzen sich gegenüber, zwischen ihnen nichts als ein Buch. Das Gespräch führt der Fragebogen, nicht der Mut der beiden. Grundlage ist der bekannte Katalog, mit dem sich zwei Menschen in 36 Fragen näherkommen — auseinandergenommen und auf drei Stufen verteilt. Erst das Leichte, dann das, was man sonst nicht erzählt. Die Regeln stehen auf dem Buch selbst.</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chapters[3].title</w:t>
            </w:r>
          </w:p>
        </w:tc>
        <w:tc>
          <w:tcPr>
            <w:tcW w:type="dxa" w:w="7138"/>
            <w:tcMar>
              <w:top w:type="dxa" w:w="80"/>
              <w:left w:type="dxa" w:w="120"/>
              <w:bottom w:type="dxa" w:w="80"/>
              <w:right w:type="dxa" w:w="120"/>
            </w:tcMar>
          </w:tcPr>
          <w:p>
            <w:r>
              <w:rPr>
                <w:sz w:val="21"/>
                <w:szCs w:val="21"/>
              </w:rPr>
              <w:t xml:space="preserve">Danach</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chapters[3].text</w:t>
            </w:r>
          </w:p>
        </w:tc>
        <w:tc>
          <w:tcPr>
            <w:tcW w:type="dxa" w:w="7138"/>
            <w:tcMar>
              <w:top w:type="dxa" w:w="80"/>
              <w:left w:type="dxa" w:w="120"/>
              <w:bottom w:type="dxa" w:w="80"/>
              <w:right w:type="dxa" w:w="120"/>
            </w:tcMar>
          </w:tcPr>
          <w:p>
            <w:r>
              <w:rPr>
                <w:sz w:val="21"/>
                <w:szCs w:val="21"/>
              </w:rPr>
              <w:t xml:space="preserve">Das erste Design steht; für den nächsten Einsatz wird es überarbeitet.</w:t>
            </w:r>
          </w:p>
        </w:tc>
      </w:tr>
    </w:tbl>
    <w:p>
      <w:pPr>
        <w:pStyle w:val="Heading2"/>
        <w:spacing w:before="320" w:after="140"/>
      </w:pPr>
      <w:r>
        <w:t xml:space="preserve">Citydep</w:t>
      </w:r>
    </w:p>
    <w:p>
      <w:r>
        <w:rPr>
          <w:rFonts w:ascii="Consolas" w:cs="Consolas" w:eastAsia="Consolas" w:hAnsi="Consolas"/>
          <w:color w:val="888888"/>
          <w:sz w:val="18"/>
          <w:szCs w:val="18"/>
        </w:rPr>
        <w:t xml:space="preserve">src/data/kommunikationsdesign.js  ·  slug: citydep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title</w:t>
            </w:r>
          </w:p>
        </w:tc>
        <w:tc>
          <w:tcPr>
            <w:tcW w:type="dxa" w:w="7138"/>
            <w:tcMar>
              <w:top w:type="dxa" w:w="80"/>
              <w:left w:type="dxa" w:w="120"/>
              <w:bottom w:type="dxa" w:w="80"/>
              <w:right w:type="dxa" w:w="120"/>
            </w:tcMar>
          </w:tcPr>
          <w:p>
            <w:r>
              <w:rPr>
                <w:sz w:val="21"/>
                <w:szCs w:val="21"/>
              </w:rPr>
              <w:t xml:space="preserve">Citydep</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subtitle</w:t>
            </w:r>
          </w:p>
        </w:tc>
        <w:tc>
          <w:tcPr>
            <w:tcW w:type="dxa" w:w="7138"/>
            <w:tcMar>
              <w:top w:type="dxa" w:w="80"/>
              <w:left w:type="dxa" w:w="120"/>
              <w:bottom w:type="dxa" w:w="80"/>
              <w:right w:type="dxa" w:w="120"/>
            </w:tcMar>
          </w:tcPr>
          <w:p>
            <w:r>
              <w:rPr>
                <w:sz w:val="21"/>
                <w:szCs w:val="21"/>
              </w:rPr>
              <w:t xml:space="preserve">Storyboards und Trailer im VHS-Look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year</w:t>
            </w:r>
          </w:p>
        </w:tc>
        <w:tc>
          <w:tcPr>
            <w:tcW w:type="dxa" w:w="7138"/>
            <w:tcMar>
              <w:top w:type="dxa" w:w="80"/>
              <w:left w:type="dxa" w:w="120"/>
              <w:bottom w:type="dxa" w:w="80"/>
              <w:right w:type="dxa" w:w="120"/>
            </w:tcMar>
          </w:tcPr>
          <w:p>
            <w:r>
              <w:rPr>
                <w:sz w:val="21"/>
                <w:szCs w:val="21"/>
              </w:rPr>
              <w:t xml:space="preserve">2025</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role</w:t>
            </w:r>
          </w:p>
        </w:tc>
        <w:tc>
          <w:tcPr>
            <w:tcW w:type="dxa" w:w="7138"/>
            <w:tcMar>
              <w:top w:type="dxa" w:w="80"/>
              <w:left w:type="dxa" w:w="120"/>
              <w:bottom w:type="dxa" w:w="80"/>
              <w:right w:type="dxa" w:w="120"/>
            </w:tcMar>
          </w:tcPr>
          <w:p>
            <w:r>
              <w:rPr>
                <w:sz w:val="21"/>
                <w:szCs w:val="21"/>
              </w:rPr>
              <w:t xml:space="preserve">Storyboard, Schnitt, Gestaltung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description</w:t>
            </w:r>
          </w:p>
        </w:tc>
        <w:tc>
          <w:tcPr>
            <w:tcW w:type="dxa" w:w="7138"/>
            <w:tcMar>
              <w:top w:type="dxa" w:w="80"/>
              <w:left w:type="dxa" w:w="120"/>
              <w:bottom w:type="dxa" w:w="80"/>
              <w:right w:type="dxa" w:w="120"/>
            </w:tcMar>
          </w:tcPr>
          <w:p>
            <w:r>
              <w:rPr>
                <w:sz w:val="21"/>
                <w:szCs w:val="21"/>
              </w:rPr>
              <w:t xml:space="preserve">Fuer Citydep entstanden Trailer, die aussehen sollen, als waeren sie von einer Kassette gerettet worden. Die Storyboards sind entsprechend als Archivbloecke aufgebaut — mit Kassettennummer, Ort und Equipment pro Einstellung.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pull</w:t>
            </w:r>
          </w:p>
        </w:tc>
        <w:tc>
          <w:tcPr>
            <w:tcW w:type="dxa" w:w="7138"/>
            <w:tcMar>
              <w:top w:type="dxa" w:w="80"/>
              <w:left w:type="dxa" w:w="120"/>
              <w:bottom w:type="dxa" w:w="80"/>
              <w:right w:type="dxa" w:w="120"/>
            </w:tcMar>
          </w:tcPr>
          <w:p>
            <w:r>
              <w:rPr>
                <w:sz w:val="21"/>
                <w:szCs w:val="21"/>
              </w:rPr>
              <w:t xml:space="preserve">and then we unite — we become the stars</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chapters[0].title</w:t>
            </w:r>
          </w:p>
        </w:tc>
        <w:tc>
          <w:tcPr>
            <w:tcW w:type="dxa" w:w="7138"/>
            <w:tcMar>
              <w:top w:type="dxa" w:w="80"/>
              <w:left w:type="dxa" w:w="120"/>
              <w:bottom w:type="dxa" w:w="80"/>
              <w:right w:type="dxa" w:w="120"/>
            </w:tcMar>
          </w:tcPr>
          <w:p>
            <w:r>
              <w:rPr>
                <w:sz w:val="21"/>
                <w:szCs w:val="21"/>
              </w:rPr>
              <w:t xml:space="preserve">Wie von einer Kassette</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chapters[0].text</w:t>
            </w:r>
          </w:p>
        </w:tc>
        <w:tc>
          <w:tcPr>
            <w:tcW w:type="dxa" w:w="7138"/>
            <w:tcMar>
              <w:top w:type="dxa" w:w="80"/>
              <w:left w:type="dxa" w:w="120"/>
              <w:bottom w:type="dxa" w:w="80"/>
              <w:right w:type="dxa" w:w="120"/>
            </w:tcMar>
          </w:tcPr>
          <w:p>
            <w:r>
              <w:rPr>
                <w:sz w:val="21"/>
                <w:szCs w:val="21"/>
              </w:rPr>
              <w:t xml:space="preserve">Die Trailer sollten aussehen, als wären sie von einer Kassette gerettet worden. Ein Look, den man nicht am Schluss drauflegen kann — wenn die Bildstörung nur ein Filter ist, merkt man es. Also musste das Archiv schon in der Planung stecken.</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chapters[1].title</w:t>
            </w:r>
          </w:p>
        </w:tc>
        <w:tc>
          <w:tcPr>
            <w:tcW w:type="dxa" w:w="7138"/>
            <w:tcMar>
              <w:top w:type="dxa" w:w="80"/>
              <w:left w:type="dxa" w:w="120"/>
              <w:bottom w:type="dxa" w:w="80"/>
              <w:right w:type="dxa" w:w="120"/>
            </w:tcMar>
          </w:tcPr>
          <w:p>
            <w:r>
              <w:rPr>
                <w:sz w:val="21"/>
                <w:szCs w:val="21"/>
              </w:rPr>
              <w:t xml:space="preserve">Kassette #4</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chapters[1].text</w:t>
            </w:r>
          </w:p>
        </w:tc>
        <w:tc>
          <w:tcPr>
            <w:tcW w:type="dxa" w:w="7138"/>
            <w:tcMar>
              <w:top w:type="dxa" w:w="80"/>
              <w:left w:type="dxa" w:w="120"/>
              <w:bottom w:type="dxa" w:w="80"/>
              <w:right w:type="dxa" w:w="120"/>
            </w:tcMar>
          </w:tcPr>
          <w:p>
            <w:r>
              <w:rPr>
                <w:sz w:val="21"/>
                <w:szCs w:val="21"/>
              </w:rPr>
              <w:t xml:space="preserve">Jede Storyboard-Seite ist wie ein Fundstück aufgebaut: „Kassette #4", „Lost Fire #7", dazu Frame, Beschreibung, Ton und Equipment. Das Raster gehört damit zur Erzählung, nicht nur zur Planung.</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chapters[2].title</w:t>
            </w:r>
          </w:p>
        </w:tc>
        <w:tc>
          <w:tcPr>
            <w:tcW w:type="dxa" w:w="7138"/>
            <w:tcMar>
              <w:top w:type="dxa" w:w="80"/>
              <w:left w:type="dxa" w:w="120"/>
              <w:bottom w:type="dxa" w:w="80"/>
              <w:right w:type="dxa" w:w="120"/>
            </w:tcMar>
          </w:tcPr>
          <w:p>
            <w:r>
              <w:rPr>
                <w:sz w:val="21"/>
                <w:szCs w:val="21"/>
              </w:rPr>
              <w:t xml:space="preserve">Die Trailer</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chapters[2].text</w:t>
            </w:r>
          </w:p>
        </w:tc>
        <w:tc>
          <w:tcPr>
            <w:tcW w:type="dxa" w:w="7138"/>
            <w:tcMar>
              <w:top w:type="dxa" w:w="80"/>
              <w:left w:type="dxa" w:w="120"/>
              <w:bottom w:type="dxa" w:w="80"/>
              <w:right w:type="dxa" w:w="120"/>
            </w:tcMar>
          </w:tcPr>
          <w:p>
            <w:r>
              <w:rPr>
                <w:sz w:val="21"/>
                <w:szCs w:val="21"/>
              </w:rPr>
              <w:t xml:space="preserve">Bildstörung, Zeitcode und Bandrauschen sind bewusst stehen geblieben.</w:t>
            </w:r>
          </w:p>
        </w:tc>
      </w:tr>
    </w:tbl>
    <w:p>
      <w:pPr>
        <w:pStyle w:val="Heading1"/>
        <w:spacing w:before="320" w:after="140"/>
      </w:pPr>
      <w:r>
        <w:t xml:space="preserve">Hinweise unter den Prototypen</w:t>
      </w:r>
    </w:p>
    <w:p>
      <w:r>
        <w:rPr>
          <w:rFonts w:ascii="Consolas" w:cs="Consolas" w:eastAsia="Consolas" w:hAnsi="Consolas"/>
          <w:color w:val="888888"/>
          <w:sz w:val="18"/>
          <w:szCs w:val="18"/>
        </w:rPr>
        <w:t xml:space="preserve">src/data/i18n/ui.js  ·  Abschnitt 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ui.de['prototyp.inlakech']</w:t>
            </w:r>
          </w:p>
        </w:tc>
        <w:tc>
          <w:tcPr>
            <w:tcW w:type="dxa" w:w="7138"/>
            <w:tcMar>
              <w:top w:type="dxa" w:w="80"/>
              <w:left w:type="dxa" w:w="120"/>
              <w:bottom w:type="dxa" w:w="80"/>
              <w:right w:type="dxa" w:w="120"/>
            </w:tcMar>
          </w:tcPr>
          <w:p>
            <w:r>
              <w:rPr>
                <w:sz w:val="21"/>
                <w:szCs w:val="21"/>
              </w:rPr>
              <w:t xml:space="preserve">Ein Automat für zwei Fremde: Erst wenn beide gleichzeitig drücken, geht es weiter — am besten zu zweit an einer Tastatur oder einem Handy. In der Installation lösen am Ende Kamera und Kassenbon-Drucker aus; im Browser bleibt es beim Blitz und einem Bon auf dem Bildschirm.</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ui.de['prototyp.zodizine']</w:t>
            </w:r>
          </w:p>
        </w:tc>
        <w:tc>
          <w:tcPr>
            <w:tcW w:type="dxa" w:w="7138"/>
            <w:tcMar>
              <w:top w:type="dxa" w:w="80"/>
              <w:left w:type="dxa" w:w="120"/>
              <w:bottom w:type="dxa" w:w="80"/>
              <w:right w:type="dxa" w:w="120"/>
            </w:tcMar>
          </w:tcPr>
          <w:p>
            <w:r>
              <w:rPr>
                <w:sz w:val="21"/>
                <w:szCs w:val="21"/>
              </w:rPr>
              <w:t xml:space="preserve">Aus einem Geburtsdatum werden drei Zeichen: eines aus dem chinesischen Mondkalender, eines aus der indischen Rashi, eines aus dem keltischen Baumkalender. Daraus entsteht das Heft — acht Seiten auf einem Blatt A4, aus dem es gefaltet wird. Dazu passt die {anleitung}. Die Zeichnungen auf den Seiten sind von Cara Brüggendieck.</w:t>
            </w:r>
          </w:p>
        </w:tc>
      </w:tr>
      <w:tr>
        <w:tc>
          <w:tcPr>
            <w:tcW w:type="dxa" w:w="2500"/>
            <w:shd w:fill="F2F2F2" w:val="clear"/>
            <w:tcMar>
              <w:top w:type="dxa" w:w="80"/>
              <w:left w:type="dxa" w:w="120"/>
              <w:bottom w:type="dxa" w:w="80"/>
              <w:right w:type="dxa" w:w="120"/>
            </w:tcMar>
          </w:tcPr>
          <w:p>
            <w:r>
              <w:rPr>
                <w:rFonts w:ascii="Consolas" w:cs="Consolas" w:eastAsia="Consolas" w:hAnsi="Consolas"/>
                <w:color w:val="666666"/>
                <w:sz w:val="16"/>
                <w:szCs w:val="16"/>
              </w:rPr>
              <w:t xml:space="preserve">ui.de['prototyp.magazin']</w:t>
            </w:r>
          </w:p>
        </w:tc>
        <w:tc>
          <w:tcPr>
            <w:tcW w:type="dxa" w:w="7138"/>
            <w:tcMar>
              <w:top w:type="dxa" w:w="80"/>
              <w:left w:type="dxa" w:w="120"/>
              <w:bottom w:type="dxa" w:w="80"/>
              <w:right w:type="dxa" w:w="120"/>
            </w:tcMar>
          </w:tcPr>
          <w:p>
            <w:r>
              <w:rPr>
                <w:sz w:val="21"/>
                <w:szCs w:val="21"/>
              </w:rPr>
              <w:t xml:space="preserve">Das Heft so, wie es gedruckt ist: zwei Querformat-Seiten nebeneinander, in der Mitte der Bund, Vorder- und Rückseite für sich allein. {pdf}.</w:t>
            </w:r>
          </w:p>
        </w:tc>
      </w:tr>
    </w:tbl>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2026-10-28T19:20:15.498Z</dcterms:created>
  <dcterms:modified xsi:type="dcterms:W3CDTF">2026-10-28T19:20:15.499Z</dcterms:modified>
</cp:coreProperties>
</file>

<file path=docProps/custom.xml><?xml version="1.0" encoding="utf-8"?>
<Properties xmlns="http://schemas.openxmlformats.org/officeDocument/2006/custom-properties" xmlns:vt="http://schemas.openxmlformats.org/officeDocument/2006/docPropsVTypes"/>
</file>