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7E3E1" w14:textId="23F73E96" w:rsidR="00D7711E" w:rsidRDefault="007E564B" w:rsidP="00D7711E">
      <w:pPr>
        <w:shd w:val="clear" w:color="auto" w:fill="FFFFFF"/>
        <w:spacing w:after="0" w:afterAutospacing="1" w:line="240" w:lineRule="auto"/>
        <w:jc w:val="center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COVID-19 and the US Economy Dataset</w:t>
      </w:r>
    </w:p>
    <w:p w14:paraId="5F28CB58" w14:textId="35217D24" w:rsidR="007E564B" w:rsidRDefault="007E564B" w:rsidP="007E564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dataset merges several sources on state government public health policies, economic outcomes, health outcomes, and state characteristics. Each observation is </w:t>
      </w:r>
      <w:r w:rsidR="00225B15">
        <w:rPr>
          <w:rFonts w:ascii="Segoe UI" w:eastAsia="Times New Roman" w:hAnsi="Segoe UI" w:cs="Segoe UI"/>
          <w:color w:val="24292E"/>
          <w:sz w:val="24"/>
          <w:szCs w:val="24"/>
        </w:rPr>
        <w:t>a day within a state since January 2020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39BA87C" w14:textId="49EDCA9C" w:rsidR="007E564B" w:rsidRPr="007E564B" w:rsidRDefault="00CF23BF" w:rsidP="007E564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Note that some of the variables are time-invariant state characteristics, while variables that change over time with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>in a state do so with different frequencies.</w:t>
      </w:r>
      <w:r w:rsidR="00225B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E2E67">
        <w:rPr>
          <w:rFonts w:ascii="Segoe UI" w:eastAsia="Times New Roman" w:hAnsi="Segoe UI" w:cs="Segoe UI"/>
          <w:color w:val="24292E"/>
          <w:sz w:val="24"/>
          <w:szCs w:val="24"/>
        </w:rPr>
        <w:t xml:space="preserve">There is also some missing data. </w:t>
      </w:r>
      <w:r w:rsidR="00225B15">
        <w:rPr>
          <w:rFonts w:ascii="Segoe UI" w:eastAsia="Times New Roman" w:hAnsi="Segoe UI" w:cs="Segoe UI"/>
          <w:color w:val="24292E"/>
          <w:sz w:val="24"/>
          <w:szCs w:val="24"/>
        </w:rPr>
        <w:t>Missing dates indicate that the policy was never enacted</w:t>
      </w:r>
      <w:r w:rsidR="00FE2E67">
        <w:rPr>
          <w:rFonts w:ascii="Segoe UI" w:eastAsia="Times New Roman" w:hAnsi="Segoe UI" w:cs="Segoe UI"/>
          <w:color w:val="24292E"/>
          <w:sz w:val="24"/>
          <w:szCs w:val="24"/>
        </w:rPr>
        <w:t xml:space="preserve"> in that state</w:t>
      </w:r>
      <w:r w:rsidR="00225B1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="00225B15">
        <w:rPr>
          <w:rFonts w:ascii="Segoe UI" w:eastAsia="Times New Roman" w:hAnsi="Segoe UI" w:cs="Segoe UI"/>
          <w:color w:val="24292E"/>
          <w:sz w:val="24"/>
          <w:szCs w:val="24"/>
        </w:rPr>
        <w:t>Womply</w:t>
      </w:r>
      <w:proofErr w:type="spellEnd"/>
      <w:r w:rsidR="00225B15">
        <w:rPr>
          <w:rFonts w:ascii="Segoe UI" w:eastAsia="Times New Roman" w:hAnsi="Segoe UI" w:cs="Segoe UI"/>
          <w:color w:val="24292E"/>
          <w:sz w:val="24"/>
          <w:szCs w:val="24"/>
        </w:rPr>
        <w:t xml:space="preserve"> data begins January 10. Affinity data begins January 13. GPS data begins February 24. There are 448 missing values of </w:t>
      </w:r>
      <w:proofErr w:type="spellStart"/>
      <w:r w:rsidR="00225B15" w:rsidRPr="006A5D8B">
        <w:rPr>
          <w:rFonts w:ascii="Consolas" w:eastAsia="Times New Roman" w:hAnsi="Consolas" w:cs="Courier New"/>
          <w:color w:val="24292E"/>
          <w:sz w:val="24"/>
          <w:szCs w:val="24"/>
        </w:rPr>
        <w:t>spend_all_inclow</w:t>
      </w:r>
      <w:proofErr w:type="spellEnd"/>
      <w:r w:rsidR="00225B15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r w:rsidR="00225B15">
        <w:rPr>
          <w:rFonts w:ascii="Segoe UI" w:eastAsia="Times New Roman" w:hAnsi="Segoe UI" w:cs="Segoe UI"/>
          <w:color w:val="24292E"/>
          <w:sz w:val="24"/>
          <w:szCs w:val="24"/>
        </w:rPr>
        <w:t>after the Affinity data begins.</w:t>
      </w:r>
    </w:p>
    <w:p w14:paraId="2F9F62F9" w14:textId="77777777" w:rsidR="00D7711E" w:rsidRDefault="00D7711E" w:rsidP="006A5D8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17C48E21" w14:textId="014E304B" w:rsidR="006A5D8B" w:rsidRPr="006A5D8B" w:rsidRDefault="006A5D8B" w:rsidP="006A5D8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Labeling</w:t>
      </w:r>
    </w:p>
    <w:p w14:paraId="1F8A8AE8" w14:textId="7A796BCF" w:rsidR="001B7A09" w:rsidRPr="001B7A09" w:rsidRDefault="001B7A09" w:rsidP="001B7A09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state</w:t>
      </w:r>
      <w:r w:rsidRPr="001B7A09">
        <w:rPr>
          <w:rFonts w:ascii="Segoe UI" w:eastAsia="Times New Roman" w:hAnsi="Segoe UI" w:cs="Segoe UI"/>
          <w:color w:val="24292E"/>
          <w:sz w:val="24"/>
          <w:szCs w:val="24"/>
        </w:rPr>
        <w:t>: name of the state.</w:t>
      </w:r>
    </w:p>
    <w:p w14:paraId="20FFAE97" w14:textId="1F29F0B1" w:rsidR="001B7A09" w:rsidRPr="001B7A09" w:rsidRDefault="001B7A09" w:rsidP="001B7A09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state_abbrev</w:t>
      </w:r>
      <w:proofErr w:type="spellEnd"/>
      <w:r w:rsidRPr="001B7A09">
        <w:rPr>
          <w:rFonts w:ascii="Segoe UI" w:eastAsia="Times New Roman" w:hAnsi="Segoe UI" w:cs="Segoe UI"/>
          <w:color w:val="24292E"/>
          <w:sz w:val="24"/>
          <w:szCs w:val="24"/>
        </w:rPr>
        <w:t>: 2-letter state abbreviation.</w:t>
      </w:r>
    </w:p>
    <w:p w14:paraId="130FE4C3" w14:textId="39865CAC" w:rsidR="001B7A09" w:rsidRDefault="001B7A09" w:rsidP="001B7A09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6A5D8B">
        <w:rPr>
          <w:rFonts w:ascii="Consolas" w:eastAsia="Times New Roman" w:hAnsi="Consolas" w:cs="Segoe UI"/>
          <w:color w:val="24292E"/>
          <w:sz w:val="24"/>
          <w:szCs w:val="24"/>
        </w:rPr>
        <w:t>date:</w:t>
      </w:r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 daily date</w:t>
      </w:r>
    </w:p>
    <w:p w14:paraId="75018B54" w14:textId="5D9C3B76" w:rsidR="001B7A09" w:rsidRPr="006A5D8B" w:rsidRDefault="001B7A09" w:rsidP="001B7A0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A5D8B">
        <w:rPr>
          <w:rFonts w:ascii="Segoe UI" w:eastAsia="Times New Roman" w:hAnsi="Segoe UI" w:cs="Segoe UI"/>
          <w:b/>
          <w:color w:val="24292E"/>
          <w:sz w:val="24"/>
          <w:szCs w:val="24"/>
        </w:rPr>
        <w:t>Non-pharmaceutical interventions</w:t>
      </w:r>
    </w:p>
    <w:p w14:paraId="597AEF69" w14:textId="2CB6B9A5" w:rsidR="001B7A09" w:rsidRPr="006A5D8B" w:rsidRDefault="001B7A09" w:rsidP="001B7A0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Source: </w:t>
      </w:r>
      <w:hyperlink r:id="rId7" w:history="1">
        <w:r w:rsidRPr="006A5D8B">
          <w:rPr>
            <w:rStyle w:val="Hyperlink"/>
            <w:rFonts w:ascii="Segoe UI" w:eastAsia="Times New Roman" w:hAnsi="Segoe UI" w:cs="Segoe UI"/>
            <w:sz w:val="24"/>
            <w:szCs w:val="24"/>
          </w:rPr>
          <w:t>COVID-19 US state policy database (CUSP)</w:t>
        </w:r>
      </w:hyperlink>
    </w:p>
    <w:p w14:paraId="40A7866B" w14:textId="4C50A2AF" w:rsidR="001B7A09" w:rsidRPr="006A5D8B" w:rsidRDefault="001B7A09" w:rsidP="001B7A09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Segoe UI"/>
          <w:color w:val="24292E"/>
          <w:sz w:val="24"/>
          <w:szCs w:val="24"/>
        </w:rPr>
        <w:t>close_nonessential_bus</w:t>
      </w:r>
      <w:proofErr w:type="spellEnd"/>
      <w:r w:rsidRPr="006A5D8B">
        <w:rPr>
          <w:rFonts w:ascii="Consolas" w:eastAsia="Times New Roman" w:hAnsi="Consolas" w:cs="Segoe UI"/>
          <w:color w:val="24292E"/>
          <w:sz w:val="24"/>
          <w:szCs w:val="24"/>
        </w:rPr>
        <w:t>:</w:t>
      </w:r>
      <w:r w:rsidR="007E564B"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date mandatory closures of non-essential business </w:t>
      </w:r>
      <w:proofErr w:type="gramStart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was</w:t>
      </w:r>
      <w:proofErr w:type="gram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 first enacted</w:t>
      </w:r>
    </w:p>
    <w:p w14:paraId="58269FF3" w14:textId="1F9791E9" w:rsidR="001B7A09" w:rsidRPr="006A5D8B" w:rsidRDefault="001B7A09" w:rsidP="001B7A09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Segoe UI"/>
          <w:color w:val="24292E"/>
          <w:sz w:val="24"/>
          <w:szCs w:val="24"/>
        </w:rPr>
        <w:t>begin_reopen</w:t>
      </w:r>
      <w:proofErr w:type="spellEnd"/>
      <w:r w:rsidRPr="006A5D8B">
        <w:rPr>
          <w:rFonts w:ascii="Consolas" w:eastAsia="Times New Roman" w:hAnsi="Consolas" w:cs="Segoe UI"/>
          <w:color w:val="24292E"/>
          <w:sz w:val="24"/>
          <w:szCs w:val="24"/>
        </w:rPr>
        <w:t>:</w:t>
      </w:r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 date business began to reopen statewide</w:t>
      </w:r>
    </w:p>
    <w:p w14:paraId="14C56247" w14:textId="7CCFA7B4" w:rsidR="001B7A09" w:rsidRDefault="001B7A09" w:rsidP="001B7A09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Segoe UI"/>
          <w:color w:val="24292E"/>
          <w:sz w:val="24"/>
          <w:szCs w:val="24"/>
        </w:rPr>
        <w:t>mandate_mask</w:t>
      </w:r>
      <w:proofErr w:type="spellEnd"/>
      <w:r w:rsidRPr="006A5D8B">
        <w:rPr>
          <w:rFonts w:ascii="Consolas" w:eastAsia="Times New Roman" w:hAnsi="Consolas" w:cs="Segoe UI"/>
          <w:color w:val="24292E"/>
          <w:sz w:val="24"/>
          <w:szCs w:val="24"/>
        </w:rPr>
        <w:t>:</w:t>
      </w:r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 date mandatory face mask use by all individuals in public spaces was first enacted</w:t>
      </w:r>
    </w:p>
    <w:p w14:paraId="4561AA96" w14:textId="557F762E" w:rsidR="00D146FA" w:rsidRPr="00D146FA" w:rsidRDefault="00265E9C" w:rsidP="00D146F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Consolas" w:eastAsia="Times New Roman" w:hAnsi="Consolas" w:cs="Segoe UI"/>
          <w:color w:val="24292E"/>
          <w:sz w:val="24"/>
          <w:szCs w:val="24"/>
        </w:rPr>
        <w:t>begin_</w:t>
      </w:r>
      <w:r w:rsidR="00D146FA">
        <w:rPr>
          <w:rFonts w:ascii="Consolas" w:eastAsia="Times New Roman" w:hAnsi="Consolas" w:cs="Segoe UI"/>
          <w:color w:val="24292E"/>
          <w:sz w:val="24"/>
          <w:szCs w:val="24"/>
        </w:rPr>
        <w:t>shelter_in_place</w:t>
      </w:r>
      <w:proofErr w:type="spellEnd"/>
      <w:r w:rsidR="00D146FA" w:rsidRPr="006A5D8B">
        <w:rPr>
          <w:rFonts w:ascii="Consolas" w:eastAsia="Times New Roman" w:hAnsi="Consolas" w:cs="Segoe UI"/>
          <w:color w:val="24292E"/>
          <w:sz w:val="24"/>
          <w:szCs w:val="24"/>
        </w:rPr>
        <w:t>:</w:t>
      </w:r>
      <w:r w:rsidR="00D146FA"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 date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state issued guidance or encouragement to stay at home</w:t>
      </w:r>
    </w:p>
    <w:p w14:paraId="322EFDB8" w14:textId="4DA202DF" w:rsidR="001B7A09" w:rsidRPr="006A5D8B" w:rsidRDefault="001B7A09" w:rsidP="001B7A0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A5D8B">
        <w:rPr>
          <w:rFonts w:ascii="Segoe UI" w:eastAsia="Times New Roman" w:hAnsi="Segoe UI" w:cs="Segoe UI"/>
          <w:b/>
          <w:color w:val="24292E"/>
          <w:sz w:val="24"/>
          <w:szCs w:val="24"/>
        </w:rPr>
        <w:t>Economic and COVID-related outcomes</w:t>
      </w:r>
    </w:p>
    <w:p w14:paraId="5B54F928" w14:textId="79EEAD08" w:rsidR="001B7A09" w:rsidRPr="006A5D8B" w:rsidRDefault="001B7A09" w:rsidP="001B7A0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Meta-source: </w:t>
      </w:r>
      <w:hyperlink r:id="rId8" w:history="1">
        <w:r w:rsidRPr="006A5D8B">
          <w:rPr>
            <w:rStyle w:val="Hyperlink"/>
            <w:rFonts w:ascii="Segoe UI" w:eastAsia="Times New Roman" w:hAnsi="Segoe UI" w:cs="Segoe UI"/>
            <w:sz w:val="24"/>
            <w:szCs w:val="24"/>
          </w:rPr>
          <w:t>Opportunity Insights Economic Tracker</w:t>
        </w:r>
      </w:hyperlink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 (interactive data at </w:t>
      </w:r>
      <w:hyperlink r:id="rId9" w:history="1">
        <w:r w:rsidRPr="006A5D8B">
          <w:rPr>
            <w:rStyle w:val="Hyperlink"/>
            <w:rFonts w:ascii="Segoe UI" w:eastAsia="Times New Roman" w:hAnsi="Segoe UI" w:cs="Segoe UI"/>
            <w:sz w:val="24"/>
            <w:szCs w:val="24"/>
          </w:rPr>
          <w:t>https://tracktherecovery.org/</w:t>
        </w:r>
      </w:hyperlink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7E564B">
        <w:rPr>
          <w:rFonts w:ascii="Segoe UI" w:eastAsia="Times New Roman" w:hAnsi="Segoe UI" w:cs="Segoe UI"/>
          <w:color w:val="24292E"/>
          <w:sz w:val="24"/>
          <w:szCs w:val="24"/>
        </w:rPr>
        <w:t>. There are many other data series on the website.</w:t>
      </w:r>
    </w:p>
    <w:p w14:paraId="51A141B8" w14:textId="3408BA04" w:rsidR="001B7A09" w:rsidRPr="006A5D8B" w:rsidRDefault="001B7A09" w:rsidP="001B7A09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A5D8B">
        <w:rPr>
          <w:rFonts w:ascii="Segoe UI" w:eastAsia="Times New Roman" w:hAnsi="Segoe UI" w:cs="Segoe UI"/>
          <w:b/>
          <w:color w:val="24292E"/>
          <w:sz w:val="24"/>
          <w:szCs w:val="24"/>
        </w:rPr>
        <w:t>Population</w:t>
      </w:r>
    </w:p>
    <w:p w14:paraId="4DD50AB0" w14:textId="7CFE82E4" w:rsidR="001B7A09" w:rsidRPr="006A5D8B" w:rsidRDefault="001B7A09" w:rsidP="001B7A09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Source: Census Bureau</w:t>
      </w:r>
    </w:p>
    <w:p w14:paraId="019D6A09" w14:textId="0EF99711" w:rsidR="001B7A09" w:rsidRPr="006A5D8B" w:rsidRDefault="001B7A09" w:rsidP="001B7A09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lastRenderedPageBreak/>
        <w:t>state_pop2019</w:t>
      </w:r>
      <w:r w:rsidRPr="001B7A09">
        <w:rPr>
          <w:rFonts w:ascii="Segoe UI" w:eastAsia="Times New Roman" w:hAnsi="Segoe UI" w:cs="Segoe UI"/>
          <w:color w:val="24292E"/>
          <w:sz w:val="24"/>
          <w:szCs w:val="24"/>
        </w:rPr>
        <w:t>: The population of the state in 2019, from Census Bureau estimates.</w:t>
      </w:r>
    </w:p>
    <w:p w14:paraId="182518B5" w14:textId="3BD2C337" w:rsidR="001B7A09" w:rsidRPr="006A5D8B" w:rsidRDefault="001B7A09" w:rsidP="001B7A09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A5D8B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GPS </w:t>
      </w:r>
      <w:r w:rsidRPr="006A5D8B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 xml:space="preserve">mobility data </w:t>
      </w:r>
      <w:r w:rsidR="006A5D8B" w:rsidRPr="006A5D8B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(</w:t>
      </w:r>
      <w:r w:rsidRPr="006A5D8B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indexed to Jan 3-Feb 6 2020</w:t>
      </w:r>
      <w:r w:rsidR="006A5D8B" w:rsidRPr="006A5D8B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)</w:t>
      </w:r>
    </w:p>
    <w:p w14:paraId="4AF05944" w14:textId="2277A691" w:rsidR="001B7A09" w:rsidRPr="006A5D8B" w:rsidRDefault="001B7A09" w:rsidP="006A5D8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Source: </w:t>
      </w:r>
      <w:hyperlink r:id="rId10" w:history="1">
        <w:r w:rsidRPr="006A5D8B">
          <w:rPr>
            <w:rStyle w:val="Hyperlink"/>
            <w:rFonts w:ascii="Segoe UI" w:hAnsi="Segoe UI" w:cs="Segoe UI"/>
            <w:color w:val="0366D6"/>
            <w:sz w:val="24"/>
            <w:szCs w:val="24"/>
            <w:shd w:val="clear" w:color="auto" w:fill="FFFFFF"/>
          </w:rPr>
          <w:t>Google COVID-19 Community Mobility Reports</w:t>
        </w:r>
      </w:hyperlink>
    </w:p>
    <w:p w14:paraId="24EF4295" w14:textId="77777777" w:rsidR="006A5D8B" w:rsidRPr="006A5D8B" w:rsidRDefault="006A5D8B" w:rsidP="006A5D8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gps_away_from_home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Time spent outside of residential locations.</w:t>
      </w:r>
    </w:p>
    <w:p w14:paraId="09DA085A" w14:textId="77777777" w:rsidR="006A5D8B" w:rsidRPr="006A5D8B" w:rsidRDefault="006A5D8B" w:rsidP="006A5D8B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gps_retail_and_recreation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Time spent at retail and recreation locations.</w:t>
      </w:r>
    </w:p>
    <w:p w14:paraId="0C7F1D58" w14:textId="77777777" w:rsidR="006A5D8B" w:rsidRPr="006A5D8B" w:rsidRDefault="006A5D8B" w:rsidP="006A5D8B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gps_grocery_and_pharmacy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Time spent at grocery and pharmacy locations.</w:t>
      </w:r>
    </w:p>
    <w:p w14:paraId="18458DE1" w14:textId="77777777" w:rsidR="006A5D8B" w:rsidRPr="006A5D8B" w:rsidRDefault="006A5D8B" w:rsidP="006A5D8B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gps_transit_stations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Time at inside transit stations.</w:t>
      </w:r>
    </w:p>
    <w:p w14:paraId="3F60B273" w14:textId="77777777" w:rsidR="006A5D8B" w:rsidRPr="006A5D8B" w:rsidRDefault="006A5D8B" w:rsidP="006A5D8B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gps_workplaces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Time spent at work places.</w:t>
      </w:r>
    </w:p>
    <w:p w14:paraId="62DD8154" w14:textId="3957070F" w:rsidR="006A5D8B" w:rsidRPr="006A5D8B" w:rsidRDefault="006A5D8B" w:rsidP="006A5D8B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gps_residential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Time spent at residential locations.</w:t>
      </w:r>
    </w:p>
    <w:p w14:paraId="5AB6A87C" w14:textId="5328F076" w:rsidR="006A5D8B" w:rsidRPr="006A5D8B" w:rsidRDefault="006A5D8B" w:rsidP="006A5D8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A5D8B">
        <w:rPr>
          <w:rFonts w:ascii="Segoe UI" w:eastAsia="Times New Roman" w:hAnsi="Segoe UI" w:cs="Segoe UI"/>
          <w:b/>
          <w:color w:val="24292E"/>
          <w:sz w:val="24"/>
          <w:szCs w:val="24"/>
        </w:rPr>
        <w:t>Small business openings data</w:t>
      </w:r>
    </w:p>
    <w:p w14:paraId="649DB0E9" w14:textId="35A535E3" w:rsidR="006A5D8B" w:rsidRPr="006A5D8B" w:rsidRDefault="006A5D8B" w:rsidP="006A5D8B">
      <w:pPr>
        <w:shd w:val="clear" w:color="auto" w:fill="FFFFFF"/>
        <w:spacing w:after="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Source: </w:t>
      </w:r>
      <w:r w:rsidRPr="006A5D8B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</w:t>
      </w:r>
      <w:proofErr w:type="spellStart"/>
      <w:r w:rsidRPr="006A5D8B">
        <w:rPr>
          <w:sz w:val="24"/>
          <w:szCs w:val="24"/>
        </w:rPr>
        <w:fldChar w:fldCharType="begin"/>
      </w:r>
      <w:r w:rsidRPr="006A5D8B">
        <w:rPr>
          <w:sz w:val="24"/>
          <w:szCs w:val="24"/>
        </w:rPr>
        <w:instrText xml:space="preserve"> HYPERLINK "https://www.womply.com/" </w:instrText>
      </w:r>
      <w:r w:rsidRPr="006A5D8B">
        <w:rPr>
          <w:sz w:val="24"/>
          <w:szCs w:val="24"/>
        </w:rPr>
        <w:fldChar w:fldCharType="separate"/>
      </w:r>
      <w:r w:rsidRPr="006A5D8B">
        <w:rPr>
          <w:rStyle w:val="Hyperlink"/>
          <w:rFonts w:ascii="Segoe UI" w:hAnsi="Segoe UI" w:cs="Segoe UI"/>
          <w:color w:val="0366D6"/>
          <w:sz w:val="24"/>
          <w:szCs w:val="24"/>
          <w:shd w:val="clear" w:color="auto" w:fill="FFFFFF"/>
        </w:rPr>
        <w:t>Womply</w:t>
      </w:r>
      <w:proofErr w:type="spellEnd"/>
      <w:r w:rsidRPr="006A5D8B">
        <w:rPr>
          <w:sz w:val="24"/>
          <w:szCs w:val="24"/>
        </w:rPr>
        <w:fldChar w:fldCharType="end"/>
      </w:r>
    </w:p>
    <w:p w14:paraId="72DCED1C" w14:textId="77777777" w:rsidR="006A5D8B" w:rsidRPr="006A5D8B" w:rsidRDefault="006A5D8B" w:rsidP="006A5D8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merchants_all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Percent change in number of small businesses open calculated as a seven-day moving average seasonally adjusted and indexed to January 4-31 2020.</w:t>
      </w:r>
    </w:p>
    <w:p w14:paraId="20812D2E" w14:textId="77777777" w:rsidR="006A5D8B" w:rsidRPr="006A5D8B" w:rsidRDefault="006A5D8B" w:rsidP="006A5D8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merchants_inchigh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Percent change in number of small businesses open calculated as a seven-day moving average seasonally adjusted and indexed to January 4-31 2020 in high income (quartile 4 of median income) ZIP codes.</w:t>
      </w:r>
    </w:p>
    <w:p w14:paraId="16AF07AB" w14:textId="77777777" w:rsidR="006A5D8B" w:rsidRPr="006A5D8B" w:rsidRDefault="006A5D8B" w:rsidP="006A5D8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merchants_incmiddle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Percent change in number of small businesses open calculated as a seven-day moving average seasonally adjusted and indexed to January 4-31 2020 in middle income (quartiles 2 &amp; 3 of median income) ZIP codes.</w:t>
      </w:r>
    </w:p>
    <w:p w14:paraId="53C5E950" w14:textId="77777777" w:rsidR="006A5D8B" w:rsidRPr="006A5D8B" w:rsidRDefault="006A5D8B" w:rsidP="006A5D8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merchants_inclow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Percent change in number of small businesses open calculated as a seven-day moving average seasonally adjusted and indexed to January 4-31 2020 in low income (quartile 1 of median income) ZIP codes.</w:t>
      </w:r>
    </w:p>
    <w:p w14:paraId="6A9472C2" w14:textId="77777777" w:rsidR="006A5D8B" w:rsidRPr="006A5D8B" w:rsidRDefault="006A5D8B" w:rsidP="006A5D8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merchants_ss40</w:t>
      </w:r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: Percent change in number of small businesses open calculated as a seven-day moving average seasonally adjusted and indexed to January 4-31 2020 in transportation (NAICS </w:t>
      </w:r>
      <w:proofErr w:type="spellStart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supersector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 40).</w:t>
      </w:r>
    </w:p>
    <w:p w14:paraId="5C036E5E" w14:textId="77777777" w:rsidR="006A5D8B" w:rsidRPr="006A5D8B" w:rsidRDefault="006A5D8B" w:rsidP="006A5D8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merchants_ss65</w:t>
      </w:r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: Percent change in number of small businesses open calculated as a seven-day moving average seasonally adjusted and indexed to January 4-31 2020 in education and health services (NAICS </w:t>
      </w:r>
      <w:proofErr w:type="spellStart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supersector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 65).</w:t>
      </w:r>
    </w:p>
    <w:p w14:paraId="0AADE996" w14:textId="4CE6E660" w:rsidR="006A5D8B" w:rsidRPr="006A5D8B" w:rsidRDefault="006A5D8B" w:rsidP="006A5D8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merchants_ss70</w:t>
      </w:r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: Percent change in number of small businesses open calculated as a seven-day moving average seasonally adjusted and indexed to January 4-31 2020 in leisure and hospitality (NAICS </w:t>
      </w:r>
      <w:proofErr w:type="spellStart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supersector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 70).</w:t>
      </w:r>
    </w:p>
    <w:p w14:paraId="5120C445" w14:textId="15D3F69E" w:rsidR="006A5D8B" w:rsidRPr="006A5D8B" w:rsidRDefault="006A5D8B" w:rsidP="006A5D8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A5D8B"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>Consumer Spending</w:t>
      </w:r>
    </w:p>
    <w:p w14:paraId="7FA8CB75" w14:textId="438C1965" w:rsidR="006A5D8B" w:rsidRPr="006A5D8B" w:rsidRDefault="006A5D8B" w:rsidP="006A5D8B">
      <w:pPr>
        <w:shd w:val="clear" w:color="auto" w:fill="FFFFFF"/>
        <w:spacing w:after="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Source: </w:t>
      </w:r>
      <w:hyperlink r:id="rId11" w:history="1">
        <w:r w:rsidRPr="006A5D8B">
          <w:rPr>
            <w:rStyle w:val="Hyperlink"/>
            <w:rFonts w:ascii="Segoe UI" w:hAnsi="Segoe UI" w:cs="Segoe UI"/>
            <w:color w:val="0366D6"/>
            <w:sz w:val="24"/>
            <w:szCs w:val="24"/>
            <w:shd w:val="clear" w:color="auto" w:fill="FFFFFF"/>
          </w:rPr>
          <w:t>Affinity Solutions</w:t>
        </w:r>
      </w:hyperlink>
    </w:p>
    <w:p w14:paraId="2E0C8645" w14:textId="77777777" w:rsidR="006A5D8B" w:rsidRPr="006A5D8B" w:rsidRDefault="006A5D8B" w:rsidP="006A5D8B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Autospacing="1" w:after="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spend_all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Seasonally adjusted credit/debit card spending relative to January 4-31 2020 in all merchant category codes (MCC), 7 day moving average.</w:t>
      </w:r>
    </w:p>
    <w:p w14:paraId="3187D0E5" w14:textId="77777777" w:rsidR="006A5D8B" w:rsidRPr="006A5D8B" w:rsidRDefault="006A5D8B" w:rsidP="006A5D8B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spend_acf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: Seasonally adjusted credit/debit card spending relative to January 4-31 2020 in </w:t>
      </w:r>
      <w:proofErr w:type="spellStart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accomodation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 and food service (ACF) MCCs, 7 day moving average, 7 day moving average.</w:t>
      </w:r>
    </w:p>
    <w:p w14:paraId="4265B423" w14:textId="77777777" w:rsidR="006A5D8B" w:rsidRPr="006A5D8B" w:rsidRDefault="006A5D8B" w:rsidP="006A5D8B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spend_aer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Seasonally adjusted credit/debit card spending relative to January 4-31 2020 in arts, entertainment, and recreation (AER) MCCs, 7 day moving average.</w:t>
      </w:r>
    </w:p>
    <w:p w14:paraId="52BC7F7A" w14:textId="77777777" w:rsidR="006A5D8B" w:rsidRPr="006A5D8B" w:rsidRDefault="006A5D8B" w:rsidP="006A5D8B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spend_apg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Seasonally adjusted credit/debit card spending relative to January 4-31 2020 in general merchandise stores (GEN) and apparel and accessories (AAP) MCCs, 7 day moving average.</w:t>
      </w:r>
    </w:p>
    <w:p w14:paraId="24734037" w14:textId="77777777" w:rsidR="006A5D8B" w:rsidRPr="006A5D8B" w:rsidRDefault="006A5D8B" w:rsidP="006A5D8B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spend_grf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Seasonally adjusted credit/debit card spending relative to January 4-31 2020 in grocery and food store (GRF) MCCs, 7 day moving average.</w:t>
      </w:r>
    </w:p>
    <w:p w14:paraId="74735019" w14:textId="77777777" w:rsidR="006A5D8B" w:rsidRPr="006A5D8B" w:rsidRDefault="006A5D8B" w:rsidP="006A5D8B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spend_hcs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Seasonally adjusted credit/debit card spending relative to January 4-31 2020 in health care and social assistance (HCS) MCCs, 7 day moving average.</w:t>
      </w:r>
    </w:p>
    <w:p w14:paraId="06D4D249" w14:textId="77777777" w:rsidR="006A5D8B" w:rsidRPr="006A5D8B" w:rsidRDefault="006A5D8B" w:rsidP="006A5D8B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spend_tws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Seasonally adjusted credit/debit card spending relative to January 4-31 2020 in transportation and warehousing (TWS) MCCs, 7 day moving average.</w:t>
      </w:r>
    </w:p>
    <w:p w14:paraId="2D93F018" w14:textId="77777777" w:rsidR="006A5D8B" w:rsidRPr="006A5D8B" w:rsidRDefault="006A5D8B" w:rsidP="006A5D8B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spend_all_inchigh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Seasonally adjusted credit/debit card spending by consumers living in ZIP codes with high (top quartile) median income, relative to January 4-31 2020 in all merchant category codes (MCC), 7 day moving average.</w:t>
      </w:r>
    </w:p>
    <w:p w14:paraId="1F6E9DB1" w14:textId="77777777" w:rsidR="006A5D8B" w:rsidRPr="006A5D8B" w:rsidRDefault="006A5D8B" w:rsidP="006A5D8B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spend_all_incmiddle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Seasonally adjusted credit/debit card spending by consumers living in ZIP codes with middle (middle two quartiles) median income, relative to January 4-31 2020 in all merchant category codes (MCC), 7 day moving average.</w:t>
      </w:r>
    </w:p>
    <w:p w14:paraId="71A44206" w14:textId="70B721F0" w:rsidR="006A5D8B" w:rsidRPr="006A5D8B" w:rsidRDefault="006A5D8B" w:rsidP="006A5D8B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Fonts w:ascii="Consolas" w:eastAsia="Times New Roman" w:hAnsi="Consolas" w:cs="Courier New"/>
          <w:color w:val="24292E"/>
          <w:sz w:val="24"/>
          <w:szCs w:val="24"/>
        </w:rPr>
        <w:t>spend_all_inclow</w:t>
      </w:r>
      <w:proofErr w:type="spellEnd"/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>: Seasonally adjusted credit/debit card spending by consumers living in ZIP codes with low (bottom quartiles) median income, relative to January 4-31 2020 in all merchant category codes (MCC), 7 day moving average.</w:t>
      </w:r>
    </w:p>
    <w:p w14:paraId="3C9DE3C2" w14:textId="2B97896D" w:rsidR="006A5D8B" w:rsidRPr="006A5D8B" w:rsidRDefault="006A5D8B" w:rsidP="006A5D8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A5D8B">
        <w:rPr>
          <w:rFonts w:ascii="Segoe UI" w:eastAsia="Times New Roman" w:hAnsi="Segoe UI" w:cs="Segoe UI"/>
          <w:b/>
          <w:color w:val="24292E"/>
          <w:sz w:val="24"/>
          <w:szCs w:val="24"/>
        </w:rPr>
        <w:t>COVID-19 Death</w:t>
      </w:r>
    </w:p>
    <w:p w14:paraId="6F7FE333" w14:textId="328D7EAE" w:rsidR="006A5D8B" w:rsidRPr="006A5D8B" w:rsidRDefault="006A5D8B" w:rsidP="006A5D8B">
      <w:pPr>
        <w:shd w:val="clear" w:color="auto" w:fill="FFFFFF"/>
        <w:spacing w:after="0" w:afterAutospacing="1" w:line="240" w:lineRule="auto"/>
        <w:ind w:left="720"/>
        <w:rPr>
          <w:sz w:val="24"/>
          <w:szCs w:val="24"/>
        </w:rPr>
      </w:pPr>
      <w:r w:rsidRPr="006A5D8B">
        <w:rPr>
          <w:rFonts w:ascii="Segoe UI" w:eastAsia="Times New Roman" w:hAnsi="Segoe UI" w:cs="Segoe UI"/>
          <w:color w:val="24292E"/>
          <w:sz w:val="24"/>
          <w:szCs w:val="24"/>
        </w:rPr>
        <w:t xml:space="preserve">Source: </w:t>
      </w:r>
      <w:hyperlink r:id="rId12" w:history="1">
        <w:r w:rsidRPr="006A5D8B">
          <w:rPr>
            <w:rStyle w:val="Hyperlink"/>
            <w:rFonts w:ascii="Segoe UI" w:hAnsi="Segoe UI" w:cs="Segoe UI"/>
            <w:color w:val="0366D6"/>
            <w:sz w:val="24"/>
            <w:szCs w:val="24"/>
            <w:shd w:val="clear" w:color="auto" w:fill="FFFFFF"/>
          </w:rPr>
          <w:t>New York Times COVID-19 repository</w:t>
        </w:r>
      </w:hyperlink>
    </w:p>
    <w:p w14:paraId="79419CA5" w14:textId="1E871EFE" w:rsidR="006A5D8B" w:rsidRPr="007E564B" w:rsidRDefault="006A5D8B" w:rsidP="006A5D8B">
      <w:pPr>
        <w:pStyle w:val="ListParagraph"/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A5D8B">
        <w:rPr>
          <w:rStyle w:val="HTMLCode"/>
          <w:rFonts w:ascii="Consolas" w:eastAsiaTheme="minorHAnsi" w:hAnsi="Consolas"/>
          <w:color w:val="24292E"/>
          <w:sz w:val="24"/>
          <w:szCs w:val="24"/>
        </w:rPr>
        <w:lastRenderedPageBreak/>
        <w:t>new_death_rate</w:t>
      </w:r>
      <w:proofErr w:type="spellEnd"/>
      <w:r w:rsidRPr="006A5D8B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: New confirmed COVID-19 deaths per 100,000 people, seven day moving average.</w:t>
      </w:r>
    </w:p>
    <w:p w14:paraId="20B3AAFA" w14:textId="77777777" w:rsidR="007E564B" w:rsidRDefault="007E564B" w:rsidP="007E564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State governor information</w:t>
      </w:r>
    </w:p>
    <w:p w14:paraId="27B2F284" w14:textId="77777777" w:rsidR="007E564B" w:rsidRPr="007E564B" w:rsidRDefault="007E564B" w:rsidP="007E564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Source: </w:t>
      </w:r>
      <w:hyperlink r:id="rId13" w:history="1">
        <w:proofErr w:type="spellStart"/>
        <w:r w:rsidRPr="007E564B">
          <w:rPr>
            <w:rStyle w:val="Hyperlink"/>
            <w:rFonts w:ascii="Segoe UI" w:eastAsia="Times New Roman" w:hAnsi="Segoe UI" w:cs="Segoe UI"/>
            <w:sz w:val="24"/>
            <w:szCs w:val="24"/>
          </w:rPr>
          <w:t>Ballotpedia</w:t>
        </w:r>
        <w:proofErr w:type="spellEnd"/>
      </w:hyperlink>
    </w:p>
    <w:p w14:paraId="170E868D" w14:textId="77777777" w:rsidR="007E564B" w:rsidRPr="001B7A09" w:rsidRDefault="007E564B" w:rsidP="007E564B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24292E"/>
          <w:sz w:val="24"/>
          <w:szCs w:val="24"/>
        </w:rPr>
        <w:t>governor_party</w:t>
      </w:r>
      <w:proofErr w:type="spellEnd"/>
      <w:r w:rsidRPr="001B7A09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political affiliation of state’s governor</w:t>
      </w:r>
    </w:p>
    <w:p w14:paraId="234C8579" w14:textId="77777777" w:rsidR="007E564B" w:rsidRPr="007E564B" w:rsidRDefault="007E564B" w:rsidP="007E564B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24292E"/>
          <w:sz w:val="24"/>
          <w:szCs w:val="24"/>
        </w:rPr>
        <w:t>gov_inaug_date</w:t>
      </w:r>
      <w:proofErr w:type="spellEnd"/>
      <w:r w:rsidRPr="001B7A09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inauguration date of state’s governor</w:t>
      </w:r>
    </w:p>
    <w:p w14:paraId="06D379E6" w14:textId="459C7D95" w:rsidR="00496C9B" w:rsidRPr="006A5D8B" w:rsidRDefault="005D0D39" w:rsidP="001B7A09">
      <w:pPr>
        <w:rPr>
          <w:sz w:val="24"/>
          <w:szCs w:val="24"/>
        </w:rPr>
      </w:pPr>
    </w:p>
    <w:sectPr w:rsidR="00496C9B" w:rsidRPr="006A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FA033" w14:textId="77777777" w:rsidR="005D0D39" w:rsidRDefault="005D0D39" w:rsidP="001B7A09">
      <w:pPr>
        <w:spacing w:after="0" w:line="240" w:lineRule="auto"/>
      </w:pPr>
      <w:r>
        <w:separator/>
      </w:r>
    </w:p>
  </w:endnote>
  <w:endnote w:type="continuationSeparator" w:id="0">
    <w:p w14:paraId="76428F0E" w14:textId="77777777" w:rsidR="005D0D39" w:rsidRDefault="005D0D39" w:rsidP="001B7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525D8" w14:textId="77777777" w:rsidR="005D0D39" w:rsidRDefault="005D0D39" w:rsidP="001B7A09">
      <w:pPr>
        <w:spacing w:after="0" w:line="240" w:lineRule="auto"/>
      </w:pPr>
      <w:r>
        <w:separator/>
      </w:r>
    </w:p>
  </w:footnote>
  <w:footnote w:type="continuationSeparator" w:id="0">
    <w:p w14:paraId="1F00491F" w14:textId="77777777" w:rsidR="005D0D39" w:rsidRDefault="005D0D39" w:rsidP="001B7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20F4"/>
    <w:multiLevelType w:val="multilevel"/>
    <w:tmpl w:val="ABB2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437A3"/>
    <w:multiLevelType w:val="multilevel"/>
    <w:tmpl w:val="5B762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86CE5"/>
    <w:multiLevelType w:val="multilevel"/>
    <w:tmpl w:val="A59A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21F1A"/>
    <w:multiLevelType w:val="hybridMultilevel"/>
    <w:tmpl w:val="C5E0C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EB60C0"/>
    <w:multiLevelType w:val="multilevel"/>
    <w:tmpl w:val="BECE5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72F28"/>
    <w:multiLevelType w:val="hybridMultilevel"/>
    <w:tmpl w:val="BF4C4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C0"/>
    <w:rsid w:val="00032FEA"/>
    <w:rsid w:val="00143CAE"/>
    <w:rsid w:val="001B7A09"/>
    <w:rsid w:val="00225B15"/>
    <w:rsid w:val="00265E9C"/>
    <w:rsid w:val="005D0D39"/>
    <w:rsid w:val="00625FFE"/>
    <w:rsid w:val="006A5D8B"/>
    <w:rsid w:val="0077155E"/>
    <w:rsid w:val="007E564B"/>
    <w:rsid w:val="008C58AA"/>
    <w:rsid w:val="009F2F3A"/>
    <w:rsid w:val="00B957B0"/>
    <w:rsid w:val="00CF23BF"/>
    <w:rsid w:val="00D146FA"/>
    <w:rsid w:val="00D7711E"/>
    <w:rsid w:val="00DB63D2"/>
    <w:rsid w:val="00DF4F1A"/>
    <w:rsid w:val="00F73DC0"/>
    <w:rsid w:val="00F743D7"/>
    <w:rsid w:val="00FE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801E"/>
  <w15:chartTrackingRefBased/>
  <w15:docId w15:val="{FEF648A0-6074-4A6A-8AEF-CE436069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A09"/>
  </w:style>
  <w:style w:type="paragraph" w:styleId="Footer">
    <w:name w:val="footer"/>
    <w:basedOn w:val="Normal"/>
    <w:link w:val="FooterChar"/>
    <w:uiPriority w:val="99"/>
    <w:unhideWhenUsed/>
    <w:rsid w:val="001B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A09"/>
  </w:style>
  <w:style w:type="character" w:styleId="HTMLCode">
    <w:name w:val="HTML Code"/>
    <w:basedOn w:val="DefaultParagraphFont"/>
    <w:uiPriority w:val="99"/>
    <w:semiHidden/>
    <w:unhideWhenUsed/>
    <w:rsid w:val="001B7A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7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A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portunityInsights/EconomicTracker" TargetMode="External"/><Relationship Id="rId13" Type="http://schemas.openxmlformats.org/officeDocument/2006/relationships/hyperlink" Target="https://ballotpedia.org/Partisan_composition_of_govern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view.tinyurl.com/statepolicies" TargetMode="External"/><Relationship Id="rId12" Type="http://schemas.openxmlformats.org/officeDocument/2006/relationships/hyperlink" Target="https://github.com/nytimes/covid-19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ffinity.solution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covid19/mobil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ktherecovery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Cohen</dc:creator>
  <cp:keywords/>
  <dc:description/>
  <cp:lastModifiedBy>Jonathan Cohen</cp:lastModifiedBy>
  <cp:revision>8</cp:revision>
  <dcterms:created xsi:type="dcterms:W3CDTF">2020-09-04T03:16:00Z</dcterms:created>
  <dcterms:modified xsi:type="dcterms:W3CDTF">2020-09-05T10:34:00Z</dcterms:modified>
</cp:coreProperties>
</file>