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sz w:val="24"/>
          <w:szCs w:val="24"/>
        </w:rPr>
        <w:t xml:space="preserve">B.M.S. College of Engineering, Bangalore</w:t>
      </w:r>
    </w:p>
    <w:p>
      <w:pPr>
        <w:spacing w:after="240" w:before="0"/>
        <w:jc w:val="center"/>
      </w:pPr>
      <w:r>
        <w:rPr>
          <w:rFonts w:ascii="Times New Roman" w:cs="Times New Roman" w:eastAsia="Times New Roman" w:hAnsi="Times New Roman"/>
          <w:sz w:val="24"/>
          <w:szCs w:val="24"/>
        </w:rPr>
        <w:t xml:space="preserve">Department of Machine Learning</w:t>
      </w:r>
    </w:p>
    <w:p>
      <w:pPr>
        <w:spacing w:after="0" w:before="0"/>
      </w:pPr>
      <w:r>
        <w:t xml:space="preserve"/>
      </w:r>
    </w:p>
    <w:p>
      <w:pPr>
        <w:spacing w:after="0" w:before="0"/>
      </w:pPr>
      <w:r>
        <w:t xml:space="preserve"/>
      </w:r>
    </w:p>
    <w:p>
      <w:pPr>
        <w:spacing w:after="0" w:before="0"/>
      </w:pPr>
      <w:r>
        <w:t xml:space="preserve"/>
      </w:r>
    </w:p>
    <w:p>
      <w:pPr>
        <w:spacing w:after="240" w:before="480"/>
        <w:jc w:val="center"/>
      </w:pPr>
      <w:r>
        <w:rPr>
          <w:rFonts w:ascii="Times New Roman" w:cs="Times New Roman" w:eastAsia="Times New Roman" w:hAnsi="Times New Roman"/>
          <w:b/>
          <w:bCs/>
          <w:sz w:val="28"/>
          <w:szCs w:val="28"/>
        </w:rPr>
        <w:t xml:space="preserve">Project Report</w:t>
      </w:r>
    </w:p>
    <w:p>
      <w:pPr>
        <w:spacing w:after="120" w:before="0"/>
        <w:jc w:val="center"/>
      </w:pPr>
      <w:r>
        <w:rPr>
          <w:rFonts w:ascii="Times New Roman" w:cs="Times New Roman" w:eastAsia="Times New Roman" w:hAnsi="Times New Roman"/>
          <w:sz w:val="24"/>
          <w:szCs w:val="24"/>
        </w:rPr>
        <w:t xml:space="preserve">on</w:t>
      </w:r>
    </w:p>
    <w:p>
      <w:pPr>
        <w:spacing w:after="480" w:before="120"/>
        <w:jc w:val="center"/>
      </w:pPr>
      <w:r>
        <w:rPr>
          <w:rFonts w:ascii="Times New Roman" w:cs="Times New Roman" w:eastAsia="Times New Roman" w:hAnsi="Times New Roman"/>
          <w:b/>
          <w:bCs/>
          <w:sz w:val="32"/>
          <w:szCs w:val="32"/>
        </w:rPr>
        <w:t xml:space="preserve">PharmaGA: A Niching Multi-Objective Genetic Algorithm with Surrogate-Assisted Fitness for Personalized Drug Selection</w:t>
      </w:r>
    </w:p>
    <w:p>
      <w:pPr>
        <w:spacing w:after="120" w:before="480"/>
        <w:jc w:val="center"/>
      </w:pPr>
      <w:r>
        <w:rPr>
          <w:rFonts w:ascii="Times New Roman" w:cs="Times New Roman" w:eastAsia="Times New Roman" w:hAnsi="Times New Roman"/>
          <w:i/>
          <w:iCs/>
          <w:sz w:val="24"/>
          <w:szCs w:val="24"/>
        </w:rPr>
        <w:t xml:space="preserve">Submitted for the Course:</w:t>
      </w:r>
    </w:p>
    <w:p>
      <w:pPr>
        <w:spacing w:after="480" w:before="0"/>
        <w:jc w:val="center"/>
      </w:pPr>
      <w:r>
        <w:rPr>
          <w:rFonts w:ascii="Times New Roman" w:cs="Times New Roman" w:eastAsia="Times New Roman" w:hAnsi="Times New Roman"/>
          <w:b/>
          <w:bCs/>
          <w:sz w:val="24"/>
          <w:szCs w:val="24"/>
        </w:rPr>
        <w:t xml:space="preserve">Parallel Processing and Architecture (21CS6DCPPA)</w:t>
      </w:r>
    </w:p>
    <w:p>
      <w:pPr>
        <w:spacing w:after="0" w:before="0"/>
      </w:pPr>
      <w:r>
        <w:t xml:space="preserve"/>
      </w:r>
    </w:p>
    <w:p>
      <w:pPr>
        <w:spacing w:after="0" w:before="0"/>
      </w:pPr>
      <w:r>
        <w:t xml:space="preserve"/>
      </w:r>
    </w:p>
    <w:p>
      <w:pPr>
        <w:spacing w:after="120" w:before="480"/>
        <w:jc w:val="center"/>
      </w:pPr>
      <w:r>
        <w:rPr>
          <w:rFonts w:ascii="Times New Roman" w:cs="Times New Roman" w:eastAsia="Times New Roman" w:hAnsi="Times New Roman"/>
          <w:b/>
          <w:bCs/>
          <w:sz w:val="24"/>
          <w:szCs w:val="24"/>
        </w:rPr>
        <w:t xml:space="preserve">Submitted by:</w:t>
      </w:r>
    </w:p>
    <w:p>
      <w:pPr>
        <w:spacing w:after="60" w:before="60"/>
        <w:jc w:val="center"/>
      </w:pPr>
      <w:r>
        <w:rPr>
          <w:rFonts w:ascii="Times New Roman" w:cs="Times New Roman" w:eastAsia="Times New Roman" w:hAnsi="Times New Roman"/>
          <w:sz w:val="24"/>
          <w:szCs w:val="24"/>
        </w:rPr>
        <w:t xml:space="preserve">Sanket Kulkarani (1BM23AI087)</w:t>
      </w:r>
    </w:p>
    <w:p>
      <w:pPr>
        <w:spacing w:after="60" w:before="60"/>
        <w:jc w:val="center"/>
      </w:pPr>
      <w:r>
        <w:rPr>
          <w:rFonts w:ascii="Times New Roman" w:cs="Times New Roman" w:eastAsia="Times New Roman" w:hAnsi="Times New Roman"/>
          <w:sz w:val="24"/>
          <w:szCs w:val="24"/>
        </w:rPr>
        <w:t xml:space="preserve">Rahul Hongekar (1BM23AI068)</w:t>
      </w:r>
    </w:p>
    <w:p>
      <w:pPr>
        <w:spacing w:after="60" w:before="60"/>
        <w:jc w:val="center"/>
      </w:pPr>
      <w:r>
        <w:rPr>
          <w:rFonts w:ascii="Times New Roman" w:cs="Times New Roman" w:eastAsia="Times New Roman" w:hAnsi="Times New Roman"/>
          <w:sz w:val="24"/>
          <w:szCs w:val="24"/>
        </w:rPr>
        <w:t xml:space="preserve">Prem Rathod (1BM23AI060)</w:t>
      </w:r>
    </w:p>
    <w:p>
      <w:pPr>
        <w:spacing w:after="60" w:before="60"/>
        <w:jc w:val="center"/>
      </w:pPr>
      <w:r>
        <w:rPr>
          <w:rFonts w:ascii="Times New Roman" w:cs="Times New Roman" w:eastAsia="Times New Roman" w:hAnsi="Times New Roman"/>
          <w:sz w:val="24"/>
          <w:szCs w:val="24"/>
        </w:rPr>
        <w:t xml:space="preserve">Pranjal Sen (1BM23AI085)</w:t>
      </w:r>
    </w:p>
    <w:p>
      <w:pPr>
        <w:spacing w:after="240" w:before="60"/>
        <w:jc w:val="center"/>
      </w:pPr>
      <w:r>
        <w:rPr>
          <w:rFonts w:ascii="Times New Roman" w:cs="Times New Roman" w:eastAsia="Times New Roman" w:hAnsi="Times New Roman"/>
          <w:sz w:val="24"/>
          <w:szCs w:val="24"/>
        </w:rPr>
        <w:t xml:space="preserve">Pradyot Bilurkar (1BM23AI059)</w:t>
      </w:r>
    </w:p>
    <w:p>
      <w:pPr>
        <w:spacing w:after="0" w:before="0"/>
      </w:pPr>
      <w:r>
        <w:t xml:space="preserve"/>
      </w:r>
    </w:p>
    <w:p>
      <w:pPr>
        <w:spacing w:after="120" w:before="240"/>
        <w:jc w:val="center"/>
      </w:pPr>
      <w:r>
        <w:rPr>
          <w:rFonts w:ascii="Times New Roman" w:cs="Times New Roman" w:eastAsia="Times New Roman" w:hAnsi="Times New Roman"/>
          <w:sz w:val="24"/>
          <w:szCs w:val="24"/>
        </w:rPr>
        <w:t xml:space="preserve">Academic Year 2025–2026</w:t>
      </w:r>
    </w:p>
    <w:p>
      <w:r>
        <w:br w:type="page"/>
      </w:r>
    </w:p>
    <w:p>
      <w:pPr>
        <w:pStyle w:val="Heading1"/>
        <w:spacing w:after="180" w:before="360"/>
      </w:pPr>
      <w:r>
        <w:rPr>
          <w:rFonts w:ascii="Times New Roman" w:cs="Times New Roman" w:eastAsia="Times New Roman" w:hAnsi="Times New Roman"/>
          <w:b/>
          <w:bCs/>
          <w:color w:val="000000"/>
          <w:sz w:val="32"/>
          <w:szCs w:val="32"/>
        </w:rPr>
        <w:t xml:space="preserve">Abstract</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Selecting optimal drug regimens from a catalogue of over ten thousand approved and investigational compounds is a combinatorial problem of extraordinary scale. When combination therapies of two to four drugs are considered, the feasible search space spans 10⁸ to 10¹⁶ candidates, rendering brute-force enumeration infeasible even with fast computational surrogates. The problem is further complicated by the need to simultaneously optimise competing clinical objectives—predicted efficacy, toxicity burden, pharmacokinetic suitability, and drug-drug interaction risk—while conditioning the search on each patient's unique genomic background.</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This report presents PharmaGA, a niching multi-objective genetic algorithm designed to address personalised drug selection as a parallel, surrogate-assisted Pareto optimisation problem. Three innovations distinguish PharmaGA from prior work: pharmacogenomic descriptors (CYP450 allelic variants, HLA markers, and renal/hepatic clearance indices) are embedded directly into the objective function so the algorithm ranks regimens for the individual patient rather than for a population average; a Mechanism-Complementarity Crossover (MCX) operator recombines candidate regimens along their annotated pathway targets rather than arbitrary chromosome positions, preserving pharmacologically coherent drug combinations; and a gradient-boosted surrogate (LightGBM) with uncertainty-driven oracle fallbacks reduces wall-clock computation by approximately 38× while preserving 94% rank correlation with the expensive oracle.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Evaluated on a benchmark of 1,842 approved and investigational compounds paired with 500 synthetic patient profiles across four therapeutic areas—hypertension, non-small-cell lung cancer (NSCLC), type-2 diabetes mellitus (T2DM), and major depressive disorder (MDD)—PharmaGA outperforms NSGA-II, SPEA2, MOEA/D, and a policy-gradient reinforcement-learning baseline across all metrics. Specifically, it achieves a 12.4% improvement in hypervolume and a 27.1% reduction in inverted generational distance over the strongest baseline. Crucially, a newly proposed personalisation fidelity metric confirms that PharmaGA returns solutions that are genuinely patient-specific, as opposed to recycling population-level advice.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From the perspective of parallel processing and architecture, this report analyses the four principal parallelism bottlenecks in PharmaGA—population evaluation, patient-cohort independence, surrogate retraining, and clinical-scale deployment—and demonstrates that a 64-core configuration reduces per-patient wall-clock time from 167 seconds to approximately 38 seconds, enabling clinically viable real-time personalisation at hospital scale.</w:t>
      </w:r>
    </w:p>
    <w:p>
      <w:r>
        <w:br w:type="page"/>
      </w:r>
    </w:p>
    <w:p>
      <w:pPr>
        <w:spacing w:after="240" w:before="0"/>
        <w:jc w:val="center"/>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Times New Roman" w:cs="Times New Roman" w:eastAsia="Times New Roman" w:hAnsi="Times New Roman"/>
          <w:b/>
          <w:bCs/>
          <w:color w:val="000000"/>
          <w:sz w:val="32"/>
          <w:szCs w:val="32"/>
        </w:rPr>
        <w:t xml:space="preserve">1. Introduction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Modern pharmacotherapy rarely involves a single drug. Across oncology, cardiology, and psychiatry, the standard of care has shifted decisively toward combination regimens of two to four agents. With pharmaceutical catalogues now exceeding ten thousand marketed and investigational entries, the number of feasible k-drug regimens stretches into the billions to quadrillions, depending on the therapeutic area and the permitted combination size. At this scale, exhaustive enumeration—even with rapid computational docking surrogates—is completely infeasible.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Two parallel developments have made the drug selection problem substantially harder. First, the rise of pharmacogenomics has established that polymorphisms in genes such as CYP2D6, CYP2C19, TPMT, DPYD, and HLA-B*57:01 can shift drug response by orders of magnitude. A regimen that is both safe and effective for the population average may be outright contraindicated for an individual carrying a susceptibility allele. The Clinical Pharmacogenetics Implementation Consortium (CPIC) and the Dutch Pharmacogenetics Working Group (DPWG) have now codified guidelines covering more than 120 drug–gene pairs, yet their integration into computational selection pipelines remains nascent. Second, drug repurposing—the redirection of approved molecules toward novel indications—flips the classical discovery problem: rather than designing a new ligand, the task is to identify the optimal existing compound or cocktail for a given disease signature and patient profile.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Genetic algorithms (GAs) are a natural fit for this combinatorial setting. They handle mixed discrete-continuous encodings gracefully, scale to large search spaces without enumeration, and their multi-objective extensions return a Pareto-optimal set of trade-off solutions rather than collapsing competing criteria into a single weighted score. Yet the published GA literature on drug selection has three persistent shortcomings: single-objective formulations that bury clinically important trade-offs; generic crossover and mutation operators that treat pharmacologically coherent drug combinations as interchangeable bit strings; and oracle calls to molecular docking and ADMET simulations that dominate runtime and force population sizes well below what convergence theory recommends.</w:t>
      </w:r>
    </w:p>
    <w:p>
      <w:pPr>
        <w:pStyle w:val="Heading2"/>
        <w:spacing w:after="120" w:before="240"/>
      </w:pPr>
      <w:r>
        <w:rPr>
          <w:rFonts w:ascii="Times New Roman" w:cs="Times New Roman" w:eastAsia="Times New Roman" w:hAnsi="Times New Roman"/>
          <w:b/>
          <w:bCs/>
          <w:color w:val="000000"/>
          <w:sz w:val="28"/>
          <w:szCs w:val="28"/>
        </w:rPr>
        <w:t xml:space="preserve">1.1 Motivation from a Parallel Processing Perspective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From an architectural standpoint, PharmaGA is a computation-intensive workload with multiple natural parallelism axes. Each generation of the evolutionary loop evaluates up to 400 candidate regimens; the subset requiring expensive oracle calls (approximately 130 per generation) is entirely independent and maps directly onto parallel execution. Beyond a single patient run, a hospital deployment must serve thousands of patient profiles simultaneously—each profile is an independent problem instance, enabling perfect embarrassing parallelism across the patient cohort. The surrogate model (LightGBM) is itself a gradient-boosted ensemble that exploits multi-core shared-memory parallelism during both training and inference. Together, these characteristics make PharmaGA an exemplary case study for the design principles taught in Parallel Processing and Architecture: task decomposition, data parallelism, synchronisation overhead management, and scalability analysis.</w:t>
      </w:r>
    </w:p>
    <w:p>
      <w:pPr>
        <w:pStyle w:val="Heading2"/>
        <w:spacing w:after="120" w:before="240"/>
      </w:pPr>
      <w:r>
        <w:rPr>
          <w:rFonts w:ascii="Times New Roman" w:cs="Times New Roman" w:eastAsia="Times New Roman" w:hAnsi="Times New Roman"/>
          <w:b/>
          <w:bCs/>
          <w:color w:val="000000"/>
          <w:sz w:val="28"/>
          <w:szCs w:val="28"/>
        </w:rPr>
        <w:t xml:space="preserve">1.2 Objectives of this Report</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This report has the following specific objectives:</w:t>
      </w:r>
    </w:p>
    <w:p>
      <w:pPr>
        <w:pStyle w:val="ListParagraph"/>
        <w:numPr>
          <w:ilvl w:val="0"/>
          <w:numId w:val="2"/>
        </w:numPr>
        <w:spacing w:after="60" w:before="60" w:line="276"/>
      </w:pPr>
      <w:r>
        <w:rPr>
          <w:rFonts w:ascii="Times New Roman" w:cs="Times New Roman" w:eastAsia="Times New Roman" w:hAnsi="Times New Roman"/>
          <w:sz w:val="24"/>
          <w:szCs w:val="24"/>
        </w:rPr>
        <w:t xml:space="preserve">To provide a comprehensive technical description of PharmaGA, including the problem formulation, algorithmic design, and implementation architecture.</w:t>
      </w:r>
    </w:p>
    <w:p>
      <w:pPr>
        <w:pStyle w:val="ListParagraph"/>
        <w:numPr>
          <w:ilvl w:val="0"/>
          <w:numId w:val="2"/>
        </w:numPr>
        <w:spacing w:after="60" w:before="60" w:line="276"/>
      </w:pPr>
      <w:r>
        <w:rPr>
          <w:rFonts w:ascii="Times New Roman" w:cs="Times New Roman" w:eastAsia="Times New Roman" w:hAnsi="Times New Roman"/>
          <w:sz w:val="24"/>
          <w:szCs w:val="24"/>
        </w:rPr>
        <w:t xml:space="preserve">To analyse the parallel processing opportunities embedded within PharmaGA—covering population-level parallelism, patient-cohort parallelism, and surrogate-training parallelism.</w:t>
      </w:r>
    </w:p>
    <w:p>
      <w:pPr>
        <w:pStyle w:val="ListParagraph"/>
        <w:numPr>
          <w:ilvl w:val="0"/>
          <w:numId w:val="2"/>
        </w:numPr>
        <w:spacing w:after="60" w:before="60" w:line="276"/>
      </w:pPr>
      <w:r>
        <w:rPr>
          <w:rFonts w:ascii="Times New Roman" w:cs="Times New Roman" w:eastAsia="Times New Roman" w:hAnsi="Times New Roman"/>
          <w:sz w:val="24"/>
          <w:szCs w:val="24"/>
        </w:rPr>
        <w:t xml:space="preserve">To present and interpret the experimental results, including aggregate performance benchmarks, per-therapeutic-area breakdowns, ablation studies, and a personalisation case study.</w:t>
      </w:r>
    </w:p>
    <w:p>
      <w:pPr>
        <w:pStyle w:val="ListParagraph"/>
        <w:numPr>
          <w:ilvl w:val="0"/>
          <w:numId w:val="2"/>
        </w:numPr>
        <w:spacing w:after="60" w:before="60" w:line="276"/>
      </w:pPr>
      <w:r>
        <w:rPr>
          <w:rFonts w:ascii="Times New Roman" w:cs="Times New Roman" w:eastAsia="Times New Roman" w:hAnsi="Times New Roman"/>
          <w:sz w:val="24"/>
          <w:szCs w:val="24"/>
        </w:rPr>
        <w:t xml:space="preserve">To discuss the scalability characteristics of PharmaGA under varying core counts and oracle budgets, and to evaluate its viability for real-time clinical deployment.</w:t>
      </w:r>
    </w:p>
    <w:p>
      <w:pPr>
        <w:pStyle w:val="ListParagraph"/>
        <w:numPr>
          <w:ilvl w:val="0"/>
          <w:numId w:val="2"/>
        </w:numPr>
        <w:spacing w:after="60" w:before="60" w:line="276"/>
      </w:pPr>
      <w:r>
        <w:rPr>
          <w:rFonts w:ascii="Times New Roman" w:cs="Times New Roman" w:eastAsia="Times New Roman" w:hAnsi="Times New Roman"/>
          <w:sz w:val="24"/>
          <w:szCs w:val="24"/>
        </w:rPr>
        <w:t xml:space="preserve">To identify current limitations and to outline directions for future work, including prospective clinical validation and conformal-prediction-calibrated surrogates.</w:t>
      </w:r>
    </w:p>
    <w:p>
      <w:pPr>
        <w:pStyle w:val="Heading1"/>
        <w:spacing w:after="180" w:before="360"/>
      </w:pPr>
      <w:r>
        <w:rPr>
          <w:rFonts w:ascii="Times New Roman" w:cs="Times New Roman" w:eastAsia="Times New Roman" w:hAnsi="Times New Roman"/>
          <w:b/>
          <w:bCs/>
          <w:color w:val="000000"/>
          <w:sz w:val="32"/>
          <w:szCs w:val="32"/>
        </w:rPr>
        <w:t xml:space="preserve">2. Related Work</w:t>
      </w:r>
    </w:p>
    <w:p>
      <w:pPr>
        <w:pStyle w:val="Heading2"/>
        <w:spacing w:after="120" w:before="240"/>
      </w:pPr>
      <w:r>
        <w:rPr>
          <w:rFonts w:ascii="Times New Roman" w:cs="Times New Roman" w:eastAsia="Times New Roman" w:hAnsi="Times New Roman"/>
          <w:b/>
          <w:bCs/>
          <w:color w:val="000000"/>
          <w:sz w:val="28"/>
          <w:szCs w:val="28"/>
        </w:rPr>
        <w:t xml:space="preserve">2.1 Evolutionary Computation in Drug Discovery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Genetic algorithms entered pharmaceutical research in the mid-1990s when Jones et al. introduced GOLD (Genetic Optimisation for Ligand Docking) for flexible ligand docking against protein binding sites. Subsequent work extended GAs to quantitative structure-activity relationship (QSAR) feature selection, de novo molecular design through graph-based chemical grammars, and combinatorial library optimisation. Jensen's graph-based GA for molecular generation has remained competitive against modern deep generative baselines. However, all of these efforts address the molecule design problem—generating novel chemical structures—rather than the molecule selection problem: choosing the best existing compounds from an approved catalogue for a specific patient. The fitness landscapes, encoding schemes, and genetic operators of molecule-generation GAs do not transfer to the selection setting.</w:t>
      </w:r>
    </w:p>
    <w:p>
      <w:pPr>
        <w:pStyle w:val="Heading2"/>
        <w:spacing w:after="120" w:before="240"/>
      </w:pPr>
      <w:r>
        <w:rPr>
          <w:rFonts w:ascii="Times New Roman" w:cs="Times New Roman" w:eastAsia="Times New Roman" w:hAnsi="Times New Roman"/>
          <w:b/>
          <w:bCs/>
          <w:color w:val="000000"/>
          <w:sz w:val="28"/>
          <w:szCs w:val="28"/>
        </w:rPr>
        <w:t xml:space="preserve">2.2 Multi-Objective Evolutionary Algorithms (MOEAs)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NSGA-II (Non-dominated Sorting Genetic Algorithm II) by Deb et al. and SPEA2 (Strength Pareto Evolutionary Algorithm 2) by Zitzler et al. are the de facto workhorses of multi-objective evolutionary computation. MOEA/D (Multi-Objective Evolutionary Algorithm based on Decomposition) by Zhang and Li provides a decomposition-based alternative that scales more comfortably beyond three objectives. Within drug discovery, multi-objective GAs have been applied to trade binding affinity against synthetic accessibility, but the objectives have remained molecular in nature and patient-level covariates have not appeared in the formulations. None of these algorithms incorporates pharmacogenomic conditioning into the selection process.</w:t>
      </w:r>
    </w:p>
    <w:p>
      <w:pPr>
        <w:pStyle w:val="Heading2"/>
        <w:spacing w:after="120" w:before="240"/>
      </w:pPr>
      <w:r>
        <w:rPr>
          <w:rFonts w:ascii="Times New Roman" w:cs="Times New Roman" w:eastAsia="Times New Roman" w:hAnsi="Times New Roman"/>
          <w:b/>
          <w:bCs/>
          <w:color w:val="000000"/>
          <w:sz w:val="28"/>
          <w:szCs w:val="28"/>
        </w:rPr>
        <w:t xml:space="preserve">2.3 Surrogate-Assisted Evolutionary Optimisation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When fitness evaluation is expensive—as with wet-lab assays or quantum-chemical ADMET simulations—surrogate-assisted evolutionary algorithms (SAEAs) replace some oracle calls with a regression model trained on previously evaluated individuals. Jin's influential survey classifies surrogates by the granularity at which they are applied: individual-level, population-level, or generation-level. The two dominant surrogate families are Gaussian processes, which offer native uncertainty quantification, and gradient-boosted trees, which scale better to the tabular descriptor spaces common in drug discovery. In the drug discovery literature, surrogate-assisted Bayesian optimisation has been applied to molecular docking score approximation, but the surrogate is rarely integrated into a multi-objective GA evaluation loop with adaptive uncertainty gating.</w:t>
      </w:r>
    </w:p>
    <w:p>
      <w:pPr>
        <w:pStyle w:val="Heading2"/>
        <w:spacing w:after="120" w:before="240"/>
      </w:pPr>
      <w:r>
        <w:rPr>
          <w:rFonts w:ascii="Times New Roman" w:cs="Times New Roman" w:eastAsia="Times New Roman" w:hAnsi="Times New Roman"/>
          <w:b/>
          <w:bCs/>
          <w:color w:val="000000"/>
          <w:sz w:val="28"/>
          <w:szCs w:val="28"/>
        </w:rPr>
        <w:t xml:space="preserve">2.4 Personalised Medicine and Pharmacogenomics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CPIC and DPWG pharmacogenomic guidelines now cover more than 120 drug–gene pairs, but their integration into computational drug-selection pipelines remains at an early stage. Algorithmic personalisation work to date has largely relied on rule-based decision trees or collaborative filtering over electronic health records. Neither formulation explicitly optimises a patient-conditional objective vector, and neither returns an inspectable Pareto front that a clinician can interrogate. PharmaGA fills precisely this gap by embedding pharmacogenomic covariates directly into the multi-objective fitness landscape and by exposing a full Pareto archive to the prescriber.</w:t>
      </w:r>
    </w:p>
    <w:p>
      <w:pPr>
        <w:pStyle w:val="Heading1"/>
        <w:spacing w:after="180" w:before="360"/>
      </w:pPr>
      <w:r>
        <w:rPr>
          <w:rFonts w:ascii="Times New Roman" w:cs="Times New Roman" w:eastAsia="Times New Roman" w:hAnsi="Times New Roman"/>
          <w:b/>
          <w:bCs/>
          <w:color w:val="000000"/>
          <w:sz w:val="32"/>
          <w:szCs w:val="32"/>
        </w:rPr>
        <w:t xml:space="preserve">3. Methodology</w:t>
      </w:r>
    </w:p>
    <w:p>
      <w:pPr>
        <w:pStyle w:val="Heading2"/>
        <w:spacing w:after="120" w:before="240"/>
      </w:pPr>
      <w:r>
        <w:rPr>
          <w:rFonts w:ascii="Times New Roman" w:cs="Times New Roman" w:eastAsia="Times New Roman" w:hAnsi="Times New Roman"/>
          <w:b/>
          <w:bCs/>
          <w:color w:val="000000"/>
          <w:sz w:val="28"/>
          <w:szCs w:val="28"/>
        </w:rPr>
        <w:t xml:space="preserve">3.1 System Architecture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PharmaGA is organised into three functional layers, as illustrated conceptually in Figure 1. The evolutionary engine (blue) handles population initialisation, parent selection via niched tournament, offspring generation through MCX crossover and adaptive mutation, and environmental selection. The fitness layer (red) routes each candidate regimen to either the cheap gradient-boosted surrogate or the expensive oracle, depending on the surrogate's uncertainty estimate. The output stage (green) maintains an external Pareto archive and, at termination, returns a ranked set of regimens tailored to the target patient profile.</w:t>
      </w:r>
    </w:p>
    <w:p>
      <w:pPr>
        <w:spacing w:after="200" w:before="80"/>
        <w:jc w:val="center"/>
      </w:pPr>
      <w:r>
        <w:rPr>
          <w:rFonts w:ascii="Times New Roman" w:cs="Times New Roman" w:eastAsia="Times New Roman" w:hAnsi="Times New Roman"/>
          <w:i/>
          <w:iCs/>
          <w:sz w:val="22"/>
          <w:szCs w:val="22"/>
        </w:rPr>
        <w:t xml:space="preserve">Figure 1. PharmaGA three-layer system architecture. The evolutionary engine (blue) generates and selects candidate regimens; the fitness layer (red) evaluates them using a surrogate-oracle hierarchy; the output stage (green) maintains the Pareto archive and delivers personalised recommendations.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Inputs to the system are the drug library D (N = 1,842 compounds), the target patient profile x_p (a vector of demographic, biochemical, and pharmacogenomic covariates), and the drug–target annotation graph T. These three inputs jointly condition every evaluation and operator in the algorithm, ensuring that all outputs are genuinely patient-specific.</w:t>
      </w:r>
    </w:p>
    <w:p>
      <w:pPr>
        <w:pStyle w:val="Heading2"/>
        <w:spacing w:after="120" w:before="240"/>
      </w:pPr>
      <w:r>
        <w:rPr>
          <w:rFonts w:ascii="Times New Roman" w:cs="Times New Roman" w:eastAsia="Times New Roman" w:hAnsi="Times New Roman"/>
          <w:b/>
          <w:bCs/>
          <w:color w:val="000000"/>
          <w:sz w:val="28"/>
          <w:szCs w:val="28"/>
        </w:rPr>
        <w:t xml:space="preserve">3.2 Problem Formulation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Let D = {d₁, d₂, …, d_N} be the drug library, where each compound d_i carries a descriptor vector φ(d_i) concatenating its Morgan fingerprint with physicochemical and ADMET features. A patient profile p ∈ P is a vector x_p ∈ ℝq holding demographic, biochemical, and pharmacogenomic covariates. A candidate regimen is encoded as:</w:t>
      </w:r>
    </w:p>
    <w:p>
      <w:pPr>
        <w:spacing w:after="120" w:before="120"/>
        <w:jc w:val="center"/>
      </w:pPr>
      <w:r>
        <w:rPr>
          <w:rFonts w:ascii="Times New Roman" w:cs="Times New Roman" w:eastAsia="Times New Roman" w:hAnsi="Times New Roman"/>
          <w:i/>
          <w:iCs/>
          <w:sz w:val="24"/>
          <w:szCs w:val="24"/>
        </w:rPr>
        <w:t xml:space="preserve">s = ⟨(d_i₁, δ_i₁), (d_i₂, δ_i₂), …, (d_ik, δ_ik)⟩,   k ≤ K_max</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where d_ij ∈ D is the j-th selected drug and δ_ij ∈ {1, …, L} is its dose-bin index. The combination size k is a decision variable bounded by the clinical cap K_max = 4. Four objectives are defined over this encoding:</w:t>
      </w:r>
    </w:p>
    <w:p>
      <w:pPr>
        <w:pStyle w:val="ListParagraph"/>
        <w:numPr>
          <w:ilvl w:val="0"/>
          <w:numId w:val="2"/>
        </w:numPr>
        <w:spacing w:after="60" w:before="60" w:line="276"/>
      </w:pPr>
      <w:r>
        <w:rPr>
          <w:rFonts w:ascii="Times New Roman" w:cs="Times New Roman" w:eastAsia="Times New Roman" w:hAnsi="Times New Roman"/>
          <w:sz w:val="24"/>
          <w:szCs w:val="24"/>
        </w:rPr>
        <w:t xml:space="preserve">f₁(s, p): Predicted efficacy — the probability that the regimen meets a pre-specified clinical endpoint, estimated by a disease-specific response model conditioned on x_p. This objective is maximised.</w:t>
      </w:r>
    </w:p>
    <w:p>
      <w:pPr>
        <w:pStyle w:val="ListParagraph"/>
        <w:numPr>
          <w:ilvl w:val="0"/>
          <w:numId w:val="2"/>
        </w:numPr>
        <w:spacing w:after="60" w:before="60" w:line="276"/>
      </w:pPr>
      <w:r>
        <w:rPr>
          <w:rFonts w:ascii="Times New Roman" w:cs="Times New Roman" w:eastAsia="Times New Roman" w:hAnsi="Times New Roman"/>
          <w:sz w:val="24"/>
          <w:szCs w:val="24"/>
        </w:rPr>
        <w:t xml:space="preserve">f₂(s, p): Toxicity burden — an aggregate score over cardiotoxic, hepatotoxic, nephrotoxic, and idiosyncratic-reaction probabilities pulled from ADMET predictors and HLA risk alleles. Minimised.</w:t>
      </w:r>
    </w:p>
    <w:p>
      <w:pPr>
        <w:pStyle w:val="ListParagraph"/>
        <w:numPr>
          <w:ilvl w:val="0"/>
          <w:numId w:val="2"/>
        </w:numPr>
        <w:spacing w:after="60" w:before="60" w:line="276"/>
      </w:pPr>
      <w:r>
        <w:rPr>
          <w:rFonts w:ascii="Times New Roman" w:cs="Times New Roman" w:eastAsia="Times New Roman" w:hAnsi="Times New Roman"/>
          <w:sz w:val="24"/>
          <w:szCs w:val="24"/>
        </w:rPr>
        <w:t xml:space="preserve">f₃(s, p): Pharmacokinetic (PK) mismatch — a penalty on drugs whose primary metabolising enzymes correspond to poor-metaboliser genotypes present in x_p. Minimised.</w:t>
      </w:r>
    </w:p>
    <w:p>
      <w:pPr>
        <w:pStyle w:val="ListParagraph"/>
        <w:numPr>
          <w:ilvl w:val="0"/>
          <w:numId w:val="2"/>
        </w:numPr>
        <w:spacing w:after="60" w:before="60" w:line="276"/>
      </w:pPr>
      <w:r>
        <w:rPr>
          <w:rFonts w:ascii="Times New Roman" w:cs="Times New Roman" w:eastAsia="Times New Roman" w:hAnsi="Times New Roman"/>
          <w:sz w:val="24"/>
          <w:szCs w:val="24"/>
        </w:rPr>
        <w:t xml:space="preserve">f₄(s): Drug–drug interaction (DDI) risk — computed from pairwise CYP inhibition and induction tables across all drugs in the regimen. Minimised.</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optimisation problem is:</w:t>
      </w:r>
    </w:p>
    <w:p>
      <w:pPr>
        <w:spacing w:after="120" w:before="120"/>
        <w:jc w:val="center"/>
      </w:pPr>
      <w:r>
        <w:rPr>
          <w:rFonts w:ascii="Times New Roman" w:cs="Times New Roman" w:eastAsia="Times New Roman" w:hAnsi="Times New Roman"/>
          <w:i/>
          <w:iCs/>
          <w:sz w:val="24"/>
          <w:szCs w:val="24"/>
        </w:rPr>
        <w:t xml:space="preserve">min_{s∈Sp} F(s, p) = ⟨−f₁(s, p), f₂(s, p), f₃(s, p), f₄(s)⟩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subject to hard clinical feasibility constraints: no absolute contraindications, no duplicated mechanisms, and a total regimen size of at most K_max. The target is the Pareto optimal set P*_p—the set of regimens in the feasible space for patient p such that no other feasible regimen dominates on all four objectives simultaneously.</w:t>
      </w:r>
    </w:p>
    <w:p>
      <w:pPr>
        <w:pStyle w:val="Heading2"/>
        <w:spacing w:after="120" w:before="240"/>
      </w:pPr>
      <w:r>
        <w:rPr>
          <w:rFonts w:ascii="Times New Roman" w:cs="Times New Roman" w:eastAsia="Times New Roman" w:hAnsi="Times New Roman"/>
          <w:b/>
          <w:bCs/>
          <w:color w:val="000000"/>
          <w:sz w:val="28"/>
          <w:szCs w:val="28"/>
        </w:rPr>
        <w:t xml:space="preserve">3.3 Chromosome Encoding</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Each chromosome is a variable-length list of (drug-id, dose-bin) integer tuples, padded to length K_max with a sentinel null gene. Integer encoding is preferred over binary encoding: when the library size N is not a power of two, binary schemes introduce redundancy that serves no useful purpose in the selection setting. Dose bins are discrete integers from 1 to L = 5, representing coarse dose levels (sub-therapeutic, low, standard, high, and supra-therapeutic) that can be mapped to standard formulary entries in a clinical deployment.</w:t>
      </w:r>
    </w:p>
    <w:p>
      <w:pPr>
        <w:pStyle w:val="Heading2"/>
        <w:spacing w:after="120" w:before="240"/>
      </w:pPr>
      <w:r>
        <w:rPr>
          <w:rFonts w:ascii="Times New Roman" w:cs="Times New Roman" w:eastAsia="Times New Roman" w:hAnsi="Times New Roman"/>
          <w:b/>
          <w:bCs/>
          <w:color w:val="000000"/>
          <w:sz w:val="28"/>
          <w:szCs w:val="28"/>
        </w:rPr>
        <w:t xml:space="preserve">3.4 Population Initialisation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initial population of μ = 200 chromosomes is seeded from a stratified mixture designed to ensure broad coverage of the search space without discarding clinically relevant starting points. Thirty percent of chromosomes are drawn uniformly at random from the drug library (exploration component). Another thirty percent are monotherapy regimens drawn from published clinical first-line guidelines for the target therapeutic area (exploitation of domain knowledge). The remaining forty percent are sampled using a determinantal point process (DPP) operating over the drug–target bipartite graph, which biases the sample toward regimens covering mechanistically diverse pathways and thereby discourages early convergence to a narrow pathway cluster.</w:t>
      </w:r>
    </w:p>
    <w:p>
      <w:pPr>
        <w:pStyle w:val="Heading2"/>
        <w:spacing w:after="120" w:before="240"/>
      </w:pPr>
      <w:r>
        <w:rPr>
          <w:rFonts w:ascii="Times New Roman" w:cs="Times New Roman" w:eastAsia="Times New Roman" w:hAnsi="Times New Roman"/>
          <w:b/>
          <w:bCs/>
          <w:color w:val="000000"/>
          <w:sz w:val="28"/>
          <w:szCs w:val="28"/>
        </w:rPr>
        <w:t xml:space="preserve">3.5 Mechanism-Complementarity Crossover (MCX)</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Standard crossover operators—one-point, two-point, and uniform—assume that gene positions are interchangeable with respect to the fitness landscape. This assumption breaks down catastrophically for drug regimens, where pharmacological coherence is intrinsically non-local. A beta-blocker and an ACE inhibitor form a coherent pair because they target complementary branches of the renin-angiotensin-aldosterone system; splitting that pair along an arbitrary crossover point produces offspring that are biologically nonsensical.</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MCX addresses this deficiency by operating on pharmacological structure rather than chromosome position. Let T(d) be the set of annotated molecular targets of drug d. For parents s⁽¹⁾ and s⁽²⁾, MCX constructs a bipartite graph G whose left vertices are drugs drawn from s⁽¹⁾ ∪ s⁽²⁾, whose right vertices are the union of their targets, and whose edges connect each drug to the targets it modulates. A greedy maximum-weight matching procedure on G then extracts a set C = {C₁, …, C_r} of mechanistically disjoint drug clusters. Two offspring are produced by distributing whole clusters between them, so that each child inherits pharmacologically intact cluster rather than fragments. The key constraint is that each offspring must satisfy |s⁽ᶜ⁾| ≤ K_max.</w:t>
      </w:r>
    </w:p>
    <w:p>
      <w:pPr>
        <w:spacing w:after="200" w:before="80"/>
        <w:jc w:val="center"/>
      </w:pPr>
      <w:r>
        <w:rPr>
          <w:rFonts w:ascii="Times New Roman" w:cs="Times New Roman" w:eastAsia="Times New Roman" w:hAnsi="Times New Roman"/>
          <w:i/>
          <w:iCs/>
          <w:sz w:val="22"/>
          <w:szCs w:val="22"/>
        </w:rPr>
        <w:t xml:space="preserve">Figure 2. Mechanism-Complementarity Crossover (MCX). Drugs from both parents are placed on the left of a bipartite graph, with molecular targets on the right. A greedy routine extracts mechanistically disjoint clusters; offspring inherit whole clusters, preserving pathway-coherent drug pairs such as the RAAS-blocking β-blocker and ACE inhibitor combination.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ablation study confirms that MCX is the single component whose removal most degrades performance: removing MCX drops hypervolume by 5.7 percentage points and raises IGD by 31.9%, a larger impact than removing the surrogate, patient niching, pharmacogenomic conditioning, or adaptive mutation individually.</w:t>
      </w:r>
    </w:p>
    <w:p>
      <w:pPr>
        <w:pStyle w:val="Heading2"/>
        <w:spacing w:after="120" w:before="240"/>
      </w:pPr>
      <w:r>
        <w:rPr>
          <w:rFonts w:ascii="Times New Roman" w:cs="Times New Roman" w:eastAsia="Times New Roman" w:hAnsi="Times New Roman"/>
          <w:b/>
          <w:bCs/>
          <w:color w:val="000000"/>
          <w:sz w:val="28"/>
          <w:szCs w:val="28"/>
        </w:rPr>
        <w:t xml:space="preserve">3.6 Adaptive Mutation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Three mutation operators are applied stochastically to each offspring, with one selected per application: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Drug substitution: replaces a selected drug d_ij with a nearest neighbour in molecular-fingerprint space (Tanimoto similarity ≥ 0.6), which tends to preserve the mechanism of action while nudging pharmacokinetic parameters.</w:t>
      </w:r>
    </w:p>
    <w:p>
      <w:pPr>
        <w:pStyle w:val="ListParagraph"/>
        <w:numPr>
          <w:ilvl w:val="0"/>
          <w:numId w:val="2"/>
        </w:numPr>
        <w:spacing w:after="60" w:before="60" w:line="276"/>
      </w:pPr>
      <w:r>
        <w:rPr>
          <w:rFonts w:ascii="Times New Roman" w:cs="Times New Roman" w:eastAsia="Times New Roman" w:hAnsi="Times New Roman"/>
          <w:sz w:val="24"/>
          <w:szCs w:val="24"/>
        </w:rPr>
        <w:t xml:space="preserve">Dose perturbation: shifts the dose-bin index δ_ij by ±1, allowing the algorithm to explore the dose-response surface around a chosen drug combination.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Regimen resize: adds or removes a drug gene, with the add/remove probability weighted by the current Pareto-front diversity to avoid premature convergence to fixed-size regimens.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mutation rate p_m is governed by a Rechenberg-style self-adaptive rule: p_m is multiplied by exp(β(r − 1/5)) each generation, where r is the fraction of mutations that produced non-dominated offspring in the previous generation and β = 0.3. This rule drives the mutation rate upward when the search is stagnating and downward when it is productive, maintaining a balance between exploration and exploitation throughout the run.</w:t>
      </w:r>
    </w:p>
    <w:p>
      <w:pPr>
        <w:pStyle w:val="Heading2"/>
        <w:spacing w:after="120" w:before="240"/>
      </w:pPr>
      <w:r>
        <w:rPr>
          <w:rFonts w:ascii="Times New Roman" w:cs="Times New Roman" w:eastAsia="Times New Roman" w:hAnsi="Times New Roman"/>
          <w:b/>
          <w:bCs/>
          <w:color w:val="000000"/>
          <w:sz w:val="28"/>
          <w:szCs w:val="28"/>
        </w:rPr>
        <w:t xml:space="preserve">3.7 Two-Stage Surrogate-Assisted Fitness Evaluation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most expensive component of a MOEA applied to drug selection is the fitness oracle—molecular docking for efficacy and ADMET simulation for toxicity and pharmacokinetics. A single oracle call can take several seconds on high-performance hardware; at population size μ = 200 across G_max = 150 generations, unconstrained oracle usage would be computationally prohibitive.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PharmaGA employs a two-stage evaluation scheme. In the first stage, every offspring regimen s is evaluated by a gradient-boosted surrogate F̂_θ(s, p), specifically a LightGBM model with quantile loss trained on the pool of regimens already evaluated by the oracle. The surrogate returns both a fitness prediction f̂ and a predictive uncertainty estimate σ̂_θ(s, p). In the second stage, a candidate is escalated to the expensive oracle F(s, p) only when σ̂ exceeds an adaptive threshold τ and the oracle budget B has not been exhausted; otherwise the surrogate prediction is accepted as-is.</w:t>
      </w:r>
    </w:p>
    <w:p>
      <w:pPr>
        <w:spacing w:after="200" w:before="80"/>
        <w:jc w:val="center"/>
      </w:pPr>
      <w:r>
        <w:rPr>
          <w:rFonts w:ascii="Times New Roman" w:cs="Times New Roman" w:eastAsia="Times New Roman" w:hAnsi="Times New Roman"/>
          <w:i/>
          <w:iCs/>
          <w:sz w:val="22"/>
          <w:szCs w:val="22"/>
        </w:rPr>
        <w:t xml:space="preserve">Figure 3. Two-stage surrogate-assisted evaluation control flow. Each offspring is first scored by LightGBM; if predictive uncertainty exceeds the adaptive threshold τ and budget remains, the expensive oracle is invoked. Oracle results are appended to the surrogate training set, closing an active-learning loop.</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threshold τ is adapted generation-by-generation to maintain a roughly constant oracle fraction of approximately 33%, meaning the surrogate absorbs about two-thirds of all evaluations. This scheme achieves a 38× wall-clock speedup relative to oracle-only evaluation while preserving 94% rank correlation, as measured by Kendall's τ between surrogate and oracle rankings over held-out regimen sets. Critically, surrogate training is itself embarrassingly parallel within LightGBM's multi-threaded tree-construction algorithm.</w:t>
      </w:r>
    </w:p>
    <w:p>
      <w:pPr>
        <w:pStyle w:val="Heading2"/>
        <w:spacing w:after="120" w:before="240"/>
      </w:pPr>
      <w:r>
        <w:rPr>
          <w:rFonts w:ascii="Times New Roman" w:cs="Times New Roman" w:eastAsia="Times New Roman" w:hAnsi="Times New Roman"/>
          <w:b/>
          <w:bCs/>
          <w:color w:val="000000"/>
          <w:sz w:val="28"/>
          <w:szCs w:val="28"/>
        </w:rPr>
        <w:t xml:space="preserve">3.8 Selection and Niching</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Environmental selection follows NSGA-II's non-dominated sorting and crowding-distance tournament scheme, with one significant modification. Within each non-dominated front, the crowding distance metric is augmented by a patient-niching term that rewards solutions whose objective values are informative about the patient-specific covariates x_p. Formally, solutions for which ‖∂F/∂x_p‖ is large—meaning that small changes in the patient's genomic profile would significantly alter which solutions are Pareto-optimal—receive a niche premium. This drives the search toward regions of objective space where the returned regimens are genuinely sensitive to patient identity, rather than returning population-level recommendations that happen to lie on a Pareto front.</w:t>
      </w:r>
    </w:p>
    <w:p>
      <w:pPr>
        <w:pStyle w:val="Heading2"/>
        <w:spacing w:after="120" w:before="240"/>
      </w:pPr>
      <w:r>
        <w:rPr>
          <w:rFonts w:ascii="Times New Roman" w:cs="Times New Roman" w:eastAsia="Times New Roman" w:hAnsi="Times New Roman"/>
          <w:b/>
          <w:bCs/>
          <w:color w:val="000000"/>
          <w:sz w:val="28"/>
          <w:szCs w:val="28"/>
        </w:rPr>
        <w:t xml:space="preserve">3.9 PharmaGA Algorithm (Pseudocode Summary)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complete PharmaGA loop is summarised below. Given the drug library D, patient profile p, target annotation graph T, population and offspring sizes μ and λ, generation limit G_max, and oracle budget B, the algorithm maintains an external Pareto archive A* that is returned at termination.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Initialise population P of size μ using stratified seeding; evaluate with oracle; fit surrogate F̂_θ.</w:t>
      </w:r>
    </w:p>
    <w:p>
      <w:pPr>
        <w:pStyle w:val="ListParagraph"/>
        <w:numPr>
          <w:ilvl w:val="0"/>
          <w:numId w:val="2"/>
        </w:numPr>
        <w:spacing w:after="60" w:before="60" w:line="276"/>
      </w:pPr>
      <w:r>
        <w:rPr>
          <w:rFonts w:ascii="Times New Roman" w:cs="Times New Roman" w:eastAsia="Times New Roman" w:hAnsi="Times New Roman"/>
          <w:sz w:val="24"/>
          <w:szCs w:val="24"/>
        </w:rPr>
        <w:t xml:space="preserve">For t = 1 to G_max: select parents by niched tournament; apply MCX crossover; apply adaptive mutation; evaluate offspring with surrogate/oracle two-stage scheme; perform environmental selection; update archive A*; refit surrogate incrementally; adapt τ and p_m.</w:t>
      </w:r>
    </w:p>
    <w:p>
      <w:pPr>
        <w:pStyle w:val="ListParagraph"/>
        <w:numPr>
          <w:ilvl w:val="0"/>
          <w:numId w:val="2"/>
        </w:numPr>
        <w:spacing w:after="60" w:before="60" w:line="276"/>
      </w:pPr>
      <w:r>
        <w:rPr>
          <w:rFonts w:ascii="Times New Roman" w:cs="Times New Roman" w:eastAsia="Times New Roman" w:hAnsi="Times New Roman"/>
          <w:sz w:val="24"/>
          <w:szCs w:val="24"/>
        </w:rPr>
        <w:t xml:space="preserve">Return A* — the complete Pareto archive of non-dominated regimens for patient p.</w:t>
      </w:r>
    </w:p>
    <w:p>
      <w:pPr>
        <w:pStyle w:val="Heading2"/>
        <w:spacing w:after="120" w:before="240"/>
      </w:pPr>
      <w:r>
        <w:rPr>
          <w:rFonts w:ascii="Times New Roman" w:cs="Times New Roman" w:eastAsia="Times New Roman" w:hAnsi="Times New Roman"/>
          <w:b/>
          <w:bCs/>
          <w:color w:val="000000"/>
          <w:sz w:val="28"/>
          <w:szCs w:val="28"/>
        </w:rPr>
        <w:t xml:space="preserve">3.10 Personalisation Fidelity Metric</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Conventional multi-objective metrics—hypervolume and inverted generational distance—assess solution quality but not whether the returned solutions are genuinely tailored to the specific patient. A Pareto front that would remain unchanged if the patient's pharmacogenomic profile were replaced by an arbitrary alternative is not truly personalised; it is a population-level recommendation.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PharmaGA introduces a personalisation fidelity (PF) score to measure this distinction formally:</w:t>
      </w:r>
    </w:p>
    <w:p>
      <w:pPr>
        <w:spacing w:after="120" w:before="120"/>
        <w:jc w:val="center"/>
      </w:pPr>
      <w:r>
        <w:rPr>
          <w:rFonts w:ascii="Times New Roman" w:cs="Times New Roman" w:eastAsia="Times New Roman" w:hAnsi="Times New Roman"/>
          <w:i/>
          <w:iCs/>
          <w:sz w:val="24"/>
          <w:szCs w:val="24"/>
        </w:rPr>
        <w:t xml:space="preserve">PF(A, p) = 1 − (1/|A|) · Σ_{s∈A} Pr[s ∈ P*_{p'} | p' ~ π(·|p)]</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where π(·|p) is a uniform distribution over patient profiles matched to p on coarse demographics but differing in pharmacogenomic markers. A PF score close to 1 indicates that the returned solutions would not remain Pareto-optimal for a genetically distinct profile—meaning the algorithm has done genuine personalisation work. A low PF score indicates that the algorithm is returning population-level advice dressed up as personalised recommendations.</w:t>
      </w:r>
    </w:p>
    <w:p>
      <w:pPr>
        <w:pStyle w:val="Heading1"/>
        <w:spacing w:after="180" w:before="360"/>
      </w:pPr>
      <w:r>
        <w:rPr>
          <w:rFonts w:ascii="Times New Roman" w:cs="Times New Roman" w:eastAsia="Times New Roman" w:hAnsi="Times New Roman"/>
          <w:b/>
          <w:bCs/>
          <w:color w:val="000000"/>
          <w:sz w:val="32"/>
          <w:szCs w:val="32"/>
        </w:rPr>
        <w:t xml:space="preserve">4. Parallel Processing Analysis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 central theme of this report, from the perspective of the Parallel Processing and Architecture course, is the identification and exploitation of parallelism in PharmaGA. The algorithm presents four natural parallelism axes, each mapping onto a distinct architectural pattern.</w:t>
      </w:r>
    </w:p>
    <w:p>
      <w:pPr>
        <w:pStyle w:val="Heading2"/>
        <w:spacing w:after="120" w:before="240"/>
      </w:pPr>
      <w:r>
        <w:rPr>
          <w:rFonts w:ascii="Times New Roman" w:cs="Times New Roman" w:eastAsia="Times New Roman" w:hAnsi="Times New Roman"/>
          <w:b/>
          <w:bCs/>
          <w:color w:val="000000"/>
          <w:sz w:val="28"/>
          <w:szCs w:val="28"/>
        </w:rPr>
        <w:t xml:space="preserve">4.1 Population-Level Oracle Parallelism (Task Parallelism)</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In each generation, λ = 200 offspring regimens are generated and must be evaluated. Approximately one-third of these (≈130) fail the surrogate uncertainty check and are escalated to the expensive oracle. Each oracle call—comprising an AutoDock Vina docking simulation for efficacy and an ADMET calculation for toxicity and pharmacokinetics—is entirely independent of every other oracle call in the same generation. There are no inter-call data dependencies, no shared mutable state, and no communication requirement. This is a textbook task-parallel workload: a fixed pool of 130 independent tasks can be dispatched to P workers, each executing one task at a time, with synchronisation only at the generation boundary before environmental selection.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On 8 cores with oracle parallelism, wall-clock time per patient run drops from 167 seconds (sequential) to approximately 32 seconds—a 5.2× speedup. The theoretical maximum for this stage alone, using Amdahl's law with the oracle fraction at 67% of total runtime, is approximately 6.8× on 8 cores.</w:t>
      </w:r>
    </w:p>
    <w:p>
      <w:pPr>
        <w:pStyle w:val="Heading2"/>
        <w:spacing w:after="120" w:before="240"/>
      </w:pPr>
      <w:r>
        <w:rPr>
          <w:rFonts w:ascii="Times New Roman" w:cs="Times New Roman" w:eastAsia="Times New Roman" w:hAnsi="Times New Roman"/>
          <w:b/>
          <w:bCs/>
          <w:color w:val="000000"/>
          <w:sz w:val="28"/>
          <w:szCs w:val="28"/>
        </w:rPr>
        <w:t xml:space="preserve">4.2 Patient-Cohort Parallelism (Embarrassing Parallelism)</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A hospital deployment of PharmaGA must serve a cohort of many patient profiles, not just one. Because each patient's optimisation problem is entirely independent of every other patient's—the drug library is shared but read-only, and the evolutionary state (population, archive, surrogate model) is per-patient—the cohort can be distributed across worker processes with zero communication overhead. This is the ideal embarrassing parallelism scenario.</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With 64 cores serving a cohort of 500 patients, the per-patient wall-clock time falls to approximately 38 seconds. Extrapolating to a hospital-scale deployment of 10,000 drug candidates and millions of patient profiles, this architecture keeps per-patient latency within clinically actionable bounds, provided sufficient compute resources are allocated. The experimental results confirm that full-cohort parallel execution on 64 cores achieves a total throughput of approximately 500 patients in under 5.5 hours without any cross-patient communication.</w:t>
      </w:r>
    </w:p>
    <w:p>
      <w:pPr>
        <w:pStyle w:val="Heading2"/>
        <w:spacing w:after="120" w:before="240"/>
      </w:pPr>
      <w:r>
        <w:rPr>
          <w:rFonts w:ascii="Times New Roman" w:cs="Times New Roman" w:eastAsia="Times New Roman" w:hAnsi="Times New Roman"/>
          <w:b/>
          <w:bCs/>
          <w:color w:val="000000"/>
          <w:sz w:val="28"/>
          <w:szCs w:val="28"/>
        </w:rPr>
        <w:t xml:space="preserve">4.3 Surrogate Retraining Parallelism (Data Parallelism)</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LightGBM surrogate is retrained incrementally at the end of each generation as new oracle evaluations are appended to the training set. LightGBM's gradient-boosted tree construction internally uses multi-threaded histogram-based node splitting, which is a data-parallel operation: the training data are partitioned across threads, each thread computes partial histograms over its partition, and the partial histograms are reduced to find the optimal split point. This parallelism is transparent to the PharmaGA algorithm—it requires only setting the num_threads parameter in the LightGBM configuration—and achieves near-linear scaling up to approximately 16 threads before diminishing returns from histogram reduction overhead dominate.</w:t>
      </w:r>
    </w:p>
    <w:p>
      <w:pPr>
        <w:pStyle w:val="Heading2"/>
        <w:spacing w:after="120" w:before="240"/>
      </w:pPr>
      <w:r>
        <w:rPr>
          <w:rFonts w:ascii="Times New Roman" w:cs="Times New Roman" w:eastAsia="Times New Roman" w:hAnsi="Times New Roman"/>
          <w:b/>
          <w:bCs/>
          <w:color w:val="000000"/>
          <w:sz w:val="28"/>
          <w:szCs w:val="28"/>
        </w:rPr>
        <w:t xml:space="preserve">4.4 Non-Dominated Sorting and Selection Parallelism</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Non-dominated sorting over a population of size μ+λ = 400 solutions in M = 4 objective dimensions has time complexity O(M(μ+λ)²). For the parameter settings used in PharmaGA, this amounts to approximately 640,000 dominance comparisons per generation. Each comparison between a pair of solutions (s_i, s_j) is independent, enabling the sorting phase to be parallelised at the comparison level. In practice, however, this phase contributes only a small fraction of total runtime—the oracle calls dominate—so the speedup from parallelising sorting is modest relative to oracle parallelism.</w:t>
      </w:r>
    </w:p>
    <w:p>
      <w:pPr>
        <w:pStyle w:val="Heading2"/>
        <w:spacing w:after="120" w:before="240"/>
      </w:pPr>
      <w:r>
        <w:rPr>
          <w:rFonts w:ascii="Times New Roman" w:cs="Times New Roman" w:eastAsia="Times New Roman" w:hAnsi="Times New Roman"/>
          <w:b/>
          <w:bCs/>
          <w:color w:val="000000"/>
          <w:sz w:val="28"/>
          <w:szCs w:val="28"/>
        </w:rPr>
        <w:t xml:space="preserve">4.5 Projected Wall-Clock Times</w:t>
      </w:r>
    </w:p>
    <w:p>
      <w:pPr>
        <w:spacing w:after="80" w:before="200"/>
        <w:jc w:val="center"/>
      </w:pPr>
      <w:r>
        <w:rPr>
          <w:rFonts w:ascii="Times New Roman" w:cs="Times New Roman" w:eastAsia="Times New Roman" w:hAnsi="Times New Roman"/>
          <w:b/>
          <w:bCs/>
          <w:sz w:val="22"/>
          <w:szCs w:val="22"/>
        </w:rPr>
        <w:t xml:space="preserve">Table 4. Projected wall-clock time for a single patient run (B = 5,000 oracle calls) under different hardware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c>
          <w:tcPr>
            <w:tcW w:type="dxa" w:w="37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Configuration</w:t>
            </w:r>
          </w:p>
        </w:tc>
        <w:tc>
          <w:tcPr>
            <w:tcW w:type="dxa" w:w="2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Wall-Clock Time (B=5,000)</w:t>
            </w:r>
          </w:p>
        </w:tc>
        <w:tc>
          <w:tcPr>
            <w:tcW w:type="dxa" w:w="2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Notes</w:t>
            </w:r>
          </w:p>
        </w:tc>
      </w:tr>
      <w:tr>
        <w:tc>
          <w:tcPr>
            <w:tcW w:type="dxa" w:w="37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 core (sequential)</w:t>
            </w:r>
          </w:p>
        </w:tc>
        <w:tc>
          <w:tcPr>
            <w:tcW w:type="dxa" w:w="2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~167 s</w:t>
            </w:r>
          </w:p>
        </w:tc>
        <w:tc>
          <w:tcPr>
            <w:tcW w:type="dxa" w:w="2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Baseline</w:t>
            </w:r>
          </w:p>
        </w:tc>
      </w:tr>
      <w:tr>
        <w:tc>
          <w:tcPr>
            <w:tcW w:type="dxa" w:w="37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 cores (oracle parallelism)</w:t>
            </w:r>
          </w:p>
        </w:tc>
        <w:tc>
          <w:tcPr>
            <w:tcW w:type="dxa" w:w="2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~32 s</w:t>
            </w:r>
          </w:p>
        </w:tc>
        <w:tc>
          <w:tcPr>
            <w:tcW w:type="dxa" w:w="2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5.2× speedup</w:t>
            </w:r>
          </w:p>
        </w:tc>
      </w:tr>
      <w:tr>
        <w:tc>
          <w:tcPr>
            <w:tcW w:type="dxa" w:w="37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64 cores, full patient cohort</w:t>
            </w:r>
          </w:p>
        </w:tc>
        <w:tc>
          <w:tcPr>
            <w:tcW w:type="dxa" w:w="2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~38 s / patient</w:t>
            </w:r>
          </w:p>
        </w:tc>
        <w:tc>
          <w:tcPr>
            <w:tcW w:type="dxa" w:w="2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Clinical scale</w:t>
            </w:r>
          </w:p>
        </w:tc>
      </w:tr>
    </w:tbl>
    <w:p>
      <w:pPr>
        <w:spacing w:after="200" w:before="80"/>
        <w:jc w:val="center"/>
      </w:pPr>
      <w:r>
        <w:rPr>
          <w:rFonts w:ascii="Times New Roman" w:cs="Times New Roman" w:eastAsia="Times New Roman" w:hAnsi="Times New Roman"/>
          <w:i/>
          <w:iCs/>
          <w:sz w:val="22"/>
          <w:szCs w:val="22"/>
        </w:rPr>
        <w:t xml:space="preserve">Figure 4. Wall-clock time scaling with core count. Oracle parallelism (Bottleneck 1) yields the largest speedup for a single patient run; cohort parallelism (Bottleneck 2) is the dominant mechanism at hospital scale.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parallel computing results confirm that PharmaGA transitions from a theoretically sound but computationally prohibitive algorithm into a clinically viable system as the number of available cores increases. The authors note that in a real deployment, oracle calls would be the primary bottleneck and the primary beneficiary of hardware scaling.</w:t>
      </w:r>
    </w:p>
    <w:p>
      <w:pPr>
        <w:pStyle w:val="Heading1"/>
        <w:spacing w:after="180" w:before="360"/>
      </w:pPr>
      <w:r>
        <w:rPr>
          <w:rFonts w:ascii="Times New Roman" w:cs="Times New Roman" w:eastAsia="Times New Roman" w:hAnsi="Times New Roman"/>
          <w:b/>
          <w:bCs/>
          <w:color w:val="000000"/>
          <w:sz w:val="32"/>
          <w:szCs w:val="32"/>
        </w:rPr>
        <w:t xml:space="preserve">5. Implementation Details</w:t>
      </w:r>
    </w:p>
    <w:p>
      <w:pPr>
        <w:pStyle w:val="Heading2"/>
        <w:spacing w:after="120" w:before="240"/>
      </w:pPr>
      <w:r>
        <w:rPr>
          <w:rFonts w:ascii="Times New Roman" w:cs="Times New Roman" w:eastAsia="Times New Roman" w:hAnsi="Times New Roman"/>
          <w:b/>
          <w:bCs/>
          <w:color w:val="000000"/>
          <w:sz w:val="28"/>
          <w:szCs w:val="28"/>
        </w:rPr>
        <w:t xml:space="preserve">5.1 System Overview</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PharmaGA implementation is structured as a client-server web application. The backend is written in Python and exposes a REST API; the frontend is a React single-page application. This separation of concerns allows the computationally intensive evolutionary algorithm to run on a server with appropriate hardware resources while providing a clean browser-based user interface for clinicians or researchers.</w:t>
      </w:r>
    </w:p>
    <w:p>
      <w:pPr>
        <w:pStyle w:val="Heading2"/>
        <w:spacing w:after="120" w:before="240"/>
      </w:pPr>
      <w:r>
        <w:rPr>
          <w:rFonts w:ascii="Times New Roman" w:cs="Times New Roman" w:eastAsia="Times New Roman" w:hAnsi="Times New Roman"/>
          <w:b/>
          <w:bCs/>
          <w:color w:val="000000"/>
          <w:sz w:val="28"/>
          <w:szCs w:val="28"/>
        </w:rPr>
        <w:t xml:space="preserve">5.2 Backend Architecture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Python backend encapsulates the entire PharmaGA evolutionary engine, the surrogate model, and the oracle interface. Key implementation components include:</w:t>
      </w:r>
    </w:p>
    <w:p>
      <w:pPr>
        <w:pStyle w:val="ListParagraph"/>
        <w:numPr>
          <w:ilvl w:val="0"/>
          <w:numId w:val="2"/>
        </w:numPr>
        <w:spacing w:after="60" w:before="60" w:line="276"/>
      </w:pPr>
      <w:r>
        <w:rPr>
          <w:rFonts w:ascii="Times New Roman" w:cs="Times New Roman" w:eastAsia="Times New Roman" w:hAnsi="Times New Roman"/>
          <w:sz w:val="24"/>
          <w:szCs w:val="24"/>
        </w:rPr>
        <w:t xml:space="preserve">Drug Library Loader: Parses and normalises the 1,842-compound dataset sourced from DrugBank 5.1 and ChEMBL 33. Each compound is represented as a dictionary containing its identifier, ATC code, Morgan fingerprint (radius 2, 2048 bits), physicochemical descriptors, predicted ADMET scores, and annotated molecular targets from IUPHAR and DrugBank.</w:t>
      </w:r>
    </w:p>
    <w:p>
      <w:pPr>
        <w:pStyle w:val="ListParagraph"/>
        <w:numPr>
          <w:ilvl w:val="0"/>
          <w:numId w:val="2"/>
        </w:numPr>
        <w:spacing w:after="60" w:before="60" w:line="276"/>
      </w:pPr>
      <w:r>
        <w:rPr>
          <w:rFonts w:ascii="Times New Roman" w:cs="Times New Roman" w:eastAsia="Times New Roman" w:hAnsi="Times New Roman"/>
          <w:sz w:val="24"/>
          <w:szCs w:val="24"/>
        </w:rPr>
        <w:t xml:space="preserve">Patient Profile Handler: Accepts patient input as a JSON object containing demographic fields (age, sex, BMI, eGFR), biochemical lab values, comorbidity flags, and pharmacogenomic diplotype calls for twelve actionable genes: CYP2D6, CYP2C19, CYP2C9, CYP3A5, SLCO1B1, TPMT, DPYD, UGT1A1, VKORC1, HLA-B, HLA-A, and NAT2.</w:t>
      </w:r>
    </w:p>
    <w:p>
      <w:pPr>
        <w:pStyle w:val="ListParagraph"/>
        <w:numPr>
          <w:ilvl w:val="0"/>
          <w:numId w:val="2"/>
        </w:numPr>
        <w:spacing w:after="60" w:before="60" w:line="276"/>
      </w:pPr>
      <w:r>
        <w:rPr>
          <w:rFonts w:ascii="Times New Roman" w:cs="Times New Roman" w:eastAsia="Times New Roman" w:hAnsi="Times New Roman"/>
          <w:sz w:val="24"/>
          <w:szCs w:val="24"/>
        </w:rPr>
        <w:t xml:space="preserve">Evolutionary Engine: Implements the main PharmaGA loop (Algorithm 1 from the paper). The population is stored as a list of chromosome objects, each of which is a variable-length list of (drug-id, dose-bin) tuples padded to K_max with a null sentinel. The engine performs stratified initialisation, niched NSGA-II selection, MCX crossover, adaptive mutation, and environmental selection with external archive maintenance.</w:t>
      </w:r>
    </w:p>
    <w:p>
      <w:pPr>
        <w:pStyle w:val="ListParagraph"/>
        <w:numPr>
          <w:ilvl w:val="0"/>
          <w:numId w:val="2"/>
        </w:numPr>
        <w:spacing w:after="60" w:before="60" w:line="276"/>
      </w:pPr>
      <w:r>
        <w:rPr>
          <w:rFonts w:ascii="Times New Roman" w:cs="Times New Roman" w:eastAsia="Times New Roman" w:hAnsi="Times New Roman"/>
          <w:sz w:val="24"/>
          <w:szCs w:val="24"/>
        </w:rPr>
        <w:t xml:space="preserve">MCX Operator: Builds the drug–target bipartite graph for the union of parents' drugs using Python's NetworkX library. Clusters are extracted using a greedy maximum-weight matching. The operator iterates over discovered clusters, assigns each whole cluster to one of two offspring, and truncates to K_max if necessary.</w:t>
      </w:r>
    </w:p>
    <w:p>
      <w:pPr>
        <w:pStyle w:val="ListParagraph"/>
        <w:numPr>
          <w:ilvl w:val="0"/>
          <w:numId w:val="2"/>
        </w:numPr>
        <w:spacing w:after="60" w:before="60" w:line="276"/>
      </w:pPr>
      <w:r>
        <w:rPr>
          <w:rFonts w:ascii="Times New Roman" w:cs="Times New Roman" w:eastAsia="Times New Roman" w:hAnsi="Times New Roman"/>
          <w:sz w:val="24"/>
          <w:szCs w:val="24"/>
        </w:rPr>
        <w:t xml:space="preserve">Surrogate Module: Wraps a LightGBM Booster trained with quantile loss (alpha = 0.5 for median, separately 0.1 and 0.9 for uncertainty bounds). The module exposes a predict(regimen, patient) function that returns both a fitness vector estimate and a scalar uncertainty proxy derived from the interquartile range of quantile predictions. The training set is accumulated in memory and LightGBM is retrained via warm-start at the end of each generation.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Oracle Interface: Abstracts the expensive fitness computation. In the benchmark configuration, efficacy for hypertension and T2DM is provided by pre-computed QSAR model lookups; for NSCLC, AutoDock Vina docking scores against the patient-specific driver target (EGFR, ALK, or KRAS) are computed on demand; for MDD, a receptor-binding-profile cosine similarity serves as the efficacy proxy. ADMET scores are read from pre-computed tables derived from ADMETlab and pkCSM.</w:t>
      </w:r>
    </w:p>
    <w:p>
      <w:pPr>
        <w:pStyle w:val="ListParagraph"/>
        <w:numPr>
          <w:ilvl w:val="0"/>
          <w:numId w:val="2"/>
        </w:numPr>
        <w:spacing w:after="60" w:before="60" w:line="276"/>
      </w:pPr>
      <w:r>
        <w:rPr>
          <w:rFonts w:ascii="Times New Roman" w:cs="Times New Roman" w:eastAsia="Times New Roman" w:hAnsi="Times New Roman"/>
          <w:sz w:val="24"/>
          <w:szCs w:val="24"/>
        </w:rPr>
        <w:t xml:space="preserve">REST API: Implemented with Python's Flask framework. The primary endpoint POST /api/run_pharmaga accepts a patient profile and run configuration, executes the PharmaGA loop, and returns the Pareto archive as a JSON array of regimen objects. A GET /api/drugs endpoint supports frontend drug-library browsing.</w:t>
      </w:r>
    </w:p>
    <w:p>
      <w:pPr>
        <w:pStyle w:val="Heading2"/>
        <w:spacing w:after="120" w:before="240"/>
      </w:pPr>
      <w:r>
        <w:rPr>
          <w:rFonts w:ascii="Times New Roman" w:cs="Times New Roman" w:eastAsia="Times New Roman" w:hAnsi="Times New Roman"/>
          <w:b/>
          <w:bCs/>
          <w:color w:val="000000"/>
          <w:sz w:val="28"/>
          <w:szCs w:val="28"/>
        </w:rPr>
        <w:t xml:space="preserve">5.3 Frontend Architecture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React frontend provides a structured user interface for configuring patient profiles, launching PharmaGA runs, and inspecting the returned Pareto archive. Key interface components include:</w:t>
      </w:r>
    </w:p>
    <w:p>
      <w:pPr>
        <w:pStyle w:val="ListParagraph"/>
        <w:numPr>
          <w:ilvl w:val="0"/>
          <w:numId w:val="2"/>
        </w:numPr>
        <w:spacing w:after="60" w:before="60" w:line="276"/>
      </w:pPr>
      <w:r>
        <w:rPr>
          <w:rFonts w:ascii="Times New Roman" w:cs="Times New Roman" w:eastAsia="Times New Roman" w:hAnsi="Times New Roman"/>
          <w:sz w:val="24"/>
          <w:szCs w:val="24"/>
        </w:rPr>
        <w:t xml:space="preserve">Patient Profile Form: A structured form collecting the patient's demographic, biochemical, and pharmacogenomic information. Dropdown fields for pharmacogene diplotypes are populated dynamically from CPIC phenotype tables.</w:t>
      </w:r>
    </w:p>
    <w:p>
      <w:pPr>
        <w:pStyle w:val="ListParagraph"/>
        <w:numPr>
          <w:ilvl w:val="0"/>
          <w:numId w:val="2"/>
        </w:numPr>
        <w:spacing w:after="60" w:before="60" w:line="276"/>
      </w:pPr>
      <w:r>
        <w:rPr>
          <w:rFonts w:ascii="Times New Roman" w:cs="Times New Roman" w:eastAsia="Times New Roman" w:hAnsi="Times New Roman"/>
          <w:sz w:val="24"/>
          <w:szCs w:val="24"/>
        </w:rPr>
        <w:t xml:space="preserve">Run Configuration Panel: Allows the user to select the therapeutic area, set the oracle budget B, and choose whether to enable the surrogate. Default values correspond to the paper's experimental hyperparameters.</w:t>
      </w:r>
    </w:p>
    <w:p>
      <w:pPr>
        <w:pStyle w:val="ListParagraph"/>
        <w:numPr>
          <w:ilvl w:val="0"/>
          <w:numId w:val="2"/>
        </w:numPr>
        <w:spacing w:after="60" w:before="60" w:line="276"/>
      </w:pPr>
      <w:r>
        <w:rPr>
          <w:rFonts w:ascii="Times New Roman" w:cs="Times New Roman" w:eastAsia="Times New Roman" w:hAnsi="Times New Roman"/>
          <w:sz w:val="24"/>
          <w:szCs w:val="24"/>
        </w:rPr>
        <w:t xml:space="preserve">Results Dashboard: Displays the returned Pareto archive as both a tabular list (sortable by each objective) and a two-dimensional scatter plot projected onto user-selected objective pairs. Each Pareto point can be expanded to show the full regimen with drug names, doses, and individual objective scores.</w:t>
      </w:r>
    </w:p>
    <w:p>
      <w:pPr>
        <w:pStyle w:val="ListParagraph"/>
        <w:numPr>
          <w:ilvl w:val="0"/>
          <w:numId w:val="2"/>
        </w:numPr>
        <w:spacing w:after="60" w:before="60" w:line="276"/>
      </w:pPr>
      <w:r>
        <w:rPr>
          <w:rFonts w:ascii="Times New Roman" w:cs="Times New Roman" w:eastAsia="Times New Roman" w:hAnsi="Times New Roman"/>
          <w:sz w:val="24"/>
          <w:szCs w:val="24"/>
        </w:rPr>
        <w:t xml:space="preserve">Drug Detail View: Shows the full descriptor profile for any drug in a regimen, including its Morgan fingerprint visualisation, ADMET risk flags, and annotated molecular targets.</w:t>
      </w:r>
    </w:p>
    <w:p>
      <w:pPr>
        <w:pStyle w:val="Heading2"/>
        <w:spacing w:after="120" w:before="240"/>
      </w:pPr>
      <w:r>
        <w:rPr>
          <w:rFonts w:ascii="Times New Roman" w:cs="Times New Roman" w:eastAsia="Times New Roman" w:hAnsi="Times New Roman"/>
          <w:b/>
          <w:bCs/>
          <w:color w:val="000000"/>
          <w:sz w:val="28"/>
          <w:szCs w:val="28"/>
        </w:rPr>
        <w:t xml:space="preserve">5.4 Dataset and Benchmark Construction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benchmark dataset was assembled from two publicly available sources. Drug data were downloaded from DrugBank 5.1 (FDA-approved small molecules) and supplemented with investigational compounds from ChEMBL 33. Compounds were filtered to molecular weight in the range 150–900 Da and required to satisfy Lipinski's rule-of-five criteria for drug-likeness. This yielded the final library of N = 1,842 compounds.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Patient profiles were generated synthetically by resampling allele-frequency distributions from the 1000 Genomes Project across twelve actionable pharmacogenes and then crossing the resulting diplotype vectors with comorbidity profiles generated by the Synthea synthetic-patient engine. This produced 500 distinct patient profiles, stratified across four therapeutic areas: hypertension (n = 125), NSCLC (n = 125), T2DM (n = 125), and MDD (n = 125).</w:t>
      </w:r>
    </w:p>
    <w:p>
      <w:pPr>
        <w:spacing w:after="80" w:before="200"/>
        <w:jc w:val="center"/>
      </w:pPr>
      <w:r>
        <w:rPr>
          <w:rFonts w:ascii="Times New Roman" w:cs="Times New Roman" w:eastAsia="Times New Roman" w:hAnsi="Times New Roman"/>
          <w:b/>
          <w:bCs/>
          <w:sz w:val="22"/>
          <w:szCs w:val="22"/>
        </w:rPr>
        <w:t xml:space="preserve">Table 5. PharmaGA hyperparameter configuration used in all reported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c>
          <w:tcPr>
            <w:tcW w:type="dxa" w:w="37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Parameter</w:t>
            </w:r>
          </w:p>
        </w:tc>
        <w:tc>
          <w:tcPr>
            <w:tcW w:type="dxa" w:w="5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Value</w:t>
            </w:r>
          </w:p>
        </w:tc>
      </w:tr>
      <w:tr>
        <w:tc>
          <w:tcPr>
            <w:tcW w:type="dxa" w:w="37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Population size (μ = λ)</w:t>
            </w:r>
          </w:p>
        </w:tc>
        <w:tc>
          <w:tcPr>
            <w:tcW w:type="dxa" w:w="56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200</w:t>
            </w:r>
          </w:p>
        </w:tc>
      </w:tr>
      <w:tr>
        <w:tc>
          <w:tcPr>
            <w:tcW w:type="dxa" w:w="37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Maximum generations (G_max)</w:t>
            </w:r>
          </w:p>
        </w:tc>
        <w:tc>
          <w:tcPr>
            <w:tcW w:type="dxa" w:w="5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150</w:t>
            </w:r>
          </w:p>
        </w:tc>
      </w:tr>
      <w:tr>
        <w:tc>
          <w:tcPr>
            <w:tcW w:type="dxa" w:w="37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Initial mutation rate (p_m)</w:t>
            </w:r>
          </w:p>
        </w:tc>
        <w:tc>
          <w:tcPr>
            <w:tcW w:type="dxa" w:w="56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0.15</w:t>
            </w:r>
          </w:p>
        </w:tc>
      </w:tr>
      <w:tr>
        <w:tc>
          <w:tcPr>
            <w:tcW w:type="dxa" w:w="37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Crossover probability (p_c)</w:t>
            </w:r>
          </w:p>
        </w:tc>
        <w:tc>
          <w:tcPr>
            <w:tcW w:type="dxa" w:w="5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0.90</w:t>
            </w:r>
          </w:p>
        </w:tc>
      </w:tr>
      <w:tr>
        <w:tc>
          <w:tcPr>
            <w:tcW w:type="dxa" w:w="37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Maximum regimen size (K_max)</w:t>
            </w:r>
          </w:p>
        </w:tc>
        <w:tc>
          <w:tcPr>
            <w:tcW w:type="dxa" w:w="56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 drugs</w:t>
            </w:r>
          </w:p>
        </w:tc>
      </w:tr>
      <w:tr>
        <w:tc>
          <w:tcPr>
            <w:tcW w:type="dxa" w:w="37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Archive capacity (A_max)</w:t>
            </w:r>
          </w:p>
        </w:tc>
        <w:tc>
          <w:tcPr>
            <w:tcW w:type="dxa" w:w="5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500</w:t>
            </w:r>
          </w:p>
        </w:tc>
      </w:tr>
      <w:tr>
        <w:tc>
          <w:tcPr>
            <w:tcW w:type="dxa" w:w="37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Surrogate: LightGBM trees</w:t>
            </w:r>
          </w:p>
        </w:tc>
        <w:tc>
          <w:tcPr>
            <w:tcW w:type="dxa" w:w="56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500 (quantile loss)</w:t>
            </w:r>
          </w:p>
        </w:tc>
      </w:tr>
      <w:tr>
        <w:tc>
          <w:tcPr>
            <w:tcW w:type="dxa" w:w="37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Oracle fraction (adaptive τ)</w:t>
            </w:r>
          </w:p>
        </w:tc>
        <w:tc>
          <w:tcPr>
            <w:tcW w:type="dxa" w:w="5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~33%</w:t>
            </w:r>
          </w:p>
        </w:tc>
      </w:tr>
      <w:tr>
        <w:tc>
          <w:tcPr>
            <w:tcW w:type="dxa" w:w="37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Dose bins (L)</w:t>
            </w:r>
          </w:p>
        </w:tc>
        <w:tc>
          <w:tcPr>
            <w:tcW w:type="dxa" w:w="56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w:t>
            </w:r>
          </w:p>
        </w:tc>
      </w:tr>
      <w:tr>
        <w:tc>
          <w:tcPr>
            <w:tcW w:type="dxa" w:w="37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Oracle budget per run (B)</w:t>
            </w:r>
          </w:p>
        </w:tc>
        <w:tc>
          <w:tcPr>
            <w:tcW w:type="dxa" w:w="5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5,000</w:t>
            </w:r>
          </w:p>
        </w:tc>
      </w:tr>
      <w:tr>
        <w:tc>
          <w:tcPr>
            <w:tcW w:type="dxa" w:w="37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Random seeds</w:t>
            </w:r>
          </w:p>
        </w:tc>
        <w:tc>
          <w:tcPr>
            <w:tcW w:type="dxa" w:w="56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30</w:t>
            </w:r>
          </w:p>
        </w:tc>
      </w:tr>
    </w:tbl>
    <w:p>
      <w:pPr>
        <w:pStyle w:val="Heading1"/>
        <w:spacing w:after="180" w:before="360"/>
      </w:pPr>
      <w:r>
        <w:rPr>
          <w:rFonts w:ascii="Times New Roman" w:cs="Times New Roman" w:eastAsia="Times New Roman" w:hAnsi="Times New Roman"/>
          <w:b/>
          <w:bCs/>
          <w:color w:val="000000"/>
          <w:sz w:val="32"/>
          <w:szCs w:val="32"/>
        </w:rPr>
        <w:t xml:space="preserve">6. Results and Analysis</w:t>
      </w:r>
    </w:p>
    <w:p>
      <w:pPr>
        <w:pStyle w:val="Heading2"/>
        <w:spacing w:after="120" w:before="240"/>
      </w:pPr>
      <w:r>
        <w:rPr>
          <w:rFonts w:ascii="Times New Roman" w:cs="Times New Roman" w:eastAsia="Times New Roman" w:hAnsi="Times New Roman"/>
          <w:b/>
          <w:bCs/>
          <w:color w:val="000000"/>
          <w:sz w:val="28"/>
          <w:szCs w:val="28"/>
        </w:rPr>
        <w:t xml:space="preserve">6.1 Aggregate Performance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Table 1 reports aggregate performance across 500 patients and four therapeutic areas, averaged over 30 independent random seeds. PharmaGA leads every baseline on every reported metric. Standard deviations indicate that PharmaGA also achieves lower variance than all comparators, suggesting greater run-to-run consistency.</w:t>
      </w:r>
    </w:p>
    <w:p>
      <w:pPr>
        <w:spacing w:after="80" w:before="200"/>
        <w:jc w:val="center"/>
      </w:pPr>
      <w:r>
        <w:rPr>
          <w:rFonts w:ascii="Times New Roman" w:cs="Times New Roman" w:eastAsia="Times New Roman" w:hAnsi="Times New Roman"/>
          <w:b/>
          <w:bCs/>
          <w:sz w:val="22"/>
          <w:szCs w:val="22"/>
        </w:rPr>
        <w:t xml:space="preserve">Table 1. Aggregate performance across 500 patients × 4 therapeutic areas (mean ± standard deviation, 30 seeds). Bold values indicate best performance per column. HV reference point: (1.1, 1.1, 1.1, 1.1) after per-objective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360"/>
        <w:gridCol w:w="1200"/>
        <w:gridCol w:w="980"/>
        <w:gridCol w:w="1660"/>
        <w:gridCol w:w="2000"/>
      </w:tblGrid>
      <w:tr>
        <w:tc>
          <w:tcPr>
            <w:tcW w:type="dxa" w:w="21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Method</w:t>
            </w:r>
          </w:p>
        </w:tc>
        <w:tc>
          <w:tcPr>
            <w:tcW w:type="dxa" w:w="13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HV ↑</w:t>
            </w:r>
          </w:p>
        </w:tc>
        <w:tc>
          <w:tcPr>
            <w:tcW w:type="dxa" w:w="1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IGD ↓</w:t>
            </w:r>
          </w:p>
        </w:tc>
        <w:tc>
          <w:tcPr>
            <w:tcW w:type="dxa" w:w="9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PF ↑</w:t>
            </w:r>
          </w:p>
        </w:tc>
        <w:tc>
          <w:tcPr>
            <w:tcW w:type="dxa" w:w="16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Oracle Eff. (HV/1k)</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Runtime (s)</w:t>
            </w:r>
          </w:p>
        </w:tc>
      </w:tr>
      <w:tr>
        <w:tc>
          <w:tcPr>
            <w:tcW w:type="dxa" w:w="2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Random</w:t>
            </w:r>
          </w:p>
        </w:tc>
        <w:tc>
          <w:tcPr>
            <w:tcW w:type="dxa" w:w="13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0.312 ± 0.031</w:t>
            </w:r>
          </w:p>
        </w:tc>
        <w:tc>
          <w:tcPr>
            <w:tcW w:type="dxa" w:w="1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0.287 ± 0.022</w:t>
            </w:r>
          </w:p>
        </w:tc>
        <w:tc>
          <w:tcPr>
            <w:tcW w:type="dxa" w:w="9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0.54</w:t>
            </w:r>
          </w:p>
        </w:tc>
        <w:tc>
          <w:tcPr>
            <w:tcW w:type="dxa" w:w="16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0.062</w:t>
            </w:r>
          </w:p>
        </w:tc>
        <w:tc>
          <w:tcPr>
            <w:tcW w:type="dxa" w:w="2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w:t>
            </w:r>
          </w:p>
        </w:tc>
      </w:tr>
      <w:tr>
        <w:tc>
          <w:tcPr>
            <w:tcW w:type="dxa" w:w="2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NSGA-II</w:t>
            </w:r>
          </w:p>
        </w:tc>
        <w:tc>
          <w:tcPr>
            <w:tcW w:type="dxa" w:w="1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0.601 ± 0.018</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0.141 ± 0.011</w:t>
            </w:r>
          </w:p>
        </w:tc>
        <w:tc>
          <w:tcPr>
            <w:tcW w:type="dxa" w:w="9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0.63</w:t>
            </w:r>
          </w:p>
        </w:tc>
        <w:tc>
          <w:tcPr>
            <w:tcW w:type="dxa" w:w="1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0.120</w:t>
            </w:r>
          </w:p>
        </w:tc>
        <w:tc>
          <w:tcPr>
            <w:tcW w:type="dxa" w:w="20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188</w:t>
            </w:r>
          </w:p>
        </w:tc>
      </w:tr>
      <w:tr>
        <w:tc>
          <w:tcPr>
            <w:tcW w:type="dxa" w:w="2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SPEA2</w:t>
            </w:r>
          </w:p>
        </w:tc>
        <w:tc>
          <w:tcPr>
            <w:tcW w:type="dxa" w:w="13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0.589 ± 0.020</w:t>
            </w:r>
          </w:p>
        </w:tc>
        <w:tc>
          <w:tcPr>
            <w:tcW w:type="dxa" w:w="1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0.148 ± 0.013</w:t>
            </w:r>
          </w:p>
        </w:tc>
        <w:tc>
          <w:tcPr>
            <w:tcW w:type="dxa" w:w="9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0.61</w:t>
            </w:r>
          </w:p>
        </w:tc>
        <w:tc>
          <w:tcPr>
            <w:tcW w:type="dxa" w:w="16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0.118</w:t>
            </w:r>
          </w:p>
        </w:tc>
        <w:tc>
          <w:tcPr>
            <w:tcW w:type="dxa" w:w="2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204</w:t>
            </w:r>
          </w:p>
        </w:tc>
      </w:tr>
      <w:tr>
        <w:tc>
          <w:tcPr>
            <w:tcW w:type="dxa" w:w="2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MOEA/D</w:t>
            </w:r>
          </w:p>
        </w:tc>
        <w:tc>
          <w:tcPr>
            <w:tcW w:type="dxa" w:w="1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0.612 ± 0.017</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0.133 ± 0.010</w:t>
            </w:r>
          </w:p>
        </w:tc>
        <w:tc>
          <w:tcPr>
            <w:tcW w:type="dxa" w:w="9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0.65</w:t>
            </w:r>
          </w:p>
        </w:tc>
        <w:tc>
          <w:tcPr>
            <w:tcW w:type="dxa" w:w="1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0.122</w:t>
            </w:r>
          </w:p>
        </w:tc>
        <w:tc>
          <w:tcPr>
            <w:tcW w:type="dxa" w:w="20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172</w:t>
            </w:r>
          </w:p>
        </w:tc>
      </w:tr>
      <w:tr>
        <w:tc>
          <w:tcPr>
            <w:tcW w:type="dxa" w:w="21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PG-RL</w:t>
            </w:r>
          </w:p>
        </w:tc>
        <w:tc>
          <w:tcPr>
            <w:tcW w:type="dxa" w:w="13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0.578 ± 0.024</w:t>
            </w:r>
          </w:p>
        </w:tc>
        <w:tc>
          <w:tcPr>
            <w:tcW w:type="dxa" w:w="1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0.158 ± 0.016</w:t>
            </w:r>
          </w:p>
        </w:tc>
        <w:tc>
          <w:tcPr>
            <w:tcW w:type="dxa" w:w="9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0.67</w:t>
            </w:r>
          </w:p>
        </w:tc>
        <w:tc>
          <w:tcPr>
            <w:tcW w:type="dxa" w:w="16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0.116</w:t>
            </w:r>
          </w:p>
        </w:tc>
        <w:tc>
          <w:tcPr>
            <w:tcW w:type="dxa" w:w="2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395</w:t>
            </w:r>
          </w:p>
        </w:tc>
      </w:tr>
      <w:tr>
        <w:tc>
          <w:tcPr>
            <w:tcW w:type="dxa" w:w="21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PharmaGA</w:t>
            </w:r>
          </w:p>
        </w:tc>
        <w:tc>
          <w:tcPr>
            <w:tcW w:type="dxa" w:w="1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0.688 ± 0.014</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0.097 ± 0.008</w:t>
            </w:r>
          </w:p>
        </w:tc>
        <w:tc>
          <w:tcPr>
            <w:tcW w:type="dxa" w:w="9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0.82</w:t>
            </w:r>
          </w:p>
        </w:tc>
        <w:tc>
          <w:tcPr>
            <w:tcW w:type="dxa" w:w="16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0.244</w:t>
            </w:r>
          </w:p>
        </w:tc>
        <w:tc>
          <w:tcPr>
            <w:tcW w:type="dxa" w:w="20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167</w:t>
            </w:r>
          </w:p>
        </w:tc>
      </w:tr>
    </w:tbl>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PharmaGA improves hypervolume by 12.4% over MOEA/D (the strongest baseline) and reduces IGD by 27.1%. These are large improvements for mature multi-objective evolutionary algorithm benchmarks where incremental gains of 2–5% are typical. The personalisation fidelity gap is more striking still: PF climbs from 0.65 (MOEA/D) to 0.82, confirming that PharmaGA returns solutions that are substantially more specific to individual patients. Oracle efficiency (hypervolume per thousand oracle calls) doubles relative to NSGA-II and MOEA/D, demonstrating that the surrogate-assisted scheme provides both speed and quality benefits. Importantly, PharmaGA's runtime of 167 seconds is comparable to MOEA/D (172 seconds) and substantially faster than PG-RL (395 seconds), confirming that the surrogate overhead does not penalise wall-clock time.</w:t>
      </w:r>
    </w:p>
    <w:p>
      <w:pPr>
        <w:pStyle w:val="Heading2"/>
        <w:spacing w:after="120" w:before="240"/>
      </w:pPr>
      <w:r>
        <w:rPr>
          <w:rFonts w:ascii="Times New Roman" w:cs="Times New Roman" w:eastAsia="Times New Roman" w:hAnsi="Times New Roman"/>
          <w:b/>
          <w:bCs/>
          <w:color w:val="000000"/>
          <w:sz w:val="28"/>
          <w:szCs w:val="28"/>
        </w:rPr>
        <w:t xml:space="preserve">6.2 Per-Therapeutic-Area Breakdown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Table 2 breaks down hypervolume by therapeutic area. PharmaGA achieves the highest hypervolume in all four areas, with the largest relative improvement in NSCLC (15.1% over MOEA/D) and the smallest in T2DM (11.0%).</w:t>
      </w:r>
    </w:p>
    <w:p>
      <w:pPr>
        <w:spacing w:after="80" w:before="200"/>
        <w:jc w:val="center"/>
      </w:pPr>
      <w:r>
        <w:rPr>
          <w:rFonts w:ascii="Times New Roman" w:cs="Times New Roman" w:eastAsia="Times New Roman" w:hAnsi="Times New Roman"/>
          <w:b/>
          <w:bCs/>
          <w:sz w:val="22"/>
          <w:szCs w:val="22"/>
        </w:rPr>
        <w:t xml:space="preserve">Table 2. Hypervolume per therapeutic area. Bold values indicate best performance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680"/>
        <w:gridCol w:w="1680"/>
        <w:gridCol w:w="1980"/>
      </w:tblGrid>
      <w:tr>
        <w:tc>
          <w:tcPr>
            <w:tcW w:type="dxa" w:w="23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Therapeutic Area</w:t>
            </w:r>
          </w:p>
        </w:tc>
        <w:tc>
          <w:tcPr>
            <w:tcW w:type="dxa" w:w="16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NSGA-II</w:t>
            </w:r>
          </w:p>
        </w:tc>
        <w:tc>
          <w:tcPr>
            <w:tcW w:type="dxa" w:w="16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MOEA/D</w:t>
            </w:r>
          </w:p>
        </w:tc>
        <w:tc>
          <w:tcPr>
            <w:tcW w:type="dxa" w:w="16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PG-RL</w:t>
            </w:r>
          </w:p>
        </w:tc>
        <w:tc>
          <w:tcPr>
            <w:tcW w:type="dxa" w:w="19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PharmaGA</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Hypertension</w:t>
            </w:r>
          </w:p>
        </w:tc>
        <w:tc>
          <w:tcPr>
            <w:tcW w:type="dxa" w:w="16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0.644</w:t>
            </w:r>
          </w:p>
        </w:tc>
        <w:tc>
          <w:tcPr>
            <w:tcW w:type="dxa" w:w="16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0.659</w:t>
            </w:r>
          </w:p>
        </w:tc>
        <w:tc>
          <w:tcPr>
            <w:tcW w:type="dxa" w:w="16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0.608</w:t>
            </w:r>
          </w:p>
        </w:tc>
        <w:tc>
          <w:tcPr>
            <w:tcW w:type="dxa" w:w="19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0.731</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NSCLC</w:t>
            </w:r>
          </w:p>
        </w:tc>
        <w:tc>
          <w:tcPr>
            <w:tcW w:type="dxa" w:w="16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0.522</w:t>
            </w:r>
          </w:p>
        </w:tc>
        <w:tc>
          <w:tcPr>
            <w:tcW w:type="dxa" w:w="16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0.537</w:t>
            </w:r>
          </w:p>
        </w:tc>
        <w:tc>
          <w:tcPr>
            <w:tcW w:type="dxa" w:w="16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0.551</w:t>
            </w:r>
          </w:p>
        </w:tc>
        <w:tc>
          <w:tcPr>
            <w:tcW w:type="dxa" w:w="19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0.616</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T2DM</w:t>
            </w:r>
          </w:p>
        </w:tc>
        <w:tc>
          <w:tcPr>
            <w:tcW w:type="dxa" w:w="16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0.619</w:t>
            </w:r>
          </w:p>
        </w:tc>
        <w:tc>
          <w:tcPr>
            <w:tcW w:type="dxa" w:w="16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0.628</w:t>
            </w:r>
          </w:p>
        </w:tc>
        <w:tc>
          <w:tcPr>
            <w:tcW w:type="dxa" w:w="16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0.582</w:t>
            </w:r>
          </w:p>
        </w:tc>
        <w:tc>
          <w:tcPr>
            <w:tcW w:type="dxa" w:w="19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0.697</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MDD</w:t>
            </w:r>
          </w:p>
        </w:tc>
        <w:tc>
          <w:tcPr>
            <w:tcW w:type="dxa" w:w="16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0.619</w:t>
            </w:r>
          </w:p>
        </w:tc>
        <w:tc>
          <w:tcPr>
            <w:tcW w:type="dxa" w:w="16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0.624</w:t>
            </w:r>
          </w:p>
        </w:tc>
        <w:tc>
          <w:tcPr>
            <w:tcW w:type="dxa" w:w="16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0.571</w:t>
            </w:r>
          </w:p>
        </w:tc>
        <w:tc>
          <w:tcPr>
            <w:tcW w:type="dxa" w:w="19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0.708</w:t>
            </w:r>
          </w:p>
        </w:tc>
      </w:tr>
    </w:tbl>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NSCLC advantage is attributable to two compounding factors. First, efficacy for NSCLC is computed via AutoDock Vina docking against the patient-specific driver mutation (EGFR, ALK, or KRAS), which is among the most computationally expensive oracle calls in the benchmark. The surrogate therefore saves the most wall-clock time in NSCLC runs relative to the oracle budget, allowing the population to be evaluated more thoroughly. Second, the pharmacogenomic conditioning is particularly informative for NSCLC because driver mutation identity directly determines which targeted therapies are appropriate (e.g., erlotinib or osimertinib for EGFR-mutant disease vs. crizotinib for ALK-rearranged disease), and this information is encoded in the patient profile.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strong MDD performance is attributed primarily to MCX. Depression pharmacotherapy is characterised by mechanisms that are frequently combined for augmentation—an SSRI paired with an atypical antipsychotic, a tricyclic augmented with lithium, or a monoamine-oxidase inhibitor used alone due to interaction risk. MCX's ability to preserve mechanistically coherent pairs and to separate incompatible mechanisms (e.g., keeping MAOIs isolated from serotonergic agents) aligns well with the clinical structure of MDD treatment.</w:t>
      </w:r>
    </w:p>
    <w:p>
      <w:pPr>
        <w:pStyle w:val="Heading2"/>
        <w:spacing w:after="120" w:before="240"/>
      </w:pPr>
      <w:r>
        <w:rPr>
          <w:rFonts w:ascii="Times New Roman" w:cs="Times New Roman" w:eastAsia="Times New Roman" w:hAnsi="Times New Roman"/>
          <w:b/>
          <w:bCs/>
          <w:color w:val="000000"/>
          <w:sz w:val="28"/>
          <w:szCs w:val="28"/>
        </w:rPr>
        <w:t xml:space="preserve">6.3 Ablation Study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Table 3 reports the result of ablating each novel PharmaGA component in turn, holding the oracle budget fixed at B = 5,000. The ablation provides quantitative evidence for the contribution of each design decision.</w:t>
      </w:r>
    </w:p>
    <w:p>
      <w:pPr>
        <w:spacing w:after="80" w:before="200"/>
        <w:jc w:val="center"/>
      </w:pPr>
      <w:r>
        <w:rPr>
          <w:rFonts w:ascii="Times New Roman" w:cs="Times New Roman" w:eastAsia="Times New Roman" w:hAnsi="Times New Roman"/>
          <w:b/>
          <w:bCs/>
          <w:sz w:val="22"/>
          <w:szCs w:val="22"/>
        </w:rPr>
        <w:t xml:space="preserve">Table 3. Ablation of PharmaGA components (oracle budget B = 5,000). Removing each component in turn from the full system isolates its individual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W w:type="dxa" w:w="39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Variant</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HV ↑</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IGD ↓</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PF ↑</w:t>
            </w:r>
          </w:p>
        </w:tc>
      </w:tr>
      <w:tr>
        <w:tc>
          <w:tcPr>
            <w:tcW w:type="dxa" w:w="39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Full PharmaGA</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0.688</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0.097</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0.82</w:t>
            </w:r>
          </w:p>
        </w:tc>
      </w:tr>
      <w:tr>
        <w:tc>
          <w:tcPr>
            <w:tcW w:type="dxa" w:w="39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Surrogate (oracle only)</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0.652</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0.111</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0.81</w:t>
            </w:r>
          </w:p>
        </w:tc>
      </w:tr>
      <w:tr>
        <w:tc>
          <w:tcPr>
            <w:tcW w:type="dxa" w:w="39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MCX (uniform crossover)</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0.631</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0.128</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0.74</w:t>
            </w:r>
          </w:p>
        </w:tc>
      </w:tr>
      <w:tr>
        <w:tc>
          <w:tcPr>
            <w:tcW w:type="dxa" w:w="39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Patient niching</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0.672</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0.102</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0.69</w:t>
            </w:r>
          </w:p>
        </w:tc>
      </w:tr>
      <w:tr>
        <w:tc>
          <w:tcPr>
            <w:tcW w:type="dxa" w:w="39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Pharmacogenomic conditioning</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0.665</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0.109</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0.58</w:t>
            </w:r>
          </w:p>
        </w:tc>
      </w:tr>
      <w:tr>
        <w:tc>
          <w:tcPr>
            <w:tcW w:type="dxa" w:w="396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Adaptive mutation</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0.676</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0.104</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0.80</w:t>
            </w:r>
          </w:p>
        </w:tc>
      </w:tr>
    </w:tbl>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Several conclusions stand out. First, MCX is the single largest contributor to both HV and IGD, with a 5.7-point HV drop and a 31.9% IGD increase on removal. This strongly supports the theoretical argument that operator design matters at least as much as algorithmic framework for domain-specific GA applications: generic crossover operators that ignore pharmacological structure leave substantial performance on the table. Second, patient niching and pharmacogenomic conditioning are jointly responsible for the personalisation fidelity score—removing either drives PF well below the best baseline. The 0.58 PF achieved without pharmacogenomic conditioning is actually below the MOEA/D baseline of 0.65, demonstrating that naive application of niching without pharmacogenomic features provides almost no personalisation benefit. Third, the surrogate's contribution to HV is modest (0.036 points) but it serves as an enabler: by freeing oracle budget, it allows larger effective population sizes and longer runs, amplifying the benefits of MCX and niching. Fourth, adaptive mutation has the smallest individual contribution of the five components, suggesting that while useful, it is not critical to PharmaGA's advantage.</w:t>
      </w:r>
    </w:p>
    <w:p>
      <w:pPr>
        <w:pStyle w:val="Heading2"/>
        <w:spacing w:after="120" w:before="240"/>
      </w:pPr>
      <w:r>
        <w:rPr>
          <w:rFonts w:ascii="Times New Roman" w:cs="Times New Roman" w:eastAsia="Times New Roman" w:hAnsi="Times New Roman"/>
          <w:b/>
          <w:bCs/>
          <w:color w:val="000000"/>
          <w:sz w:val="28"/>
          <w:szCs w:val="28"/>
        </w:rPr>
        <w:t xml:space="preserve">6.4 Convergence Under Oracle Budget</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Figure 5 in the original paper plots hypervolume against oracle-call budget on a logarithmic x-axis, averaged over 30 seeds. PharmaGA converges to its plateau faster than all baselines, reaching 0.643 HV at B = 1,000 calls—a level that NSGA-II and MOEA/D do not reach even at B = 5,000. This rapid early convergence is attributable to stratified initialisation (which seeds the population with clinically plausible starting points) and to MCX (which prevents disruptive crossover from destroying early high-quality solutions).</w:t>
      </w:r>
    </w:p>
    <w:p>
      <w:pPr>
        <w:spacing w:after="200" w:before="80"/>
        <w:jc w:val="center"/>
      </w:pPr>
      <w:r>
        <w:rPr>
          <w:rFonts w:ascii="Times New Roman" w:cs="Times New Roman" w:eastAsia="Times New Roman" w:hAnsi="Times New Roman"/>
          <w:i/>
          <w:iCs/>
          <w:sz w:val="22"/>
          <w:szCs w:val="22"/>
        </w:rPr>
        <w:t xml:space="preserve">Figure 5. Hypervolume versus oracle-call budget (log-x scale, mean over 30 seeds). PharmaGA converges faster and reaches a higher plateau than all baselines. Disabling the surrogate delays the advantage but does not erase it, confirming that MCX and patient niching are the primary contributors.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surrogate-free PharmaGA variant tracks NSGA-II closely out to approximately B = 2,000 and then diverges upward, an inflection point attributed to MCX's milder offspring disruption becoming apparent as the population matures. This pattern supports the interpretation that the surrogate is an enabler (by conserving budget for higher-quality evaluations) rather than a primary quality driver.</w:t>
      </w:r>
    </w:p>
    <w:p>
      <w:pPr>
        <w:pStyle w:val="Heading2"/>
        <w:spacing w:after="120" w:before="240"/>
      </w:pPr>
      <w:r>
        <w:rPr>
          <w:rFonts w:ascii="Times New Roman" w:cs="Times New Roman" w:eastAsia="Times New Roman" w:hAnsi="Times New Roman"/>
          <w:b/>
          <w:bCs/>
          <w:color w:val="000000"/>
          <w:sz w:val="28"/>
          <w:szCs w:val="28"/>
        </w:rPr>
        <w:t xml:space="preserve">6.5 Personalisation Case Study</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To directly probe the personalisation mechanism, two patients with identical coarse demographics (age 62, BMI 28, eGFR 68) but opposing CYP2D6 phenotypes (ultra-rapid metaboliser vs. poor metaboliser) were subjected to a depression-indication run across all algorithms. PharmaGA returned essentially disjoint Pareto fronts for the two patients (Jaccard index 0.11), with the ultra-rapid metaboliser receiving dose-escalated venlafaxine-containing regimens and the poor metaboliser receiving CYP2D6-independent options centred on sertraline and mirtazapine. NSGA-II and MOEA/D returned heavily overlapping fronts (Jaccard indices 0.71 and 0.64 respectively), confirming that they are effectively ignoring the pharmacogenomic signal.</w:t>
      </w:r>
    </w:p>
    <w:p>
      <w:pPr>
        <w:spacing w:after="200" w:before="80"/>
        <w:jc w:val="center"/>
      </w:pPr>
      <w:r>
        <w:rPr>
          <w:rFonts w:ascii="Times New Roman" w:cs="Times New Roman" w:eastAsia="Times New Roman" w:hAnsi="Times New Roman"/>
          <w:i/>
          <w:iCs/>
          <w:sz w:val="22"/>
          <w:szCs w:val="22"/>
        </w:rPr>
        <w:t xml:space="preserve">Figure 6. Pareto front for a representative T2DM patient with CYP2C9 poor-metaboliser genotype, projected onto the (toxicity burden, negative efficacy) plane. PharmaGA's front lies below and to the left of those produced by NSGA-II and MOEA/D. Knee solutions correspond to metformin + SGLT2i and metformin + DPP-4i combinations; the shaded region indicates the sulfonylurea-dominated area that is contra-indicated for this genotype.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T2DM case study provides a complementary illustration (Figure 6). For a patient carrying a CYP2C9 poor-metaboliser genotype—for whom sulfonylureas such as glibenclamide are metabolised slowly, risking hypoglycaemia—PharmaGA's Pareto front correctly excludes the shaded sulfonylurea region and concentrates knee solutions around metformin + SGLT2 inhibitor and metformin + DPP-4 inhibitor combinations. NSGA-II continues to recommend sulfonylurea-containing regimens that would be pharmacogenomically inappropriate for this patient.</w:t>
      </w:r>
    </w:p>
    <w:p>
      <w:pPr>
        <w:pStyle w:val="Heading1"/>
        <w:spacing w:after="180" w:before="360"/>
      </w:pPr>
      <w:r>
        <w:rPr>
          <w:rFonts w:ascii="Times New Roman" w:cs="Times New Roman" w:eastAsia="Times New Roman" w:hAnsi="Times New Roman"/>
          <w:b/>
          <w:bCs/>
          <w:color w:val="000000"/>
          <w:sz w:val="32"/>
          <w:szCs w:val="32"/>
        </w:rPr>
        <w:t xml:space="preserve">7. Limitations and Future Work</w:t>
      </w:r>
    </w:p>
    <w:p>
      <w:pPr>
        <w:pStyle w:val="Heading2"/>
        <w:spacing w:after="120" w:before="240"/>
      </w:pPr>
      <w:r>
        <w:rPr>
          <w:rFonts w:ascii="Times New Roman" w:cs="Times New Roman" w:eastAsia="Times New Roman" w:hAnsi="Times New Roman"/>
          <w:b/>
          <w:bCs/>
          <w:color w:val="000000"/>
          <w:sz w:val="28"/>
          <w:szCs w:val="28"/>
        </w:rPr>
        <w:t xml:space="preserve">7.1 Current Limitations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Despite its strong benchmark performance, PharmaGA has several important limitations that must be acknowledged before clinical deployment is considered.</w:t>
      </w:r>
    </w:p>
    <w:p>
      <w:pPr>
        <w:pStyle w:val="ListParagraph"/>
        <w:numPr>
          <w:ilvl w:val="0"/>
          <w:numId w:val="2"/>
        </w:numPr>
        <w:spacing w:after="60" w:before="60" w:line="276"/>
      </w:pPr>
      <w:r>
        <w:rPr>
          <w:rFonts w:ascii="Times New Roman" w:cs="Times New Roman" w:eastAsia="Times New Roman" w:hAnsi="Times New Roman"/>
          <w:sz w:val="24"/>
          <w:szCs w:val="24"/>
        </w:rPr>
        <w:t xml:space="preserve">Simulated patient profiles: All 500 patient profiles used in the evaluation are synthetically generated by resampling 1000 Genomes allele frequencies and Synthea comorbidity vectors. Real electronic health records exhibit complex correlations between genomic variants, comorbidities, co-medications, and treatment history that are not faithfully captured by the synthetic generator. Prospective validation on de-identified EHR cohorts with linked pharmacogenomic panels is an essential prerequisite for clinical translation.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Incomplete drug–target graph: Molecular target annotations are sourced from IUPHAR and DrugBank, both of which are known to be incomplete with respect to off-target interactions. Off-target effects that are absent from annotations are invisible to MCX and cannot be penalised by the DDI or PK-mismatch objectives. This creates a risk that pharmacologically problematic combinations receive artificially high fitness scores.</w:t>
      </w:r>
    </w:p>
    <w:p>
      <w:pPr>
        <w:pStyle w:val="ListParagraph"/>
        <w:numPr>
          <w:ilvl w:val="0"/>
          <w:numId w:val="2"/>
        </w:numPr>
        <w:spacing w:after="60" w:before="60" w:line="276"/>
      </w:pPr>
      <w:r>
        <w:rPr>
          <w:rFonts w:ascii="Times New Roman" w:cs="Times New Roman" w:eastAsia="Times New Roman" w:hAnsi="Times New Roman"/>
          <w:sz w:val="24"/>
          <w:szCs w:val="24"/>
        </w:rPr>
        <w:t xml:space="preserve">Weakest surrogate for MDD: The efficacy proxy for major depressive disorder is receptor-binding-profile cosine similarity, which is only a rough approximation of clinical antidepressant response. Translating molecular binding profiles to clinical outcomes in psychiatry is notoriously difficult, and the MDD surrogate carries the largest uncertainty of the four therapeutic areas.</w:t>
      </w:r>
    </w:p>
    <w:p>
      <w:pPr>
        <w:pStyle w:val="ListParagraph"/>
        <w:numPr>
          <w:ilvl w:val="0"/>
          <w:numId w:val="2"/>
        </w:numPr>
        <w:spacing w:after="60" w:before="60" w:line="276"/>
      </w:pPr>
      <w:r>
        <w:rPr>
          <w:rFonts w:ascii="Times New Roman" w:cs="Times New Roman" w:eastAsia="Times New Roman" w:hAnsi="Times New Roman"/>
          <w:sz w:val="24"/>
          <w:szCs w:val="24"/>
        </w:rPr>
        <w:t xml:space="preserve">Binary genotype representation: The current pharmacogenomic encoding maps diplotype calls to a small set of metaboliser phenotype categories (poor, intermediate, normal, rapid, ultra-rapid). This discretisation loses information about the quantitative relationship between diplotype and clearance rate, potentially reducing the precision of the PK-mismatch objective for carriers of rare or intermediate-activity alleles.</w:t>
      </w:r>
    </w:p>
    <w:p>
      <w:pPr>
        <w:pStyle w:val="Heading2"/>
        <w:spacing w:after="120" w:before="240"/>
      </w:pPr>
      <w:r>
        <w:rPr>
          <w:rFonts w:ascii="Times New Roman" w:cs="Times New Roman" w:eastAsia="Times New Roman" w:hAnsi="Times New Roman"/>
          <w:b/>
          <w:bCs/>
          <w:color w:val="000000"/>
          <w:sz w:val="28"/>
          <w:szCs w:val="28"/>
        </w:rPr>
        <w:t xml:space="preserve">7.2 Directions for Future Work</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Three directions are especially promising for follow-up work.</w:t>
      </w:r>
    </w:p>
    <w:p>
      <w:pPr>
        <w:pStyle w:val="ListParagraph"/>
        <w:numPr>
          <w:ilvl w:val="0"/>
          <w:numId w:val="2"/>
        </w:numPr>
        <w:spacing w:after="60" w:before="60" w:line="276"/>
      </w:pPr>
      <w:r>
        <w:rPr>
          <w:rFonts w:ascii="Times New Roman" w:cs="Times New Roman" w:eastAsia="Times New Roman" w:hAnsi="Times New Roman"/>
          <w:sz w:val="24"/>
          <w:szCs w:val="24"/>
        </w:rPr>
        <w:t xml:space="preserve">Prospective clinical validation: A retrospective cohort study comparing PharmaGA recommendations against physician-prescribed regimens in a de-identified EHR dataset would stress-test the simulator-trained models and quantify agreement with real clinical decisions. This is the most direct path toward establishing the algorithm's clinical credibility.</w:t>
      </w:r>
    </w:p>
    <w:p>
      <w:pPr>
        <w:pStyle w:val="ListParagraph"/>
        <w:numPr>
          <w:ilvl w:val="0"/>
          <w:numId w:val="2"/>
        </w:numPr>
        <w:spacing w:after="60" w:before="60" w:line="276"/>
      </w:pPr>
      <w:r>
        <w:rPr>
          <w:rFonts w:ascii="Times New Roman" w:cs="Times New Roman" w:eastAsia="Times New Roman" w:hAnsi="Times New Roman"/>
          <w:sz w:val="24"/>
          <w:szCs w:val="24"/>
        </w:rPr>
        <w:t xml:space="preserve">Temporal regimens and treatment schedules: The current encoding treats drug selection as a static one-time decision. Extending the chromosome representation to cover treatment phases—induction, consolidation, and maintenance—would turn drug selection into a policy-search problem amenable to hybridisation with reinforcement learning. This extension is particularly relevant in oncology, where the sequencing of targeted therapies and immunotherapy is a first-order clinical concern.</w:t>
      </w:r>
    </w:p>
    <w:p>
      <w:pPr>
        <w:pStyle w:val="ListParagraph"/>
        <w:numPr>
          <w:ilvl w:val="0"/>
          <w:numId w:val="2"/>
        </w:numPr>
        <w:spacing w:after="60" w:before="60" w:line="276"/>
      </w:pPr>
      <w:r>
        <w:rPr>
          <w:rFonts w:ascii="Times New Roman" w:cs="Times New Roman" w:eastAsia="Times New Roman" w:hAnsi="Times New Roman"/>
          <w:sz w:val="24"/>
          <w:szCs w:val="24"/>
        </w:rPr>
        <w:t xml:space="preserve">Conformal-prediction-calibrated surrogates: Replacing the LightGBM quantile-loss surrogate with a conformal-prediction-calibrated model would yield statistically rigorous coverage guarantees on the uncertainty bounds and, in turn, formal oracle-budget guarantees that are currently only heuristic. This would also enable principled active learning policies for the oracle-call routing decision.</w:t>
      </w:r>
    </w:p>
    <w:p>
      <w:pPr>
        <w:pStyle w:val="Heading1"/>
        <w:spacing w:after="180" w:before="360"/>
      </w:pPr>
      <w:r>
        <w:rPr>
          <w:rFonts w:ascii="Times New Roman" w:cs="Times New Roman" w:eastAsia="Times New Roman" w:hAnsi="Times New Roman"/>
          <w:b/>
          <w:bCs/>
          <w:color w:val="000000"/>
          <w:sz w:val="32"/>
          <w:szCs w:val="32"/>
        </w:rPr>
        <w:t xml:space="preserve">8. Conclusion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This report has presented PharmaGA, a niching multi-objective genetic algorithm for personalised drug selection, with particular emphasis on its parallel processing architecture and experimental results. Three core technical contributions distinguish PharmaGA from the prior literature: the embedding of pharmacogenomic descriptors into a patient-conditional multi-objective fitness landscape, the Mechanism-Complementarity Crossover operator that preserves pharmacologically coherent drug combinations, and the two-stage surrogate-assisted evaluation scheme that reduces wall-clock computation by 38× while sacrificing only 6% of oracle-quality rank correlation.</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The experimental evaluation across 500 synthetic patient profiles and 1,842 compounds in four therapeutic areas demonstrates unambiguous performance advantages over NSGA-II, SPEA2, MOEA/D, and a policy-gradient reinforcement-learning baseline. PharmaGA improves hypervolume by 12.4% over the strongest baseline, reduces inverted generational distance by 27.1%, and achieves a personalisation fidelity score of 0.82 compared to 0.65 for MOEA/D—confirming that its recommendations are genuinely patient-specific rather than population-average advice.</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From the perspective of parallel processing and computer architecture, PharmaGA is a compelling case study because its four principal parallelism axes—oracle-call independence within a generation, patient-cohort independence across the hospital population, multi-threaded surrogate retraining, and parallelisable non-dominated sorting—map cleanly onto complementary architectural paradigms: task parallelism, embarrassing data parallelism, shared-memory thread parallelism, and fine-grained comparison parallelism. A 64-core configuration reduces per-patient wall-clock time from 167 to 38 seconds, bringing real-time personalised drug selection within reach of hospital clinical decision support systems.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Looking forward, the transition from synthetic to real patient data and the extension of the encoding to temporal treatment schedules represent the most impactful near-term research directions. PharmaGA's framework also generalises naturally to drug repurposing: holding the patient profile constant while varying the disease signature over an approved compound library recovers a repurposing search, which is especially attractive for rare diseases where prospective trial evidence is scarce. Together, these directions sketch a path toward genuinely personalised, computationally tractable polypharmacology.</w:t>
      </w:r>
    </w:p>
    <w:p>
      <w:r>
        <w:br w:type="page"/>
      </w:r>
    </w:p>
    <w:p>
      <w:pPr>
        <w:pStyle w:val="Heading1"/>
        <w:spacing w:after="180" w:before="360"/>
      </w:pPr>
      <w:r>
        <w:rPr>
          <w:rFonts w:ascii="Times New Roman" w:cs="Times New Roman" w:eastAsia="Times New Roman" w:hAnsi="Times New Roman"/>
          <w:b/>
          <w:bCs/>
          <w:color w:val="000000"/>
          <w:sz w:val="32"/>
          <w:szCs w:val="32"/>
        </w:rPr>
        <w:t xml:space="preserve">References</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[1]  K. E. Caudle et al., "Clinical Pharmacogenetics Implementation Consortium (CPIC) guideline for gene-drug pairs: a decade of consensus recommendations," Genetics in Medicine, vol. 24, no. 7, pp. 1391–1401, Jul. 2022.</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[2]  M. Whirl-Carrillo et al., "An evidence-based framework for evaluating pharmacogenomics knowledge for personalized medicine," Clinical Pharmacology &amp; Therapeutics, vol. 110, no. 3, pp. 563–572, Sep. 2021.</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[3]  K. Deb, Multi-Objective Optimization Using Evolutionary Algorithms. Chichester, U.K.: Wiley, 2001.</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[4]  G. Jones, P. Willett, R. C. Glen, A. R. Leach, and R. Taylor, "Development and validation of a genetic algorithm for flexible docking," J. Mol. Biol., vol. 267, no. 3, pp. 727–748, Apr. 1997.</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[5]  R. Leardi, R. Boggia, and M. Terrile, "Genetic algorithms as a strategy for feature selection," J. Chemometrics, vol. 6, no. 5, pp. 267–281, Sep. 1992.</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[6]  N. Brown, B. McKay, F. Gilardoni, and J. Gasteiger, "A graph-based genetic algorithm and its application to the multiobjective evolution of median molecules," J. Chem. Inf. Comput. Sci., vol. 44, no. 3, pp. 1079–1087, May 2004.</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[7]  J. H. Jensen, "A graph-based genetic algorithm and generative model/Monte Carlo tree search for the exploration of chemical space," Chem. Sci., vol. 10, no. 12, pp. 3567–3572, 2019.</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[8]  K. Deb, A. Pratap, S. Agarwal, and T. Meyarivan, "A fast and elitist multiobjective genetic algorithm: NSGA-II," IEEE Trans. Evol. Comput., vol. 6, no. 2, pp. 182–197, Apr. 2002.</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[9]  E. Zitzler, M. Laumanns, and L. Thiele, "SPEA2: improving the strength Pareto evolutionary algorithm," in Evolutionary Methods for Design, Optimisation and Control, Athens, Greece, 2002, pp. 95–100.</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[10] Q. Zhang and H. Li, "MOEA/D: a multiobjective evolutionary algorithm based on decomposition," IEEE Trans. Evol. Comput., vol. 11, no. 6, pp. 712–731, Dec. 2007.</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[11] C. A. Nicolaou, N. Brown, and C. S. Pattichis, "Molecular optimization using computational multi-objective methods," Curr. Opin. Drug Discov. Dev., vol. 10, no. 3, pp. 316–324, May 2007.</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[12] Y. Jin, "Surrogate-assisted evolutionary computation: recent advances and future challenges," Swarm Evol. Comput., vol. 1, no. 2, pp. 61–70, Jun. 2011.</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[13] J. P. Janet, S. Ramesh, C. Duan, and H. J. Kulik, "Accurate multiobjective design in a space of millions of transition metal complexes with neural-network-driven efficient global optimization," ACS Cent. Sci., vol. 6, no. 4, pp. 513–524, Apr. 2020.</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[14] R. Miotto, F. Wang, S. Wang, X. Jiang, and J. T. Dudley, "Deep learning for healthcare: review, opportunities and challenges," Brief. Bioinform., vol. 19, no. 6, pp. 1236–1246, Nov. 2018.</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[15] D. S. Wishart et al., "DrugBank 5.0: a major update to the DrugBank database for 2018," Nucleic Acids Res., vol. 46, no. D1, pp. D1074–D1082, Jan. 2018.</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[16] A. Gaulton et al., "The ChEMBL database in 2017," Nucleic Acids Res., vol. 45, no. D1, pp. D945–D954, Jan. 2017.</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[17] O. Trott and A. J. Olson, "AutoDock Vina: improving the speed and accuracy of docking with a new scoring function, efficient optimization, and multithreading," J. Comput. Chem., vol. 31, no. 2, pp. 455–461, Jan. 2010.</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[18] G. Ke et al., "LightGBM: a highly efficient gradient boosting decision tree," in Adv. Neural Inf. Process. Syst., vol. 30, 2017, pp. 3146–3154.</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[19] J. Walonoski et al., "Synthea: an approach, method, and software mechanism for generating synthetic patients and the synthetic electronic health care record," J. Am. Med. Inform. Assoc., vol. 25, no. 3, pp. 230–238, Mar. 2018.</w:t>
      </w:r>
    </w:p>
    <w:p>
      <w:pPr>
        <w:spacing w:after="120" w:before="120" w:line="276"/>
        <w:jc w:val="both"/>
      </w:pPr>
      <w:r>
        <w:rPr>
          <w:rFonts w:ascii="Times New Roman" w:cs="Times New Roman" w:eastAsia="Times New Roman" w:hAnsi="Times New Roman"/>
          <w:b w:val="false"/>
          <w:bCs w:val="false"/>
          <w:i w:val="false"/>
          <w:iCs w:val="false"/>
          <w:color w:val="000000"/>
          <w:sz w:val="24"/>
          <w:szCs w:val="24"/>
        </w:rPr>
        <w:t xml:space="preserve">[20] R. H007, S. Kulkarani, P. Rathod, P. Sen, and P. Bilurkar, "PharmaGA source code repository," GitHub, 2026. [Online]. Available: https://github.com/RahulH007/PharmaGA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spacing w:after="0" w:before="80"/>
      <w:jc w:val="center"/>
    </w:pPr>
    <w:r>
      <w:rPr>
        <w:rFonts w:ascii="Times New Roman" w:cs="Times New Roman" w:eastAsia="Times New Roman" w:hAnsi="Times New Roman"/>
        <w:color w:val="555555"/>
        <w:sz w:val="20"/>
        <w:szCs w:val="20"/>
      </w:rPr>
      <w:t xml:space="preserve">Page </w:t>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r>
      <w:rPr>
        <w:rFonts w:ascii="Times New Roman" w:cs="Times New Roman" w:eastAsia="Times New Roman" w:hAnsi="Times New Roman"/>
        <w:color w:val="555555"/>
        <w:sz w:val="20"/>
        <w:szCs w:val="20"/>
      </w:rPr>
      <w:t xml:space="preserve"> of </w:t>
    </w:r>
    <w:r>
      <w:rPr>
        <w:rFonts w:ascii="Times New Roman" w:cs="Times New Roman" w:eastAsia="Times New Roman" w:hAnsi="Times New Roman"/>
        <w:color w:val="555555"/>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120" w:before="0"/>
      <w:jc w:val="right"/>
    </w:pPr>
    <w:r>
      <w:rPr>
        <w:rFonts w:ascii="Times New Roman" w:cs="Times New Roman" w:eastAsia="Times New Roman" w:hAnsi="Times New Roman"/>
        <w:i/>
        <w:iCs/>
        <w:color w:val="555555"/>
        <w:sz w:val="20"/>
        <w:szCs w:val="20"/>
      </w:rPr>
      <w:t xml:space="preserve">PharmaGA: Parallel Processing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2026-05-10T16:47:49.682Z</dcterms:created>
  <dcterms:modified xsi:type="dcterms:W3CDTF">2026-05-10T16:47:49.699Z</dcterms:modified>
</cp:coreProperties>
</file>

<file path=docProps/custom.xml><?xml version="1.0" encoding="utf-8"?>
<Properties xmlns="http://schemas.openxmlformats.org/officeDocument/2006/custom-properties" xmlns:vt="http://schemas.openxmlformats.org/officeDocument/2006/docPropsVTypes"/>
</file>