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Coolattin Estate Records Explorer</w:t>
      </w:r>
    </w:p>
    <w:p>
      <w:pPr>
        <w:jc w:val="center"/>
      </w:pPr>
      <w:r>
        <w:rPr>
          <w:color w:val="1D4ED8"/>
          <w:sz w:val="28"/>
        </w:rPr>
        <w:t>Three Feature Implementation Report</w:t>
      </w:r>
    </w:p>
    <w:p>
      <w:pPr>
        <w:jc w:val="center"/>
      </w:pPr>
      <w:r>
        <w:rPr>
          <w:color w:val="475467"/>
          <w:sz w:val="22"/>
        </w:rPr>
        <w:t>Masters Dissertation  ·  May 2026</w:t>
      </w:r>
    </w:p>
    <w:p/>
    <w:p>
      <w:pPr>
        <w:pBdr>
          <w:bottom w:val="single" w:sz="4" w:space="1" w:color="CBD5E1"/>
        </w:pBdr>
      </w:pPr>
    </w:p>
    <w:p/>
    <w:p>
      <w:pPr>
        <w:pStyle w:val="Heading1"/>
      </w:pPr>
      <w:r>
        <w:rPr>
          <w:b/>
          <w:color w:val="0F172A"/>
          <w:sz w:val="32"/>
        </w:rPr>
        <w:t>Overview</w:t>
      </w:r>
    </w:p>
    <w:p>
      <w:pPr>
        <w:spacing w:after="120"/>
      </w:pPr>
      <w:r>
        <w:rPr>
          <w:sz w:val="22"/>
        </w:rPr>
        <w:t>This document describes the design and implementation of three technical features developed for the Coolattin Estate Records Explorer as part of a Masters dissertation project. The application is a Python/Flask web application that integrates mid-19th century Irish estate records — tenancy, eviction, emigration, and census data — into a unified, searchable interface backed by SQLite and the VRTI Knowledge Graph SPARQL endpoint.</w:t>
      </w:r>
    </w:p>
    <w:p>
      <w:pPr>
        <w:spacing w:after="120"/>
      </w:pPr>
      <w:r>
        <w:rPr>
          <w:sz w:val="22"/>
        </w:rPr>
        <w:t>The three features documented here address distinct challenges: cross-dataset person matching (Workhouse Matching), database and in-process performance under concurrent load (Application Performance), and side-by-side comparison of relational and RDF query paradigms over the same underlying data (RDF/KG Comparison).</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1E3A5F"/>
          </w:tcPr>
          <w:p>
            <w:r>
              <w:rPr>
                <w:b/>
                <w:color w:val="FFFFFF"/>
                <w:sz w:val="20"/>
              </w:rPr>
              <w:t>Feature</w:t>
            </w:r>
          </w:p>
        </w:tc>
        <w:tc>
          <w:tcPr>
            <w:tcW w:type="dxa" w:w="4032"/>
            <w:shd w:val="clear" w:color="auto" w:fill="1E3A5F"/>
          </w:tcPr>
          <w:p>
            <w:r>
              <w:rPr>
                <w:b/>
                <w:color w:val="FFFFFF"/>
                <w:sz w:val="20"/>
              </w:rPr>
              <w:t>Primary File(s)</w:t>
            </w:r>
          </w:p>
        </w:tc>
        <w:tc>
          <w:tcPr>
            <w:tcW w:type="dxa" w:w="3600"/>
            <w:shd w:val="clear" w:color="auto" w:fill="1E3A5F"/>
          </w:tcPr>
          <w:p>
            <w:r>
              <w:rPr>
                <w:b/>
                <w:color w:val="FFFFFF"/>
                <w:sz w:val="20"/>
              </w:rPr>
              <w:t>Key Technology</w:t>
            </w:r>
          </w:p>
        </w:tc>
      </w:tr>
      <w:tr>
        <w:tc>
          <w:tcPr>
            <w:tcW w:type="dxa" w:w="2592"/>
            <w:shd w:val="clear" w:color="auto" w:fill="F0F4FF"/>
          </w:tcPr>
          <w:p>
            <w:r>
              <w:rPr>
                <w:sz w:val="20"/>
              </w:rPr>
              <w:t>Workhouse Matching</w:t>
            </w:r>
          </w:p>
        </w:tc>
        <w:tc>
          <w:tcPr>
            <w:tcW w:type="dxa" w:w="4032"/>
            <w:shd w:val="clear" w:color="auto" w:fill="F0F4FF"/>
          </w:tcPr>
          <w:p>
            <w:r>
              <w:rPr>
                <w:sz w:val="20"/>
              </w:rPr>
              <w:t>backend/services/workhouse_service.py</w:t>
            </w:r>
          </w:p>
        </w:tc>
        <w:tc>
          <w:tcPr>
            <w:tcW w:type="dxa" w:w="3600"/>
            <w:shd w:val="clear" w:color="auto" w:fill="F0F4FF"/>
          </w:tcPr>
          <w:p>
            <w:r>
              <w:rPr>
                <w:sz w:val="20"/>
              </w:rPr>
              <w:t>difflib.SequenceMatcher · pandas · in-process index</w:t>
            </w:r>
          </w:p>
        </w:tc>
      </w:tr>
      <w:tr>
        <w:tc>
          <w:tcPr>
            <w:tcW w:type="dxa" w:w="2592"/>
            <w:shd w:val="clear" w:color="auto" w:fill="FFFFFF"/>
          </w:tcPr>
          <w:p>
            <w:r>
              <w:rPr>
                <w:sz w:val="20"/>
              </w:rPr>
              <w:t>Application Performance</w:t>
            </w:r>
          </w:p>
        </w:tc>
        <w:tc>
          <w:tcPr>
            <w:tcW w:type="dxa" w:w="4032"/>
            <w:shd w:val="clear" w:color="auto" w:fill="FFFFFF"/>
          </w:tcPr>
          <w:p>
            <w:r>
              <w:rPr>
                <w:sz w:val="20"/>
              </w:rPr>
              <w:t>extensions.py · backend/services/ask_service.py</w:t>
            </w:r>
          </w:p>
        </w:tc>
        <w:tc>
          <w:tcPr>
            <w:tcW w:type="dxa" w:w="3600"/>
            <w:shd w:val="clear" w:color="auto" w:fill="FFFFFF"/>
          </w:tcPr>
          <w:p>
            <w:r>
              <w:rPr>
                <w:sz w:val="20"/>
              </w:rPr>
              <w:t>SQLite PRAGMAs · composite indexes · thread-safe caches</w:t>
            </w:r>
          </w:p>
        </w:tc>
      </w:tr>
      <w:tr>
        <w:tc>
          <w:tcPr>
            <w:tcW w:type="dxa" w:w="2592"/>
            <w:shd w:val="clear" w:color="auto" w:fill="F0F4FF"/>
          </w:tcPr>
          <w:p>
            <w:r>
              <w:rPr>
                <w:sz w:val="20"/>
              </w:rPr>
              <w:t>RDF/KG Comparison</w:t>
            </w:r>
          </w:p>
        </w:tc>
        <w:tc>
          <w:tcPr>
            <w:tcW w:type="dxa" w:w="4032"/>
            <w:shd w:val="clear" w:color="auto" w:fill="F0F4FF"/>
          </w:tcPr>
          <w:p>
            <w:r>
              <w:rPr>
                <w:sz w:val="20"/>
              </w:rPr>
              <w:t>backend/services/kg_service.py</w:t>
              <w:br/>
              <w:t>backend/routes/kg_explore.py</w:t>
            </w:r>
          </w:p>
        </w:tc>
        <w:tc>
          <w:tcPr>
            <w:tcW w:type="dxa" w:w="3600"/>
            <w:shd w:val="clear" w:color="auto" w:fill="F0F4FF"/>
          </w:tcPr>
          <w:p>
            <w:r>
              <w:rPr>
                <w:sz w:val="20"/>
              </w:rPr>
              <w:t>rdflib · GraphDB HTTP · OpenRouter LLM · D3.js</w:t>
            </w:r>
          </w:p>
        </w:tc>
      </w:tr>
    </w:tbl>
    <w:p/>
    <w:p>
      <w:pPr>
        <w:pBdr>
          <w:bottom w:val="single" w:sz="4" w:space="1" w:color="CBD5E1"/>
        </w:pBdr>
      </w:pPr>
    </w:p>
    <w:p>
      <w:pPr>
        <w:pStyle w:val="Heading1"/>
      </w:pPr>
      <w:r>
        <w:rPr>
          <w:b/>
          <w:color w:val="0F172A"/>
          <w:sz w:val="32"/>
        </w:rPr>
        <w:t>Feature 1: Workhouse Matching</w:t>
      </w:r>
    </w:p>
    <w:p>
      <w:pPr>
        <w:pStyle w:val="Heading2"/>
      </w:pPr>
      <w:r>
        <w:rPr>
          <w:b/>
          <w:color w:val="1D4ED8"/>
          <w:sz w:val="26"/>
        </w:rPr>
        <w:t>1.1  Problem Statement</w:t>
      </w:r>
    </w:p>
    <w:p>
      <w:pPr>
        <w:spacing w:after="120"/>
      </w:pPr>
      <w:r>
        <w:rPr>
          <w:sz w:val="22"/>
        </w:rPr>
        <w:t>The Shillelagh Union Workhouse register (workhouse_data_final.xlsx) lists paupers admitted or born in the workhouse during the Famine period. These records use free-text name fields, inconsistent date formats, and geographic designations (electoral divisions) that overlap only partially with the townland and parish fields in the main unified estate records. The challenge is to produce ranked, confidence-banded matches between the ~13,000 unified estate records and the workhouse register without a shared primary key.</w:t>
      </w:r>
    </w:p>
    <w:p>
      <w:pPr>
        <w:pStyle w:val="Heading2"/>
      </w:pPr>
      <w:r>
        <w:rPr>
          <w:b/>
          <w:color w:val="1D4ED8"/>
          <w:sz w:val="26"/>
        </w:rPr>
        <w:t>1.2  Data Sources</w:t>
      </w:r>
    </w:p>
    <w:p>
      <w:pPr>
        <w:spacing w:after="120"/>
      </w:pPr>
      <w:r>
        <w:rPr>
          <w:sz w:val="22"/>
        </w:rPr>
        <w:t>The workhouse register is held in two Excel sheets within workhouse_data_final.xlsx:</w:t>
      </w:r>
    </w:p>
    <w:tbl>
      <w:tblPr>
        <w:tblStyle w:val="TableGrid"/>
        <w:tblW w:type="auto" w:w="0"/>
        <w:tblLook w:firstColumn="1" w:firstRow="1" w:lastColumn="0" w:lastRow="0" w:noHBand="0" w:noVBand="1" w:val="04A0"/>
      </w:tblPr>
      <w:tblGrid>
        <w:gridCol w:w="3041"/>
        <w:gridCol w:w="3041"/>
        <w:gridCol w:w="3041"/>
      </w:tblGrid>
      <w:tr>
        <w:tc>
          <w:tcPr>
            <w:tcW w:type="dxa" w:w="1440"/>
            <w:shd w:val="clear" w:color="auto" w:fill="1E3A5F"/>
          </w:tcPr>
          <w:p>
            <w:r>
              <w:rPr>
                <w:b/>
                <w:color w:val="FFFFFF"/>
                <w:sz w:val="20"/>
              </w:rPr>
              <w:t>Sheet</w:t>
            </w:r>
          </w:p>
        </w:tc>
        <w:tc>
          <w:tcPr>
            <w:tcW w:type="dxa" w:w="3168"/>
            <w:shd w:val="clear" w:color="auto" w:fill="1E3A5F"/>
          </w:tcPr>
          <w:p>
            <w:r>
              <w:rPr>
                <w:b/>
                <w:color w:val="FFFFFF"/>
                <w:sz w:val="20"/>
              </w:rPr>
              <w:t>Name field</w:t>
            </w:r>
          </w:p>
        </w:tc>
        <w:tc>
          <w:tcPr>
            <w:tcW w:type="dxa" w:w="5616"/>
            <w:shd w:val="clear" w:color="auto" w:fill="1E3A5F"/>
          </w:tcPr>
          <w:p>
            <w:r>
              <w:rPr>
                <w:b/>
                <w:color w:val="FFFFFF"/>
                <w:sz w:val="20"/>
              </w:rPr>
              <w:t>Key attributes</w:t>
            </w:r>
          </w:p>
        </w:tc>
      </w:tr>
      <w:tr>
        <w:tc>
          <w:tcPr>
            <w:tcW w:type="dxa" w:w="1440"/>
            <w:shd w:val="clear" w:color="auto" w:fill="F0F4FF"/>
          </w:tcPr>
          <w:p>
            <w:r>
              <w:rPr>
                <w:sz w:val="20"/>
              </w:rPr>
              <w:t>1-127</w:t>
            </w:r>
          </w:p>
        </w:tc>
        <w:tc>
          <w:tcPr>
            <w:tcW w:type="dxa" w:w="3168"/>
            <w:shd w:val="clear" w:color="auto" w:fill="F0F4FF"/>
          </w:tcPr>
          <w:p>
            <w:r>
              <w:rPr>
                <w:sz w:val="20"/>
              </w:rPr>
              <w:t>Pauper Name (Surname Forename)</w:t>
            </w:r>
          </w:p>
        </w:tc>
        <w:tc>
          <w:tcPr>
            <w:tcW w:type="dxa" w:w="5616"/>
            <w:shd w:val="clear" w:color="auto" w:fill="F0F4FF"/>
          </w:tcPr>
          <w:p>
            <w:r>
              <w:rPr>
                <w:sz w:val="20"/>
              </w:rPr>
              <w:t>Register number only; no electoral division or dates</w:t>
            </w:r>
          </w:p>
        </w:tc>
      </w:tr>
      <w:tr>
        <w:tc>
          <w:tcPr>
            <w:tcW w:type="dxa" w:w="1440"/>
            <w:shd w:val="clear" w:color="auto" w:fill="FFFFFF"/>
          </w:tcPr>
          <w:p>
            <w:r>
              <w:rPr>
                <w:sz w:val="20"/>
              </w:rPr>
              <w:t>from 128</w:t>
            </w:r>
          </w:p>
        </w:tc>
        <w:tc>
          <w:tcPr>
            <w:tcW w:type="dxa" w:w="3168"/>
            <w:shd w:val="clear" w:color="auto" w:fill="FFFFFF"/>
          </w:tcPr>
          <w:p>
            <w:r>
              <w:rPr>
                <w:sz w:val="20"/>
              </w:rPr>
              <w:t>Names and Surnames of Paupers (Surname Forename)</w:t>
            </w:r>
          </w:p>
        </w:tc>
        <w:tc>
          <w:tcPr>
            <w:tcW w:type="dxa" w:w="5616"/>
            <w:shd w:val="clear" w:color="auto" w:fill="FFFFFF"/>
          </w:tcPr>
          <w:p>
            <w:r>
              <w:rPr>
                <w:sz w:val="20"/>
              </w:rPr>
              <w:t>Electoral division · Sex · Age · Employment · Admission date · Departure date</w:t>
            </w:r>
          </w:p>
        </w:tc>
      </w:tr>
    </w:tbl>
    <w:p/>
    <w:p>
      <w:pPr>
        <w:spacing w:after="120"/>
      </w:pPr>
      <w:r>
        <w:rPr>
          <w:sz w:val="22"/>
        </w:rPr>
        <w:t>All records are loaded once at first request, parsed into a normalised list of dicts, and cached in the module-level _WORKHOUSE_CACHE variable for the lifetime of the process. Dates are parsed from free-text strings (e.g. '14 March 1849') using a regex that extracts the four-digit 19th-century year.</w:t>
      </w:r>
    </w:p>
    <w:p>
      <w:pPr>
        <w:pStyle w:val="Heading2"/>
      </w:pPr>
      <w:r>
        <w:rPr>
          <w:b/>
          <w:color w:val="1D4ED8"/>
          <w:sz w:val="26"/>
        </w:rPr>
        <w:t>1.3  Matching Algorithm</w:t>
      </w:r>
    </w:p>
    <w:p>
      <w:pPr>
        <w:spacing w:after="120"/>
      </w:pPr>
      <w:r>
        <w:rPr>
          <w:sz w:val="22"/>
        </w:rPr>
        <w:t>Matching is performed by get_match_index(), which builds a dict keyed by unified record_id. The index is computed once and cached. The algorithm follows a place-first strategy with four sequential stages:</w:t>
      </w:r>
    </w:p>
    <w:p>
      <w:pPr>
        <w:pStyle w:val="Heading3"/>
      </w:pPr>
      <w:r>
        <w:rPr>
          <w:b/>
          <w:color w:val="166A34"/>
          <w:sz w:val="22"/>
        </w:rPr>
        <w:t>Stage 1 — Place candidate selection</w:t>
      </w:r>
    </w:p>
    <w:p>
      <w:pPr>
        <w:spacing w:after="120"/>
      </w:pPr>
      <w:r>
        <w:rPr>
          <w:sz w:val="22"/>
        </w:rPr>
        <w:t>For each unified record, the normalised townland and parish are matched against the workhouse record's electoral_division field using three criteria in order:</w:t>
      </w:r>
    </w:p>
    <w:p>
      <w:pPr>
        <w:pStyle w:val="ListBullet"/>
        <w:ind w:left="283"/>
      </w:pPr>
      <w:r>
        <w:rPr>
          <w:sz w:val="21"/>
        </w:rPr>
        <w:t>Exact equality: ed == townland or ed == parish</w:t>
      </w:r>
    </w:p>
    <w:p>
      <w:pPr>
        <w:pStyle w:val="ListBullet"/>
        <w:ind w:left="283"/>
      </w:pPr>
      <w:r>
        <w:rPr>
          <w:sz w:val="21"/>
        </w:rPr>
        <w:t>Substring containment: ed in townland, townland in ed, ed in parish, parish in ed</w:t>
      </w:r>
    </w:p>
    <w:p>
      <w:pPr>
        <w:pStyle w:val="ListBullet"/>
        <w:ind w:left="283"/>
      </w:pPr>
      <w:r>
        <w:rPr>
          <w:sz w:val="21"/>
        </w:rPr>
        <w:t>A pre-built inverted index (wh_by_place) enables O(1) lookup for exact matches; partial containment scans the remaining records.</w:t>
      </w:r>
    </w:p>
    <w:p/>
    <w:p>
      <w:pPr>
        <w:pStyle w:val="Heading3"/>
      </w:pPr>
      <w:r>
        <w:rPr>
          <w:b/>
          <w:color w:val="166A34"/>
          <w:sz w:val="22"/>
        </w:rPr>
        <w:t>Stage 2 — Date-window filtering</w:t>
      </w:r>
    </w:p>
    <w:p>
      <w:pPr>
        <w:spacing w:after="120"/>
      </w:pPr>
      <w:r>
        <w:rPr>
          <w:sz w:val="22"/>
        </w:rPr>
        <w:t>Within the place candidates, records are further filtered to those whose admission year falls within ±1 year of the unified record's year. This tolerates transcription errors and records where a person was admitted shortly before or after the estate event. If no place+date candidates exist, the algorithm falls back to place candidates only; if no place candidates exist, the full workhouse register is used as the scoring pool.</w:t>
      </w:r>
    </w:p>
    <w:p>
      <w:pPr>
        <w:pStyle w:val="Heading3"/>
      </w:pPr>
      <w:r>
        <w:rPr>
          <w:b/>
          <w:color w:val="166A34"/>
          <w:sz w:val="22"/>
        </w:rPr>
        <w:t>Stage 3 — Name scoring</w:t>
      </w:r>
    </w:p>
    <w:p>
      <w:pPr>
        <w:spacing w:after="120"/>
      </w:pPr>
      <w:r>
        <w:rPr>
          <w:sz w:val="22"/>
        </w:rPr>
        <w:t>Name similarity is computed using Python's difflib.SequenceMatcher across all cross-products of name variants. For each record, up to three variants are generated:</w:t>
      </w:r>
    </w:p>
    <w:p>
      <w:pPr>
        <w:pStyle w:val="ListBullet"/>
        <w:ind w:left="283"/>
      </w:pPr>
      <w:r>
        <w:rPr>
          <w:sz w:val="21"/>
        </w:rPr>
        <w:t>"forename surname" (natural order)</w:t>
      </w:r>
    </w:p>
    <w:p>
      <w:pPr>
        <w:pStyle w:val="ListBullet"/>
        <w:ind w:left="283"/>
      </w:pPr>
      <w:r>
        <w:rPr>
          <w:sz w:val="21"/>
        </w:rPr>
        <w:t>"surname forename" (register order — workhouse entries are stored as Surname Forename)</w:t>
      </w:r>
    </w:p>
    <w:p>
      <w:pPr>
        <w:pStyle w:val="ListBullet"/>
        <w:ind w:left="283"/>
      </w:pPr>
      <w:r>
        <w:rPr>
          <w:sz w:val="21"/>
        </w:rPr>
        <w:t>The raw canonical_name field from the unified record (if present)</w:t>
      </w:r>
    </w:p>
    <w:p>
      <w:pPr>
        <w:spacing w:after="120"/>
      </w:pPr>
      <w:r>
        <w:rPr>
          <w:sz w:val="22"/>
        </w:rPr>
        <w:t>The highest SequenceMatcher ratio across all variant pairs is taken as the name score. This handles common historical issues such as inverted name order, abbreviations (Pat vs Patrick), and minor spelling variation.</w:t>
      </w:r>
    </w:p>
    <w:p>
      <w:pPr>
        <w:spacing w:before="80" w:after="80"/>
        <w:ind w:left="567"/>
        <w:shd w:val="clear" w:color="auto" w:fill="F1F5FB"/>
      </w:pPr>
      <w:r>
        <w:rPr>
          <w:rFonts w:ascii="Courier New" w:hAnsi="Courier New"/>
          <w:color w:val="1E40AF"/>
          <w:sz w:val="18"/>
        </w:rPr>
        <w:t>best = max(SequenceMatcher(None, uv, wv).ratio()</w:t>
        <w:br/>
        <w:t xml:space="preserve">         for uv in unified_variants for wv in wh_variants)</w:t>
      </w:r>
    </w:p>
    <w:p>
      <w:pPr>
        <w:pStyle w:val="Heading3"/>
      </w:pPr>
      <w:r>
        <w:rPr>
          <w:b/>
          <w:color w:val="166A34"/>
          <w:sz w:val="22"/>
        </w:rPr>
        <w:t>Stage 4 — Occupation bonus</w:t>
      </w:r>
    </w:p>
    <w:p>
      <w:pPr>
        <w:spacing w:after="120"/>
      </w:pPr>
      <w:r>
        <w:rPr>
          <w:sz w:val="22"/>
        </w:rPr>
        <w:t>A fixed bonus of +0.05 is added to the effective score when the unified record's occupation field and the workhouse employment field share a keyword from a curated vocabulary (labourer, farmer, servant, weaver, tailor, carpenter, etc.). The bonus improves ranking within a confidence tier but cannot promote a record across a tier boundary — it is capped at 1.0 and does not raise the raw name_score threshold.</w:t>
      </w:r>
    </w:p>
    <w:p>
      <w:pPr>
        <w:pStyle w:val="Heading2"/>
      </w:pPr>
      <w:r>
        <w:rPr>
          <w:b/>
          <w:color w:val="1D4ED8"/>
          <w:sz w:val="26"/>
        </w:rPr>
        <w:t>1.4  Confidence Bands</w:t>
      </w:r>
    </w:p>
    <w:p>
      <w:pPr>
        <w:spacing w:after="120"/>
      </w:pPr>
      <w:r>
        <w:rPr>
          <w:sz w:val="22"/>
        </w:rPr>
        <w:t>Each match is assigned one of three confidence bands based on the combination of place match, date match, and name score:</w:t>
      </w:r>
    </w:p>
    <w:tbl>
      <w:tblPr>
        <w:tblStyle w:val="TableGrid"/>
        <w:tblW w:type="auto" w:w="0"/>
        <w:tblLook w:firstColumn="1" w:firstRow="1" w:lastColumn="0" w:lastRow="0" w:noHBand="0" w:noVBand="1" w:val="04A0"/>
      </w:tblPr>
      <w:tblGrid>
        <w:gridCol w:w="3041"/>
        <w:gridCol w:w="3041"/>
        <w:gridCol w:w="3041"/>
      </w:tblGrid>
      <w:tr>
        <w:tc>
          <w:tcPr>
            <w:tcW w:type="dxa" w:w="1440"/>
            <w:shd w:val="clear" w:color="auto" w:fill="1E3A5F"/>
          </w:tcPr>
          <w:p>
            <w:r>
              <w:rPr>
                <w:b/>
                <w:color w:val="FFFFFF"/>
                <w:sz w:val="20"/>
              </w:rPr>
              <w:t>Band</w:t>
            </w:r>
          </w:p>
        </w:tc>
        <w:tc>
          <w:tcPr>
            <w:tcW w:type="dxa" w:w="4608"/>
            <w:shd w:val="clear" w:color="auto" w:fill="1E3A5F"/>
          </w:tcPr>
          <w:p>
            <w:r>
              <w:rPr>
                <w:b/>
                <w:color w:val="FFFFFF"/>
                <w:sz w:val="20"/>
              </w:rPr>
              <w:t>Condition</w:t>
            </w:r>
          </w:p>
        </w:tc>
        <w:tc>
          <w:tcPr>
            <w:tcW w:type="dxa" w:w="4176"/>
            <w:shd w:val="clear" w:color="auto" w:fill="1E3A5F"/>
          </w:tcPr>
          <w:p>
            <w:r>
              <w:rPr>
                <w:b/>
                <w:color w:val="FFFFFF"/>
                <w:sz w:val="20"/>
              </w:rPr>
              <w:t>Typical use</w:t>
            </w:r>
          </w:p>
        </w:tc>
      </w:tr>
      <w:tr>
        <w:tc>
          <w:tcPr>
            <w:tcW w:type="dxa" w:w="1440"/>
            <w:shd w:val="clear" w:color="auto" w:fill="F0F4FF"/>
          </w:tcPr>
          <w:p>
            <w:r>
              <w:rPr>
                <w:sz w:val="20"/>
              </w:rPr>
              <w:t>High</w:t>
            </w:r>
          </w:p>
        </w:tc>
        <w:tc>
          <w:tcPr>
            <w:tcW w:type="dxa" w:w="4608"/>
            <w:shd w:val="clear" w:color="auto" w:fill="F0F4FF"/>
          </w:tcPr>
          <w:p>
            <w:r>
              <w:rPr>
                <w:sz w:val="20"/>
              </w:rPr>
              <w:t>place_match AND date_match AND name_score ≥ 0.80</w:t>
            </w:r>
          </w:p>
        </w:tc>
        <w:tc>
          <w:tcPr>
            <w:tcW w:type="dxa" w:w="4176"/>
            <w:shd w:val="clear" w:color="auto" w:fill="F0F4FF"/>
          </w:tcPr>
          <w:p>
            <w:r>
              <w:rPr>
                <w:sz w:val="20"/>
              </w:rPr>
              <w:t>Strong evidence of the same person; suitable for direct display</w:t>
            </w:r>
          </w:p>
        </w:tc>
      </w:tr>
      <w:tr>
        <w:tc>
          <w:tcPr>
            <w:tcW w:type="dxa" w:w="1440"/>
            <w:shd w:val="clear" w:color="auto" w:fill="FFFFFF"/>
          </w:tcPr>
          <w:p>
            <w:r>
              <w:rPr>
                <w:sz w:val="20"/>
              </w:rPr>
              <w:t>Medium</w:t>
            </w:r>
          </w:p>
        </w:tc>
        <w:tc>
          <w:tcPr>
            <w:tcW w:type="dxa" w:w="4608"/>
            <w:shd w:val="clear" w:color="auto" w:fill="FFFFFF"/>
          </w:tcPr>
          <w:p>
            <w:r>
              <w:rPr>
                <w:sz w:val="20"/>
              </w:rPr>
              <w:t>(place_match OR date_match) AND name_score ≥ 0.60</w:t>
            </w:r>
          </w:p>
        </w:tc>
        <w:tc>
          <w:tcPr>
            <w:tcW w:type="dxa" w:w="4176"/>
            <w:shd w:val="clear" w:color="auto" w:fill="FFFFFF"/>
          </w:tcPr>
          <w:p>
            <w:r>
              <w:rPr>
                <w:sz w:val="20"/>
              </w:rPr>
              <w:t>Plausible match; display with caution note</w:t>
            </w:r>
          </w:p>
        </w:tc>
      </w:tr>
      <w:tr>
        <w:tc>
          <w:tcPr>
            <w:tcW w:type="dxa" w:w="1440"/>
            <w:shd w:val="clear" w:color="auto" w:fill="F0F4FF"/>
          </w:tcPr>
          <w:p>
            <w:r>
              <w:rPr>
                <w:sz w:val="20"/>
              </w:rPr>
              <w:t>Low</w:t>
            </w:r>
          </w:p>
        </w:tc>
        <w:tc>
          <w:tcPr>
            <w:tcW w:type="dxa" w:w="4608"/>
            <w:shd w:val="clear" w:color="auto" w:fill="F0F4FF"/>
          </w:tcPr>
          <w:p>
            <w:r>
              <w:rPr>
                <w:sz w:val="20"/>
              </w:rPr>
              <w:t>name_score ≥ 0.60, no confirmed place or date</w:t>
            </w:r>
          </w:p>
        </w:tc>
        <w:tc>
          <w:tcPr>
            <w:tcW w:type="dxa" w:w="4176"/>
            <w:shd w:val="clear" w:color="auto" w:fill="F0F4FF"/>
          </w:tcPr>
          <w:p>
            <w:r>
              <w:rPr>
                <w:sz w:val="20"/>
              </w:rPr>
              <w:t>Speculative; listed only when no better match exists</w:t>
            </w:r>
          </w:p>
        </w:tc>
      </w:tr>
      <w:tr>
        <w:tc>
          <w:tcPr>
            <w:tcW w:type="dxa" w:w="1440"/>
            <w:shd w:val="clear" w:color="auto" w:fill="FFFFFF"/>
          </w:tcPr>
          <w:p>
            <w:r>
              <w:rPr>
                <w:sz w:val="20"/>
              </w:rPr>
              <w:t>—</w:t>
            </w:r>
          </w:p>
        </w:tc>
        <w:tc>
          <w:tcPr>
            <w:tcW w:type="dxa" w:w="4608"/>
            <w:shd w:val="clear" w:color="auto" w:fill="FFFFFF"/>
          </w:tcPr>
          <w:p>
            <w:r>
              <w:rPr>
                <w:sz w:val="20"/>
              </w:rPr>
              <w:t>name_score &lt; 0.60</w:t>
            </w:r>
          </w:p>
        </w:tc>
        <w:tc>
          <w:tcPr>
            <w:tcW w:type="dxa" w:w="4176"/>
            <w:shd w:val="clear" w:color="auto" w:fill="FFFFFF"/>
          </w:tcPr>
          <w:p>
            <w:r>
              <w:rPr>
                <w:sz w:val="20"/>
              </w:rPr>
              <w:t>Excluded from results entirely</w:t>
            </w:r>
          </w:p>
        </w:tc>
      </w:tr>
    </w:tbl>
    <w:p/>
    <w:p>
      <w:pPr>
        <w:pStyle w:val="Heading2"/>
      </w:pPr>
      <w:r>
        <w:rPr>
          <w:b/>
          <w:color w:val="1D4ED8"/>
          <w:sz w:val="26"/>
        </w:rPr>
        <w:t>1.5  API Surface</w:t>
      </w:r>
    </w:p>
    <w:p>
      <w:pPr>
        <w:spacing w:after="120"/>
      </w:pPr>
      <w:r>
        <w:rPr>
          <w:sz w:val="22"/>
        </w:rPr>
        <w:t>The matching index is exposed through a single HTTP endpoint registered as a legacy compatibility route in create_app.py:</w:t>
      </w:r>
    </w:p>
    <w:p>
      <w:pPr>
        <w:spacing w:before="80" w:after="80"/>
        <w:ind w:left="567"/>
        <w:shd w:val="clear" w:color="auto" w:fill="F1F5FB"/>
      </w:pPr>
      <w:r>
        <w:rPr>
          <w:rFonts w:ascii="Courier New" w:hAnsi="Courier New"/>
          <w:color w:val="1E40AF"/>
          <w:sz w:val="18"/>
        </w:rPr>
        <w:t>GET /api/workhouse/match/&lt;record_id&gt;</w:t>
      </w:r>
    </w:p>
    <w:p>
      <w:pPr>
        <w:spacing w:after="120"/>
      </w:pPr>
      <w:r>
        <w:rPr>
          <w:sz w:val="22"/>
        </w:rPr>
        <w:t>The response is a JSON object with record_id, count, and a ranked matches array. Each match includes the raw workhouse fields, plus computed fields: confidence, name_score, location_match, occupation_match, and match_basis (a human-readable summary of what evidence contributed to the match).</w:t>
      </w:r>
    </w:p>
    <w:p>
      <w:pPr>
        <w:pBdr>
          <w:bottom w:val="single" w:sz="4" w:space="1" w:color="CBD5E1"/>
        </w:pBdr>
      </w:pPr>
    </w:p>
    <w:p>
      <w:pPr>
        <w:pStyle w:val="Heading1"/>
      </w:pPr>
      <w:r>
        <w:rPr>
          <w:b/>
          <w:color w:val="0F172A"/>
          <w:sz w:val="32"/>
        </w:rPr>
        <w:t>Feature 2: Application Performance</w:t>
      </w:r>
    </w:p>
    <w:p>
      <w:pPr>
        <w:pStyle w:val="Heading2"/>
      </w:pPr>
      <w:r>
        <w:rPr>
          <w:b/>
          <w:color w:val="1D4ED8"/>
          <w:sz w:val="26"/>
        </w:rPr>
        <w:t>2.1  Scope</w:t>
      </w:r>
    </w:p>
    <w:p>
      <w:pPr>
        <w:spacing w:after="120"/>
      </w:pPr>
      <w:r>
        <w:rPr>
          <w:sz w:val="22"/>
        </w:rPr>
        <w:t>Performance optimisation targets three layers: the SQLite database engine (PRAGMA tuning and composite indexes), in-process module-level caches for expensive or frequently repeated computations, and HTTP-level static file caching. All changes are backward-compatible with the existing raw sqlite3 architecture and introduce no new runtime dependencies.</w:t>
      </w:r>
    </w:p>
    <w:p>
      <w:pPr>
        <w:pStyle w:val="Heading2"/>
      </w:pPr>
      <w:r>
        <w:rPr>
          <w:b/>
          <w:color w:val="1D4ED8"/>
          <w:sz w:val="26"/>
        </w:rPr>
        <w:t>2.2  SQLite PRAGMA Tuning</w:t>
      </w:r>
    </w:p>
    <w:p>
      <w:pPr>
        <w:spacing w:after="120"/>
      </w:pPr>
      <w:r>
        <w:rPr>
          <w:sz w:val="22"/>
        </w:rPr>
        <w:t>Five SQLite PRAGMAs are applied to every connection returned by get_db_conn() in extensions.py. Because WAL mode is enabled, these settings provide significant read throughput improvements with no durability trade-off:</w:t>
      </w:r>
    </w:p>
    <w:tbl>
      <w:tblPr>
        <w:tblStyle w:val="TableGrid"/>
        <w:tblW w:type="auto" w:w="0"/>
        <w:tblLook w:firstColumn="1" w:firstRow="1" w:lastColumn="0" w:lastRow="0" w:noHBand="0" w:noVBand="1" w:val="04A0"/>
      </w:tblPr>
      <w:tblGrid>
        <w:gridCol w:w="3041"/>
        <w:gridCol w:w="3041"/>
        <w:gridCol w:w="3041"/>
      </w:tblGrid>
      <w:tr>
        <w:tc>
          <w:tcPr>
            <w:tcW w:type="dxa" w:w="2016"/>
            <w:shd w:val="clear" w:color="auto" w:fill="1E3A5F"/>
          </w:tcPr>
          <w:p>
            <w:r>
              <w:rPr>
                <w:b/>
                <w:color w:val="FFFFFF"/>
                <w:sz w:val="20"/>
              </w:rPr>
              <w:t>PRAGMA</w:t>
            </w:r>
          </w:p>
        </w:tc>
        <w:tc>
          <w:tcPr>
            <w:tcW w:type="dxa" w:w="2016"/>
            <w:shd w:val="clear" w:color="auto" w:fill="1E3A5F"/>
          </w:tcPr>
          <w:p>
            <w:r>
              <w:rPr>
                <w:b/>
                <w:color w:val="FFFFFF"/>
                <w:sz w:val="20"/>
              </w:rPr>
              <w:t>Value</w:t>
            </w:r>
          </w:p>
        </w:tc>
        <w:tc>
          <w:tcPr>
            <w:tcW w:type="dxa" w:w="6192"/>
            <w:shd w:val="clear" w:color="auto" w:fill="1E3A5F"/>
          </w:tcPr>
          <w:p>
            <w:r>
              <w:rPr>
                <w:b/>
                <w:color w:val="FFFFFF"/>
                <w:sz w:val="20"/>
              </w:rPr>
              <w:t>Effect</w:t>
            </w:r>
          </w:p>
        </w:tc>
      </w:tr>
      <w:tr>
        <w:tc>
          <w:tcPr>
            <w:tcW w:type="dxa" w:w="2016"/>
            <w:shd w:val="clear" w:color="auto" w:fill="F0F4FF"/>
          </w:tcPr>
          <w:p>
            <w:r>
              <w:rPr>
                <w:sz w:val="20"/>
              </w:rPr>
              <w:t>journal_mode</w:t>
            </w:r>
          </w:p>
        </w:tc>
        <w:tc>
          <w:tcPr>
            <w:tcW w:type="dxa" w:w="2016"/>
            <w:shd w:val="clear" w:color="auto" w:fill="F0F4FF"/>
          </w:tcPr>
          <w:p>
            <w:r>
              <w:rPr>
                <w:sz w:val="20"/>
              </w:rPr>
              <w:t>WAL</w:t>
            </w:r>
          </w:p>
        </w:tc>
        <w:tc>
          <w:tcPr>
            <w:tcW w:type="dxa" w:w="6192"/>
            <w:shd w:val="clear" w:color="auto" w:fill="F0F4FF"/>
          </w:tcPr>
          <w:p>
            <w:r>
              <w:rPr>
                <w:sz w:val="20"/>
              </w:rPr>
              <w:t>Write-Ahead Logging enables concurrent reads during writes; eliminates shared-lock contention</w:t>
            </w:r>
          </w:p>
        </w:tc>
      </w:tr>
      <w:tr>
        <w:tc>
          <w:tcPr>
            <w:tcW w:type="dxa" w:w="2016"/>
            <w:shd w:val="clear" w:color="auto" w:fill="FFFFFF"/>
          </w:tcPr>
          <w:p>
            <w:r>
              <w:rPr>
                <w:sz w:val="20"/>
              </w:rPr>
              <w:t>foreign_keys</w:t>
            </w:r>
          </w:p>
        </w:tc>
        <w:tc>
          <w:tcPr>
            <w:tcW w:type="dxa" w:w="2016"/>
            <w:shd w:val="clear" w:color="auto" w:fill="FFFFFF"/>
          </w:tcPr>
          <w:p>
            <w:r>
              <w:rPr>
                <w:sz w:val="20"/>
              </w:rPr>
              <w:t>ON</w:t>
            </w:r>
          </w:p>
        </w:tc>
        <w:tc>
          <w:tcPr>
            <w:tcW w:type="dxa" w:w="6192"/>
            <w:shd w:val="clear" w:color="auto" w:fill="FFFFFF"/>
          </w:tcPr>
          <w:p>
            <w:r>
              <w:rPr>
                <w:sz w:val="20"/>
              </w:rPr>
              <w:t>Enforces referential integrity across townland / census / clearances tables</w:t>
            </w:r>
          </w:p>
        </w:tc>
      </w:tr>
      <w:tr>
        <w:tc>
          <w:tcPr>
            <w:tcW w:type="dxa" w:w="2016"/>
            <w:shd w:val="clear" w:color="auto" w:fill="F0F4FF"/>
          </w:tcPr>
          <w:p>
            <w:r>
              <w:rPr>
                <w:sz w:val="20"/>
              </w:rPr>
              <w:t>synchronous</w:t>
            </w:r>
          </w:p>
        </w:tc>
        <w:tc>
          <w:tcPr>
            <w:tcW w:type="dxa" w:w="2016"/>
            <w:shd w:val="clear" w:color="auto" w:fill="F0F4FF"/>
          </w:tcPr>
          <w:p>
            <w:r>
              <w:rPr>
                <w:sz w:val="20"/>
              </w:rPr>
              <w:t>NORMAL</w:t>
            </w:r>
          </w:p>
        </w:tc>
        <w:tc>
          <w:tcPr>
            <w:tcW w:type="dxa" w:w="6192"/>
            <w:shd w:val="clear" w:color="auto" w:fill="F0F4FF"/>
          </w:tcPr>
          <w:p>
            <w:r>
              <w:rPr>
                <w:sz w:val="20"/>
              </w:rPr>
              <w:t>Reduces fsync calls; safe under WAL because the WAL header is always synced</w:t>
            </w:r>
          </w:p>
        </w:tc>
      </w:tr>
      <w:tr>
        <w:tc>
          <w:tcPr>
            <w:tcW w:type="dxa" w:w="2016"/>
            <w:shd w:val="clear" w:color="auto" w:fill="FFFFFF"/>
          </w:tcPr>
          <w:p>
            <w:r>
              <w:rPr>
                <w:sz w:val="20"/>
              </w:rPr>
              <w:t>cache_size</w:t>
            </w:r>
          </w:p>
        </w:tc>
        <w:tc>
          <w:tcPr>
            <w:tcW w:type="dxa" w:w="2016"/>
            <w:shd w:val="clear" w:color="auto" w:fill="FFFFFF"/>
          </w:tcPr>
          <w:p>
            <w:r>
              <w:rPr>
                <w:sz w:val="20"/>
              </w:rPr>
              <w:t>-65536</w:t>
            </w:r>
          </w:p>
        </w:tc>
        <w:tc>
          <w:tcPr>
            <w:tcW w:type="dxa" w:w="6192"/>
            <w:shd w:val="clear" w:color="auto" w:fill="FFFFFF"/>
          </w:tcPr>
          <w:p>
            <w:r>
              <w:rPr>
                <w:sz w:val="20"/>
              </w:rPr>
              <w:t>64 MB in-memory page cache (negative value = kibibytes); reduces disk I/O for repeated queries</w:t>
            </w:r>
          </w:p>
        </w:tc>
      </w:tr>
      <w:tr>
        <w:tc>
          <w:tcPr>
            <w:tcW w:type="dxa" w:w="2016"/>
            <w:shd w:val="clear" w:color="auto" w:fill="F0F4FF"/>
          </w:tcPr>
          <w:p>
            <w:r>
              <w:rPr>
                <w:sz w:val="20"/>
              </w:rPr>
              <w:t>temp_store</w:t>
            </w:r>
          </w:p>
        </w:tc>
        <w:tc>
          <w:tcPr>
            <w:tcW w:type="dxa" w:w="2016"/>
            <w:shd w:val="clear" w:color="auto" w:fill="F0F4FF"/>
          </w:tcPr>
          <w:p>
            <w:r>
              <w:rPr>
                <w:sz w:val="20"/>
              </w:rPr>
              <w:t>2</w:t>
            </w:r>
          </w:p>
        </w:tc>
        <w:tc>
          <w:tcPr>
            <w:tcW w:type="dxa" w:w="6192"/>
            <w:shd w:val="clear" w:color="auto" w:fill="F0F4FF"/>
          </w:tcPr>
          <w:p>
            <w:r>
              <w:rPr>
                <w:sz w:val="20"/>
              </w:rPr>
              <w:t>Temporary tables and sort results are kept in memory rather than written to a temp file</w:t>
            </w:r>
          </w:p>
        </w:tc>
      </w:tr>
      <w:tr>
        <w:tc>
          <w:tcPr>
            <w:tcW w:type="dxa" w:w="2016"/>
            <w:shd w:val="clear" w:color="auto" w:fill="FFFFFF"/>
          </w:tcPr>
          <w:p>
            <w:r>
              <w:rPr>
                <w:sz w:val="20"/>
              </w:rPr>
              <w:t>mmap_size</w:t>
            </w:r>
          </w:p>
        </w:tc>
        <w:tc>
          <w:tcPr>
            <w:tcW w:type="dxa" w:w="2016"/>
            <w:shd w:val="clear" w:color="auto" w:fill="FFFFFF"/>
          </w:tcPr>
          <w:p>
            <w:r>
              <w:rPr>
                <w:sz w:val="20"/>
              </w:rPr>
              <w:t>268435456</w:t>
            </w:r>
          </w:p>
        </w:tc>
        <w:tc>
          <w:tcPr>
            <w:tcW w:type="dxa" w:w="6192"/>
            <w:shd w:val="clear" w:color="auto" w:fill="FFFFFF"/>
          </w:tcPr>
          <w:p>
            <w:r>
              <w:rPr>
                <w:sz w:val="20"/>
              </w:rPr>
              <w:t>Maps up to 256 MB of the database file into virtual memory for lock-free read access</w:t>
            </w:r>
          </w:p>
        </w:tc>
      </w:tr>
    </w:tbl>
    <w:p/>
    <w:p>
      <w:pPr>
        <w:pStyle w:val="Heading2"/>
      </w:pPr>
      <w:r>
        <w:rPr>
          <w:b/>
          <w:color w:val="1D4ED8"/>
          <w:sz w:val="26"/>
        </w:rPr>
        <w:t>2.3  Composite Indexes</w:t>
      </w:r>
    </w:p>
    <w:p>
      <w:pPr>
        <w:spacing w:after="120"/>
      </w:pPr>
      <w:r>
        <w:rPr>
          <w:sz w:val="22"/>
        </w:rPr>
        <w:t>Eight covering indexes are created by ensure_schema() in extensions.py on every startup (CREATE INDEX IF NOT EXISTS is idempotent). The indexes target the query patterns generated by the census dashboard, map page, and analytics modules:</w:t>
      </w:r>
    </w:p>
    <w:tbl>
      <w:tblPr>
        <w:tblStyle w:val="TableGrid"/>
        <w:tblW w:type="auto" w:w="0"/>
        <w:tblLook w:firstColumn="1" w:firstRow="1" w:lastColumn="0" w:lastRow="0" w:noHBand="0" w:noVBand="1" w:val="04A0"/>
      </w:tblPr>
      <w:tblGrid>
        <w:gridCol w:w="2280"/>
        <w:gridCol w:w="2280"/>
        <w:gridCol w:w="2280"/>
        <w:gridCol w:w="2280"/>
      </w:tblGrid>
      <w:tr>
        <w:tc>
          <w:tcPr>
            <w:tcW w:type="dxa" w:w="2736"/>
            <w:shd w:val="clear" w:color="auto" w:fill="1E3A5F"/>
          </w:tcPr>
          <w:p>
            <w:r>
              <w:rPr>
                <w:b/>
                <w:color w:val="FFFFFF"/>
                <w:sz w:val="20"/>
              </w:rPr>
              <w:t>Index</w:t>
            </w:r>
          </w:p>
        </w:tc>
        <w:tc>
          <w:tcPr>
            <w:tcW w:type="dxa" w:w="2160"/>
            <w:shd w:val="clear" w:color="auto" w:fill="1E3A5F"/>
          </w:tcPr>
          <w:p>
            <w:r>
              <w:rPr>
                <w:b/>
                <w:color w:val="FFFFFF"/>
                <w:sz w:val="20"/>
              </w:rPr>
              <w:t>Table</w:t>
            </w:r>
          </w:p>
        </w:tc>
        <w:tc>
          <w:tcPr>
            <w:tcW w:type="dxa" w:w="2304"/>
            <w:shd w:val="clear" w:color="auto" w:fill="1E3A5F"/>
          </w:tcPr>
          <w:p>
            <w:r>
              <w:rPr>
                <w:b/>
                <w:color w:val="FFFFFF"/>
                <w:sz w:val="20"/>
              </w:rPr>
              <w:t>Columns</w:t>
            </w:r>
          </w:p>
        </w:tc>
        <w:tc>
          <w:tcPr>
            <w:tcW w:type="dxa" w:w="3024"/>
            <w:shd w:val="clear" w:color="auto" w:fill="1E3A5F"/>
          </w:tcPr>
          <w:p>
            <w:r>
              <w:rPr>
                <w:b/>
                <w:color w:val="FFFFFF"/>
                <w:sz w:val="20"/>
              </w:rPr>
              <w:t>Optimises</w:t>
            </w:r>
          </w:p>
        </w:tc>
      </w:tr>
      <w:tr>
        <w:tc>
          <w:tcPr>
            <w:tcW w:type="dxa" w:w="2736"/>
            <w:shd w:val="clear" w:color="auto" w:fill="F0F4FF"/>
          </w:tcPr>
          <w:p>
            <w:r>
              <w:rPr>
                <w:sz w:val="20"/>
              </w:rPr>
              <w:t>idx_townland_civil_parish</w:t>
            </w:r>
          </w:p>
        </w:tc>
        <w:tc>
          <w:tcPr>
            <w:tcW w:type="dxa" w:w="2160"/>
            <w:shd w:val="clear" w:color="auto" w:fill="F0F4FF"/>
          </w:tcPr>
          <w:p>
            <w:r>
              <w:rPr>
                <w:sz w:val="20"/>
              </w:rPr>
              <w:t>townland</w:t>
            </w:r>
          </w:p>
        </w:tc>
        <w:tc>
          <w:tcPr>
            <w:tcW w:type="dxa" w:w="2304"/>
            <w:shd w:val="clear" w:color="auto" w:fill="F0F4FF"/>
          </w:tcPr>
          <w:p>
            <w:r>
              <w:rPr>
                <w:sz w:val="20"/>
              </w:rPr>
              <w:t>civil_parish</w:t>
            </w:r>
          </w:p>
        </w:tc>
        <w:tc>
          <w:tcPr>
            <w:tcW w:type="dxa" w:w="3024"/>
            <w:shd w:val="clear" w:color="auto" w:fill="F0F4FF"/>
          </w:tcPr>
          <w:p>
            <w:r>
              <w:rPr>
                <w:sz w:val="20"/>
              </w:rPr>
              <w:t>Parish filter on map / census</w:t>
            </w:r>
          </w:p>
        </w:tc>
      </w:tr>
      <w:tr>
        <w:tc>
          <w:tcPr>
            <w:tcW w:type="dxa" w:w="2736"/>
            <w:shd w:val="clear" w:color="auto" w:fill="FFFFFF"/>
          </w:tcPr>
          <w:p>
            <w:r>
              <w:rPr>
                <w:sz w:val="20"/>
              </w:rPr>
              <w:t>idx_townland_barony</w:t>
            </w:r>
          </w:p>
        </w:tc>
        <w:tc>
          <w:tcPr>
            <w:tcW w:type="dxa" w:w="2160"/>
            <w:shd w:val="clear" w:color="auto" w:fill="FFFFFF"/>
          </w:tcPr>
          <w:p>
            <w:r>
              <w:rPr>
                <w:sz w:val="20"/>
              </w:rPr>
              <w:t>townland</w:t>
            </w:r>
          </w:p>
        </w:tc>
        <w:tc>
          <w:tcPr>
            <w:tcW w:type="dxa" w:w="2304"/>
            <w:shd w:val="clear" w:color="auto" w:fill="FFFFFF"/>
          </w:tcPr>
          <w:p>
            <w:r>
              <w:rPr>
                <w:sz w:val="20"/>
              </w:rPr>
              <w:t>barony</w:t>
            </w:r>
          </w:p>
        </w:tc>
        <w:tc>
          <w:tcPr>
            <w:tcW w:type="dxa" w:w="3024"/>
            <w:shd w:val="clear" w:color="auto" w:fill="FFFFFF"/>
          </w:tcPr>
          <w:p>
            <w:r>
              <w:rPr>
                <w:sz w:val="20"/>
              </w:rPr>
              <w:t>Barony filter on analytics</w:t>
            </w:r>
          </w:p>
        </w:tc>
      </w:tr>
      <w:tr>
        <w:tc>
          <w:tcPr>
            <w:tcW w:type="dxa" w:w="2736"/>
            <w:shd w:val="clear" w:color="auto" w:fill="F0F4FF"/>
          </w:tcPr>
          <w:p>
            <w:r>
              <w:rPr>
                <w:sz w:val="20"/>
              </w:rPr>
              <w:t>idx_townland_county</w:t>
            </w:r>
          </w:p>
        </w:tc>
        <w:tc>
          <w:tcPr>
            <w:tcW w:type="dxa" w:w="2160"/>
            <w:shd w:val="clear" w:color="auto" w:fill="F0F4FF"/>
          </w:tcPr>
          <w:p>
            <w:r>
              <w:rPr>
                <w:sz w:val="20"/>
              </w:rPr>
              <w:t>townland</w:t>
            </w:r>
          </w:p>
        </w:tc>
        <w:tc>
          <w:tcPr>
            <w:tcW w:type="dxa" w:w="2304"/>
            <w:shd w:val="clear" w:color="auto" w:fill="F0F4FF"/>
          </w:tcPr>
          <w:p>
            <w:r>
              <w:rPr>
                <w:sz w:val="20"/>
              </w:rPr>
              <w:t>county</w:t>
            </w:r>
          </w:p>
        </w:tc>
        <w:tc>
          <w:tcPr>
            <w:tcW w:type="dxa" w:w="3024"/>
            <w:shd w:val="clear" w:color="auto" w:fill="F0F4FF"/>
          </w:tcPr>
          <w:p>
            <w:r>
              <w:rPr>
                <w:sz w:val="20"/>
              </w:rPr>
              <w:t>County filter on map</w:t>
            </w:r>
          </w:p>
        </w:tc>
      </w:tr>
      <w:tr>
        <w:tc>
          <w:tcPr>
            <w:tcW w:type="dxa" w:w="2736"/>
            <w:shd w:val="clear" w:color="auto" w:fill="FFFFFF"/>
          </w:tcPr>
          <w:p>
            <w:r>
              <w:rPr>
                <w:sz w:val="20"/>
              </w:rPr>
              <w:t>idx_townland_kg_uri</w:t>
            </w:r>
          </w:p>
        </w:tc>
        <w:tc>
          <w:tcPr>
            <w:tcW w:type="dxa" w:w="2160"/>
            <w:shd w:val="clear" w:color="auto" w:fill="FFFFFF"/>
          </w:tcPr>
          <w:p>
            <w:r>
              <w:rPr>
                <w:sz w:val="20"/>
              </w:rPr>
              <w:t>townland</w:t>
            </w:r>
          </w:p>
        </w:tc>
        <w:tc>
          <w:tcPr>
            <w:tcW w:type="dxa" w:w="2304"/>
            <w:shd w:val="clear" w:color="auto" w:fill="FFFFFF"/>
          </w:tcPr>
          <w:p>
            <w:r>
              <w:rPr>
                <w:sz w:val="20"/>
              </w:rPr>
              <w:t>kg_uri</w:t>
            </w:r>
          </w:p>
        </w:tc>
        <w:tc>
          <w:tcPr>
            <w:tcW w:type="dxa" w:w="3024"/>
            <w:shd w:val="clear" w:color="auto" w:fill="FFFFFF"/>
          </w:tcPr>
          <w:p>
            <w:r>
              <w:rPr>
                <w:sz w:val="20"/>
              </w:rPr>
              <w:t>KG URI lookup during ingest</w:t>
            </w:r>
          </w:p>
        </w:tc>
      </w:tr>
      <w:tr>
        <w:tc>
          <w:tcPr>
            <w:tcW w:type="dxa" w:w="2736"/>
            <w:shd w:val="clear" w:color="auto" w:fill="F0F4FF"/>
          </w:tcPr>
          <w:p>
            <w:r>
              <w:rPr>
                <w:sz w:val="20"/>
              </w:rPr>
              <w:t>idx_census_year</w:t>
            </w:r>
          </w:p>
        </w:tc>
        <w:tc>
          <w:tcPr>
            <w:tcW w:type="dxa" w:w="2160"/>
            <w:shd w:val="clear" w:color="auto" w:fill="F0F4FF"/>
          </w:tcPr>
          <w:p>
            <w:r>
              <w:rPr>
                <w:sz w:val="20"/>
              </w:rPr>
              <w:t>census_record</w:t>
            </w:r>
          </w:p>
        </w:tc>
        <w:tc>
          <w:tcPr>
            <w:tcW w:type="dxa" w:w="2304"/>
            <w:shd w:val="clear" w:color="auto" w:fill="F0F4FF"/>
          </w:tcPr>
          <w:p>
            <w:r>
              <w:rPr>
                <w:sz w:val="20"/>
              </w:rPr>
              <w:t>year</w:t>
            </w:r>
          </w:p>
        </w:tc>
        <w:tc>
          <w:tcPr>
            <w:tcW w:type="dxa" w:w="3024"/>
            <w:shd w:val="clear" w:color="auto" w:fill="F0F4FF"/>
          </w:tcPr>
          <w:p>
            <w:r>
              <w:rPr>
                <w:sz w:val="20"/>
              </w:rPr>
              <w:t>Year filter on census dashboard</w:t>
            </w:r>
          </w:p>
        </w:tc>
      </w:tr>
      <w:tr>
        <w:tc>
          <w:tcPr>
            <w:tcW w:type="dxa" w:w="2736"/>
            <w:shd w:val="clear" w:color="auto" w:fill="FFFFFF"/>
          </w:tcPr>
          <w:p>
            <w:r>
              <w:rPr>
                <w:sz w:val="20"/>
              </w:rPr>
              <w:t>idx_census_townland_year</w:t>
            </w:r>
          </w:p>
        </w:tc>
        <w:tc>
          <w:tcPr>
            <w:tcW w:type="dxa" w:w="2160"/>
            <w:shd w:val="clear" w:color="auto" w:fill="FFFFFF"/>
          </w:tcPr>
          <w:p>
            <w:r>
              <w:rPr>
                <w:sz w:val="20"/>
              </w:rPr>
              <w:t>census_record</w:t>
            </w:r>
          </w:p>
        </w:tc>
        <w:tc>
          <w:tcPr>
            <w:tcW w:type="dxa" w:w="2304"/>
            <w:shd w:val="clear" w:color="auto" w:fill="FFFFFF"/>
          </w:tcPr>
          <w:p>
            <w:r>
              <w:rPr>
                <w:sz w:val="20"/>
              </w:rPr>
              <w:t>townland_id, year</w:t>
            </w:r>
          </w:p>
        </w:tc>
        <w:tc>
          <w:tcPr>
            <w:tcW w:type="dxa" w:w="3024"/>
            <w:shd w:val="clear" w:color="auto" w:fill="FFFFFF"/>
          </w:tcPr>
          <w:p>
            <w:r>
              <w:rPr>
                <w:sz w:val="20"/>
              </w:rPr>
              <w:t>Townland × year range scans</w:t>
            </w:r>
          </w:p>
        </w:tc>
      </w:tr>
      <w:tr>
        <w:tc>
          <w:tcPr>
            <w:tcW w:type="dxa" w:w="2736"/>
            <w:shd w:val="clear" w:color="auto" w:fill="F0F4FF"/>
          </w:tcPr>
          <w:p>
            <w:r>
              <w:rPr>
                <w:sz w:val="20"/>
              </w:rPr>
              <w:t>idx_clearances_year</w:t>
            </w:r>
          </w:p>
        </w:tc>
        <w:tc>
          <w:tcPr>
            <w:tcW w:type="dxa" w:w="2160"/>
            <w:shd w:val="clear" w:color="auto" w:fill="F0F4FF"/>
          </w:tcPr>
          <w:p>
            <w:r>
              <w:rPr>
                <w:sz w:val="20"/>
              </w:rPr>
              <w:t>clearances_record</w:t>
            </w:r>
          </w:p>
        </w:tc>
        <w:tc>
          <w:tcPr>
            <w:tcW w:type="dxa" w:w="2304"/>
            <w:shd w:val="clear" w:color="auto" w:fill="F0F4FF"/>
          </w:tcPr>
          <w:p>
            <w:r>
              <w:rPr>
                <w:sz w:val="20"/>
              </w:rPr>
              <w:t>year</w:t>
            </w:r>
          </w:p>
        </w:tc>
        <w:tc>
          <w:tcPr>
            <w:tcW w:type="dxa" w:w="3024"/>
            <w:shd w:val="clear" w:color="auto" w:fill="F0F4FF"/>
          </w:tcPr>
          <w:p>
            <w:r>
              <w:rPr>
                <w:sz w:val="20"/>
              </w:rPr>
              <w:t>Eviction year aggregation</w:t>
            </w:r>
          </w:p>
        </w:tc>
      </w:tr>
      <w:tr>
        <w:tc>
          <w:tcPr>
            <w:tcW w:type="dxa" w:w="2736"/>
            <w:shd w:val="clear" w:color="auto" w:fill="FFFFFF"/>
          </w:tcPr>
          <w:p>
            <w:r>
              <w:rPr>
                <w:sz w:val="20"/>
              </w:rPr>
              <w:t>idx_clearances_tl_year</w:t>
            </w:r>
          </w:p>
        </w:tc>
        <w:tc>
          <w:tcPr>
            <w:tcW w:type="dxa" w:w="2160"/>
            <w:shd w:val="clear" w:color="auto" w:fill="FFFFFF"/>
          </w:tcPr>
          <w:p>
            <w:r>
              <w:rPr>
                <w:sz w:val="20"/>
              </w:rPr>
              <w:t>clearances_record</w:t>
            </w:r>
          </w:p>
        </w:tc>
        <w:tc>
          <w:tcPr>
            <w:tcW w:type="dxa" w:w="2304"/>
            <w:shd w:val="clear" w:color="auto" w:fill="FFFFFF"/>
          </w:tcPr>
          <w:p>
            <w:r>
              <w:rPr>
                <w:sz w:val="20"/>
              </w:rPr>
              <w:t>townland_id, year</w:t>
            </w:r>
          </w:p>
        </w:tc>
        <w:tc>
          <w:tcPr>
            <w:tcW w:type="dxa" w:w="3024"/>
            <w:shd w:val="clear" w:color="auto" w:fill="FFFFFF"/>
          </w:tcPr>
          <w:p>
            <w:r>
              <w:rPr>
                <w:sz w:val="20"/>
              </w:rPr>
              <w:t>Per-townland eviction history</w:t>
            </w:r>
          </w:p>
        </w:tc>
      </w:tr>
    </w:tbl>
    <w:p/>
    <w:p>
      <w:pPr>
        <w:pStyle w:val="Heading2"/>
      </w:pPr>
      <w:r>
        <w:rPr>
          <w:b/>
          <w:color w:val="1D4ED8"/>
          <w:sz w:val="26"/>
        </w:rPr>
        <w:t>2.4  In-Process Thread-Safe Caches</w:t>
      </w:r>
    </w:p>
    <w:p>
      <w:pPr>
        <w:spacing w:after="120"/>
      </w:pPr>
      <w:r>
        <w:rPr>
          <w:sz w:val="22"/>
        </w:rPr>
        <w:t>Seven module-level caches in ask_service.py and related services avoid repeated expensive operations within a single gunicorn worker process. Each cache is protected by a threading.Lock to prevent race conditions when multiple requests arrive concurrently:</w:t>
      </w:r>
    </w:p>
    <w:tbl>
      <w:tblPr>
        <w:tblStyle w:val="TableGrid"/>
        <w:tblW w:type="auto" w:w="0"/>
        <w:tblLook w:firstColumn="1" w:firstRow="1" w:lastColumn="0" w:lastRow="0" w:noHBand="0" w:noVBand="1" w:val="04A0"/>
      </w:tblPr>
      <w:tblGrid>
        <w:gridCol w:w="2280"/>
        <w:gridCol w:w="2280"/>
        <w:gridCol w:w="2280"/>
        <w:gridCol w:w="2280"/>
      </w:tblGrid>
      <w:tr>
        <w:tc>
          <w:tcPr>
            <w:tcW w:type="dxa" w:w="2736"/>
            <w:shd w:val="clear" w:color="auto" w:fill="1E3A5F"/>
          </w:tcPr>
          <w:p>
            <w:r>
              <w:rPr>
                <w:b/>
                <w:color w:val="FFFFFF"/>
                <w:sz w:val="20"/>
              </w:rPr>
              <w:t>Cache</w:t>
            </w:r>
          </w:p>
        </w:tc>
        <w:tc>
          <w:tcPr>
            <w:tcW w:type="dxa" w:w="2304"/>
            <w:shd w:val="clear" w:color="auto" w:fill="1E3A5F"/>
          </w:tcPr>
          <w:p>
            <w:r>
              <w:rPr>
                <w:b/>
                <w:color w:val="FFFFFF"/>
                <w:sz w:val="20"/>
              </w:rPr>
              <w:t>Location</w:t>
            </w:r>
          </w:p>
        </w:tc>
        <w:tc>
          <w:tcPr>
            <w:tcW w:type="dxa" w:w="2016"/>
            <w:shd w:val="clear" w:color="auto" w:fill="1E3A5F"/>
          </w:tcPr>
          <w:p>
            <w:r>
              <w:rPr>
                <w:b/>
                <w:color w:val="FFFFFF"/>
                <w:sz w:val="20"/>
              </w:rPr>
              <w:t>TTL / Lifetime</w:t>
            </w:r>
          </w:p>
        </w:tc>
        <w:tc>
          <w:tcPr>
            <w:tcW w:type="dxa" w:w="3168"/>
            <w:shd w:val="clear" w:color="auto" w:fill="1E3A5F"/>
          </w:tcPr>
          <w:p>
            <w:r>
              <w:rPr>
                <w:b/>
                <w:color w:val="FFFFFF"/>
                <w:sz w:val="20"/>
              </w:rPr>
              <w:t>What it stores</w:t>
            </w:r>
          </w:p>
        </w:tc>
      </w:tr>
      <w:tr>
        <w:tc>
          <w:tcPr>
            <w:tcW w:type="dxa" w:w="2736"/>
            <w:shd w:val="clear" w:color="auto" w:fill="F0F4FF"/>
          </w:tcPr>
          <w:p>
            <w:r>
              <w:rPr>
                <w:sz w:val="20"/>
              </w:rPr>
              <w:t>_VRTI_PARISH_CACHE</w:t>
            </w:r>
          </w:p>
        </w:tc>
        <w:tc>
          <w:tcPr>
            <w:tcW w:type="dxa" w:w="2304"/>
            <w:shd w:val="clear" w:color="auto" w:fill="F0F4FF"/>
          </w:tcPr>
          <w:p>
            <w:r>
              <w:rPr>
                <w:sz w:val="20"/>
              </w:rPr>
              <w:t>ask_service.py</w:t>
            </w:r>
          </w:p>
        </w:tc>
        <w:tc>
          <w:tcPr>
            <w:tcW w:type="dxa" w:w="2016"/>
            <w:shd w:val="clear" w:color="auto" w:fill="F0F4FF"/>
          </w:tcPr>
          <w:p>
            <w:r>
              <w:rPr>
                <w:sz w:val="20"/>
              </w:rPr>
              <w:t>1 hour (TTL)</w:t>
            </w:r>
          </w:p>
        </w:tc>
        <w:tc>
          <w:tcPr>
            <w:tcW w:type="dxa" w:w="3168"/>
            <w:shd w:val="clear" w:color="auto" w:fill="F0F4FF"/>
          </w:tcPr>
          <w:p>
            <w:r>
              <w:rPr>
                <w:sz w:val="20"/>
              </w:rPr>
              <w:t>SPARQL results from the public VRTI SPARQL endpoint — avoids repeated HTTP calls for the same parish/townland</w:t>
            </w:r>
          </w:p>
        </w:tc>
      </w:tr>
      <w:tr>
        <w:tc>
          <w:tcPr>
            <w:tcW w:type="dxa" w:w="2736"/>
            <w:shd w:val="clear" w:color="auto" w:fill="FFFFFF"/>
          </w:tcPr>
          <w:p>
            <w:r>
              <w:rPr>
                <w:sz w:val="20"/>
              </w:rPr>
              <w:t>_PROMPT_SCHEMA_CACHE</w:t>
            </w:r>
          </w:p>
        </w:tc>
        <w:tc>
          <w:tcPr>
            <w:tcW w:type="dxa" w:w="2304"/>
            <w:shd w:val="clear" w:color="auto" w:fill="FFFFFF"/>
          </w:tcPr>
          <w:p>
            <w:r>
              <w:rPr>
                <w:sz w:val="20"/>
              </w:rPr>
              <w:t>ask_service.py</w:t>
            </w:r>
          </w:p>
        </w:tc>
        <w:tc>
          <w:tcPr>
            <w:tcW w:type="dxa" w:w="2016"/>
            <w:shd w:val="clear" w:color="auto" w:fill="FFFFFF"/>
          </w:tcPr>
          <w:p>
            <w:r>
              <w:rPr>
                <w:sz w:val="20"/>
              </w:rPr>
              <w:t>5 minutes (TTL)</w:t>
            </w:r>
          </w:p>
        </w:tc>
        <w:tc>
          <w:tcPr>
            <w:tcW w:type="dxa" w:w="3168"/>
            <w:shd w:val="clear" w:color="auto" w:fill="FFFFFF"/>
          </w:tcPr>
          <w:p>
            <w:r>
              <w:rPr>
                <w:sz w:val="20"/>
              </w:rPr>
              <w:t>The SQL schema string passed to the LLM — schema does not change at runtime</w:t>
            </w:r>
          </w:p>
        </w:tc>
      </w:tr>
      <w:tr>
        <w:tc>
          <w:tcPr>
            <w:tcW w:type="dxa" w:w="2736"/>
            <w:shd w:val="clear" w:color="auto" w:fill="F0F4FF"/>
          </w:tcPr>
          <w:p>
            <w:r>
              <w:rPr>
                <w:sz w:val="20"/>
              </w:rPr>
              <w:t>_QUERY_MEMORY_CACHE</w:t>
            </w:r>
          </w:p>
        </w:tc>
        <w:tc>
          <w:tcPr>
            <w:tcW w:type="dxa" w:w="2304"/>
            <w:shd w:val="clear" w:color="auto" w:fill="F0F4FF"/>
          </w:tcPr>
          <w:p>
            <w:r>
              <w:rPr>
                <w:sz w:val="20"/>
              </w:rPr>
              <w:t>ask_service.py</w:t>
            </w:r>
          </w:p>
        </w:tc>
        <w:tc>
          <w:tcPr>
            <w:tcW w:type="dxa" w:w="2016"/>
            <w:shd w:val="clear" w:color="auto" w:fill="F0F4FF"/>
          </w:tcPr>
          <w:p>
            <w:r>
              <w:rPr>
                <w:sz w:val="20"/>
              </w:rPr>
              <w:t>60 seconds (TTL)</w:t>
            </w:r>
          </w:p>
        </w:tc>
        <w:tc>
          <w:tcPr>
            <w:tcW w:type="dxa" w:w="3168"/>
            <w:shd w:val="clear" w:color="auto" w:fill="F0F4FF"/>
          </w:tcPr>
          <w:p>
            <w:r>
              <w:rPr>
                <w:sz w:val="20"/>
              </w:rPr>
              <w:t>Approved SQL templates from the ask_query_memory table — refreshed on thumbs-up feedback</w:t>
            </w:r>
          </w:p>
        </w:tc>
      </w:tr>
      <w:tr>
        <w:tc>
          <w:tcPr>
            <w:tcW w:type="dxa" w:w="2736"/>
            <w:shd w:val="clear" w:color="auto" w:fill="FFFFFF"/>
          </w:tcPr>
          <w:p>
            <w:r>
              <w:rPr>
                <w:sz w:val="20"/>
              </w:rPr>
              <w:t>_OPENROUTER_STATUS_CACHE</w:t>
            </w:r>
          </w:p>
        </w:tc>
        <w:tc>
          <w:tcPr>
            <w:tcW w:type="dxa" w:w="2304"/>
            <w:shd w:val="clear" w:color="auto" w:fill="FFFFFF"/>
          </w:tcPr>
          <w:p>
            <w:r>
              <w:rPr>
                <w:sz w:val="20"/>
              </w:rPr>
              <w:t>ask_service.py</w:t>
            </w:r>
          </w:p>
        </w:tc>
        <w:tc>
          <w:tcPr>
            <w:tcW w:type="dxa" w:w="2016"/>
            <w:shd w:val="clear" w:color="auto" w:fill="FFFFFF"/>
          </w:tcPr>
          <w:p>
            <w:r>
              <w:rPr>
                <w:sz w:val="20"/>
              </w:rPr>
              <w:t>60 seconds (TTL)</w:t>
            </w:r>
          </w:p>
        </w:tc>
        <w:tc>
          <w:tcPr>
            <w:tcW w:type="dxa" w:w="3168"/>
            <w:shd w:val="clear" w:color="auto" w:fill="FFFFFF"/>
          </w:tcPr>
          <w:p>
            <w:r>
              <w:rPr>
                <w:sz w:val="20"/>
              </w:rPr>
              <w:t>OpenRouter provider health check result — avoids status ping on every question</w:t>
            </w:r>
          </w:p>
        </w:tc>
      </w:tr>
      <w:tr>
        <w:tc>
          <w:tcPr>
            <w:tcW w:type="dxa" w:w="2736"/>
            <w:shd w:val="clear" w:color="auto" w:fill="F0F4FF"/>
          </w:tcPr>
          <w:p>
            <w:r>
              <w:rPr>
                <w:sz w:val="20"/>
              </w:rPr>
              <w:t>_OLLAMA_MODEL_CACHE</w:t>
            </w:r>
          </w:p>
        </w:tc>
        <w:tc>
          <w:tcPr>
            <w:tcW w:type="dxa" w:w="2304"/>
            <w:shd w:val="clear" w:color="auto" w:fill="F0F4FF"/>
          </w:tcPr>
          <w:p>
            <w:r>
              <w:rPr>
                <w:sz w:val="20"/>
              </w:rPr>
              <w:t>ask_service.py</w:t>
            </w:r>
          </w:p>
        </w:tc>
        <w:tc>
          <w:tcPr>
            <w:tcW w:type="dxa" w:w="2016"/>
            <w:shd w:val="clear" w:color="auto" w:fill="F0F4FF"/>
          </w:tcPr>
          <w:p>
            <w:r>
              <w:rPr>
                <w:sz w:val="20"/>
              </w:rPr>
              <w:t>2 minutes (TTL)</w:t>
            </w:r>
          </w:p>
        </w:tc>
        <w:tc>
          <w:tcPr>
            <w:tcW w:type="dxa" w:w="3168"/>
            <w:shd w:val="clear" w:color="auto" w:fill="F0F4FF"/>
          </w:tcPr>
          <w:p>
            <w:r>
              <w:rPr>
                <w:sz w:val="20"/>
              </w:rPr>
              <w:t>List of locally available Ollama models</w:t>
            </w:r>
          </w:p>
        </w:tc>
      </w:tr>
      <w:tr>
        <w:tc>
          <w:tcPr>
            <w:tcW w:type="dxa" w:w="2736"/>
            <w:shd w:val="clear" w:color="auto" w:fill="FFFFFF"/>
          </w:tcPr>
          <w:p>
            <w:r>
              <w:rPr>
                <w:sz w:val="20"/>
              </w:rPr>
              <w:t>_SCHEMA_COMPAT_CACHE</w:t>
            </w:r>
          </w:p>
        </w:tc>
        <w:tc>
          <w:tcPr>
            <w:tcW w:type="dxa" w:w="2304"/>
            <w:shd w:val="clear" w:color="auto" w:fill="FFFFFF"/>
          </w:tcPr>
          <w:p>
            <w:r>
              <w:rPr>
                <w:sz w:val="20"/>
              </w:rPr>
              <w:t>ask_service.py</w:t>
            </w:r>
          </w:p>
        </w:tc>
        <w:tc>
          <w:tcPr>
            <w:tcW w:type="dxa" w:w="2016"/>
            <w:shd w:val="clear" w:color="auto" w:fill="FFFFFF"/>
          </w:tcPr>
          <w:p>
            <w:r>
              <w:rPr>
                <w:sz w:val="20"/>
              </w:rPr>
              <w:t>Process lifetime</w:t>
            </w:r>
          </w:p>
        </w:tc>
        <w:tc>
          <w:tcPr>
            <w:tcW w:type="dxa" w:w="3168"/>
            <w:shd w:val="clear" w:color="auto" w:fill="FFFFFF"/>
          </w:tcPr>
          <w:p>
            <w:r>
              <w:rPr>
                <w:sz w:val="20"/>
              </w:rPr>
              <w:t>Column existence check (clearances count column) that only needs to run once</w:t>
            </w:r>
          </w:p>
        </w:tc>
      </w:tr>
      <w:tr>
        <w:tc>
          <w:tcPr>
            <w:tcW w:type="dxa" w:w="2736"/>
            <w:shd w:val="clear" w:color="auto" w:fill="F0F4FF"/>
          </w:tcPr>
          <w:p>
            <w:r>
              <w:rPr>
                <w:sz w:val="20"/>
              </w:rPr>
              <w:t>_TOWNLAND_CATALOG_CACHE</w:t>
            </w:r>
          </w:p>
        </w:tc>
        <w:tc>
          <w:tcPr>
            <w:tcW w:type="dxa" w:w="2304"/>
            <w:shd w:val="clear" w:color="auto" w:fill="F0F4FF"/>
          </w:tcPr>
          <w:p>
            <w:r>
              <w:rPr>
                <w:sz w:val="20"/>
              </w:rPr>
              <w:t>ask_service.py</w:t>
            </w:r>
          </w:p>
        </w:tc>
        <w:tc>
          <w:tcPr>
            <w:tcW w:type="dxa" w:w="2016"/>
            <w:shd w:val="clear" w:color="auto" w:fill="F0F4FF"/>
          </w:tcPr>
          <w:p>
            <w:r>
              <w:rPr>
                <w:sz w:val="20"/>
              </w:rPr>
              <w:t>Process lifetime</w:t>
            </w:r>
          </w:p>
        </w:tc>
        <w:tc>
          <w:tcPr>
            <w:tcW w:type="dxa" w:w="3168"/>
            <w:shd w:val="clear" w:color="auto" w:fill="F0F4FF"/>
          </w:tcPr>
          <w:p>
            <w:r>
              <w:rPr>
                <w:sz w:val="20"/>
              </w:rPr>
              <w:t>Full townland name list for fuzzy matching in the NL→SQL pipeline</w:t>
            </w:r>
          </w:p>
        </w:tc>
      </w:tr>
      <w:tr>
        <w:tc>
          <w:tcPr>
            <w:tcW w:type="dxa" w:w="2736"/>
            <w:shd w:val="clear" w:color="auto" w:fill="FFFFFF"/>
          </w:tcPr>
          <w:p>
            <w:r>
              <w:rPr>
                <w:sz w:val="20"/>
              </w:rPr>
              <w:t>_WORKHOUSE_CACHE</w:t>
            </w:r>
          </w:p>
        </w:tc>
        <w:tc>
          <w:tcPr>
            <w:tcW w:type="dxa" w:w="2304"/>
            <w:shd w:val="clear" w:color="auto" w:fill="FFFFFF"/>
          </w:tcPr>
          <w:p>
            <w:r>
              <w:rPr>
                <w:sz w:val="20"/>
              </w:rPr>
              <w:t>workhouse_service.py</w:t>
            </w:r>
          </w:p>
        </w:tc>
        <w:tc>
          <w:tcPr>
            <w:tcW w:type="dxa" w:w="2016"/>
            <w:shd w:val="clear" w:color="auto" w:fill="FFFFFF"/>
          </w:tcPr>
          <w:p>
            <w:r>
              <w:rPr>
                <w:sz w:val="20"/>
              </w:rPr>
              <w:t>Process lifetime</w:t>
            </w:r>
          </w:p>
        </w:tc>
        <w:tc>
          <w:tcPr>
            <w:tcW w:type="dxa" w:w="3168"/>
            <w:shd w:val="clear" w:color="auto" w:fill="FFFFFF"/>
          </w:tcPr>
          <w:p>
            <w:r>
              <w:rPr>
                <w:sz w:val="20"/>
              </w:rPr>
              <w:t>Parsed workhouse Excel rows — all two sheets loaded once into memory</w:t>
            </w:r>
          </w:p>
        </w:tc>
      </w:tr>
      <w:tr>
        <w:tc>
          <w:tcPr>
            <w:tcW w:type="dxa" w:w="2736"/>
            <w:shd w:val="clear" w:color="auto" w:fill="F0F4FF"/>
          </w:tcPr>
          <w:p>
            <w:r>
              <w:rPr>
                <w:sz w:val="20"/>
              </w:rPr>
              <w:t>_WORKHOUSE_MATCH_INDEX</w:t>
            </w:r>
          </w:p>
        </w:tc>
        <w:tc>
          <w:tcPr>
            <w:tcW w:type="dxa" w:w="2304"/>
            <w:shd w:val="clear" w:color="auto" w:fill="F0F4FF"/>
          </w:tcPr>
          <w:p>
            <w:r>
              <w:rPr>
                <w:sz w:val="20"/>
              </w:rPr>
              <w:t>workhouse_service.py</w:t>
            </w:r>
          </w:p>
        </w:tc>
        <w:tc>
          <w:tcPr>
            <w:tcW w:type="dxa" w:w="2016"/>
            <w:shd w:val="clear" w:color="auto" w:fill="F0F4FF"/>
          </w:tcPr>
          <w:p>
            <w:r>
              <w:rPr>
                <w:sz w:val="20"/>
              </w:rPr>
              <w:t>Process lifetime</w:t>
            </w:r>
          </w:p>
        </w:tc>
        <w:tc>
          <w:tcPr>
            <w:tcW w:type="dxa" w:w="3168"/>
            <w:shd w:val="clear" w:color="auto" w:fill="F0F4FF"/>
          </w:tcPr>
          <w:p>
            <w:r>
              <w:rPr>
                <w:sz w:val="20"/>
              </w:rPr>
              <w:t>Pre-computed record_id → ranked matches dict covering all unified records</w:t>
            </w:r>
          </w:p>
        </w:tc>
      </w:tr>
      <w:tr>
        <w:tc>
          <w:tcPr>
            <w:tcW w:type="dxa" w:w="2736"/>
            <w:shd w:val="clear" w:color="auto" w:fill="FFFFFF"/>
          </w:tcPr>
          <w:p>
            <w:r>
              <w:rPr>
                <w:sz w:val="20"/>
              </w:rPr>
              <w:t>_GRAPH_CACHE</w:t>
            </w:r>
          </w:p>
        </w:tc>
        <w:tc>
          <w:tcPr>
            <w:tcW w:type="dxa" w:w="2304"/>
            <w:shd w:val="clear" w:color="auto" w:fill="FFFFFF"/>
          </w:tcPr>
          <w:p>
            <w:r>
              <w:rPr>
                <w:sz w:val="20"/>
              </w:rPr>
              <w:t>kg_service.py</w:t>
            </w:r>
          </w:p>
        </w:tc>
        <w:tc>
          <w:tcPr>
            <w:tcW w:type="dxa" w:w="2016"/>
            <w:shd w:val="clear" w:color="auto" w:fill="FFFFFF"/>
          </w:tcPr>
          <w:p>
            <w:r>
              <w:rPr>
                <w:sz w:val="20"/>
              </w:rPr>
              <w:t>Process lifetime</w:t>
            </w:r>
          </w:p>
        </w:tc>
        <w:tc>
          <w:tcPr>
            <w:tcW w:type="dxa" w:w="3168"/>
            <w:shd w:val="clear" w:color="auto" w:fill="FFFFFF"/>
          </w:tcPr>
          <w:p>
            <w:r>
              <w:rPr>
                <w:sz w:val="20"/>
              </w:rPr>
              <w:t>D3.js node/edge graph built from SQLite — expensive JOIN, cached on first call</w:t>
            </w:r>
          </w:p>
        </w:tc>
      </w:tr>
    </w:tbl>
    <w:p/>
    <w:p>
      <w:pPr>
        <w:pStyle w:val="Heading2"/>
      </w:pPr>
      <w:r>
        <w:rPr>
          <w:b/>
          <w:color w:val="1D4ED8"/>
          <w:sz w:val="26"/>
        </w:rPr>
        <w:t>2.5  Static File Caching</w:t>
      </w:r>
    </w:p>
    <w:p>
      <w:pPr>
        <w:spacing w:after="120"/>
      </w:pPr>
      <w:r>
        <w:rPr>
          <w:sz w:val="22"/>
        </w:rPr>
        <w:t>The Flask application is configured with SEND_FILE_MAX_AGE_DEFAULT = 86400 (24 hours). This sets Cache-Control: max-age=86400 on all files served from frontend/static/. The two largest assets — townlands.json (~6.2 MB, Wicklow boundary polygons) and unified_processed.csv (~4.4 MB) — are served once per browser session instead of on every page load. This is particularly significant for the map page, which would otherwise re-download the full GeoJSON on every navigation.</w:t>
      </w:r>
    </w:p>
    <w:p>
      <w:pPr>
        <w:pBdr>
          <w:bottom w:val="single" w:sz="4" w:space="1" w:color="CBD5E1"/>
        </w:pBdr>
      </w:pPr>
    </w:p>
    <w:p>
      <w:pPr>
        <w:pStyle w:val="Heading1"/>
      </w:pPr>
      <w:r>
        <w:rPr>
          <w:b/>
          <w:color w:val="0F172A"/>
          <w:sz w:val="32"/>
        </w:rPr>
        <w:t>Feature 3: RDF/KG Comparison</w:t>
      </w:r>
    </w:p>
    <w:p>
      <w:pPr>
        <w:pStyle w:val="Heading2"/>
      </w:pPr>
      <w:r>
        <w:rPr>
          <w:b/>
          <w:color w:val="1D4ED8"/>
          <w:sz w:val="26"/>
        </w:rPr>
        <w:t>3.1  Purpose</w:t>
      </w:r>
    </w:p>
    <w:p>
      <w:pPr>
        <w:spacing w:after="120"/>
      </w:pPr>
      <w:r>
        <w:rPr>
          <w:sz w:val="22"/>
        </w:rPr>
        <w:t>The RDF/KG Comparison feature provides a side-by-side evaluation of two query paradigms — SQL over the local SQLite database and SPARQL over an RDF knowledge graph built from the same Coolattin estate data. This supports the dissertation's comparative analysis of relational and graph-based knowledge representation, examining where the two paradigms agree, where they diverge, and why.</w:t>
      </w:r>
    </w:p>
    <w:p>
      <w:pPr>
        <w:pStyle w:val="Heading2"/>
      </w:pPr>
      <w:r>
        <w:rPr>
          <w:b/>
          <w:color w:val="1D4ED8"/>
          <w:sz w:val="26"/>
        </w:rPr>
        <w:t>3.2  Architecture</w:t>
      </w:r>
    </w:p>
    <w:p>
      <w:pPr>
        <w:spacing w:after="120"/>
      </w:pPr>
      <w:r>
        <w:rPr>
          <w:sz w:val="22"/>
        </w:rPr>
        <w:t>The feature comprises two orthogonal views served from the /api/kg/* blueprint (backend/routes/kg_explore.py):</w:t>
      </w:r>
    </w:p>
    <w:tbl>
      <w:tblPr>
        <w:tblStyle w:val="TableGrid"/>
        <w:tblW w:type="auto" w:w="0"/>
        <w:tblLook w:firstColumn="1" w:firstRow="1" w:lastColumn="0" w:lastRow="0" w:noHBand="0" w:noVBand="1" w:val="04A0"/>
      </w:tblPr>
      <w:tblGrid>
        <w:gridCol w:w="3041"/>
        <w:gridCol w:w="3041"/>
        <w:gridCol w:w="3041"/>
      </w:tblGrid>
      <w:tr>
        <w:tc>
          <w:tcPr>
            <w:tcW w:type="dxa" w:w="2016"/>
            <w:shd w:val="clear" w:color="auto" w:fill="1E3A5F"/>
          </w:tcPr>
          <w:p>
            <w:r>
              <w:rPr>
                <w:b/>
                <w:color w:val="FFFFFF"/>
                <w:sz w:val="20"/>
              </w:rPr>
              <w:t>View</w:t>
            </w:r>
          </w:p>
        </w:tc>
        <w:tc>
          <w:tcPr>
            <w:tcW w:type="dxa" w:w="3168"/>
            <w:shd w:val="clear" w:color="auto" w:fill="1E3A5F"/>
          </w:tcPr>
          <w:p>
            <w:r>
              <w:rPr>
                <w:b/>
                <w:color w:val="FFFFFF"/>
                <w:sz w:val="20"/>
              </w:rPr>
              <w:t>Endpoint</w:t>
            </w:r>
          </w:p>
        </w:tc>
        <w:tc>
          <w:tcPr>
            <w:tcW w:type="dxa" w:w="5040"/>
            <w:shd w:val="clear" w:color="auto" w:fill="1E3A5F"/>
          </w:tcPr>
          <w:p>
            <w:r>
              <w:rPr>
                <w:b/>
                <w:color w:val="FFFFFF"/>
                <w:sz w:val="20"/>
              </w:rPr>
              <w:t>Description</w:t>
            </w:r>
          </w:p>
        </w:tc>
      </w:tr>
      <w:tr>
        <w:tc>
          <w:tcPr>
            <w:tcW w:type="dxa" w:w="2016"/>
            <w:shd w:val="clear" w:color="auto" w:fill="F0F4FF"/>
          </w:tcPr>
          <w:p>
            <w:r>
              <w:rPr>
                <w:sz w:val="20"/>
              </w:rPr>
              <w:t>Graph topology</w:t>
            </w:r>
          </w:p>
        </w:tc>
        <w:tc>
          <w:tcPr>
            <w:tcW w:type="dxa" w:w="3168"/>
            <w:shd w:val="clear" w:color="auto" w:fill="F0F4FF"/>
          </w:tcPr>
          <w:p>
            <w:r>
              <w:rPr>
                <w:sz w:val="20"/>
              </w:rPr>
              <w:t>GET /api/kg/graph</w:t>
            </w:r>
          </w:p>
        </w:tc>
        <w:tc>
          <w:tcPr>
            <w:tcW w:type="dxa" w:w="5040"/>
            <w:shd w:val="clear" w:color="auto" w:fill="F0F4FF"/>
          </w:tcPr>
          <w:p>
            <w:r>
              <w:rPr>
                <w:sz w:val="20"/>
              </w:rPr>
              <w:t>D3.js force simulation data: nodes (Townland, Parish, EventHub, DataHub) + edges derived from the SQLite unified_record table</w:t>
            </w:r>
          </w:p>
        </w:tc>
      </w:tr>
      <w:tr>
        <w:tc>
          <w:tcPr>
            <w:tcW w:type="dxa" w:w="2016"/>
            <w:shd w:val="clear" w:color="auto" w:fill="FFFFFF"/>
          </w:tcPr>
          <w:p>
            <w:r>
              <w:rPr>
                <w:sz w:val="20"/>
              </w:rPr>
              <w:t>SPARQL vs SQL</w:t>
            </w:r>
          </w:p>
        </w:tc>
        <w:tc>
          <w:tcPr>
            <w:tcW w:type="dxa" w:w="3168"/>
            <w:shd w:val="clear" w:color="auto" w:fill="FFFFFF"/>
          </w:tcPr>
          <w:p>
            <w:r>
              <w:rPr>
                <w:sz w:val="20"/>
              </w:rPr>
              <w:t>POST /api/kg/compare</w:t>
            </w:r>
          </w:p>
        </w:tc>
        <w:tc>
          <w:tcPr>
            <w:tcW w:type="dxa" w:w="5040"/>
            <w:shd w:val="clear" w:color="auto" w:fill="FFFFFF"/>
          </w:tcPr>
          <w:p>
            <w:r>
              <w:rPr>
                <w:sz w:val="20"/>
              </w:rPr>
              <w:t>Run a canned or custom scenario: executes the SQL in SQLite and the SPARQL via rdflib, returns both result sets side by side</w:t>
            </w:r>
          </w:p>
        </w:tc>
      </w:tr>
      <w:tr>
        <w:tc>
          <w:tcPr>
            <w:tcW w:type="dxa" w:w="2016"/>
            <w:shd w:val="clear" w:color="auto" w:fill="F0F4FF"/>
          </w:tcPr>
          <w:p>
            <w:r>
              <w:rPr>
                <w:sz w:val="20"/>
              </w:rPr>
              <w:t>Scenario list</w:t>
            </w:r>
          </w:p>
        </w:tc>
        <w:tc>
          <w:tcPr>
            <w:tcW w:type="dxa" w:w="3168"/>
            <w:shd w:val="clear" w:color="auto" w:fill="F0F4FF"/>
          </w:tcPr>
          <w:p>
            <w:r>
              <w:rPr>
                <w:sz w:val="20"/>
              </w:rPr>
              <w:t>GET /api/kg/scenarios</w:t>
            </w:r>
          </w:p>
        </w:tc>
        <w:tc>
          <w:tcPr>
            <w:tcW w:type="dxa" w:w="5040"/>
            <w:shd w:val="clear" w:color="auto" w:fill="F0F4FF"/>
          </w:tcPr>
          <w:p>
            <w:r>
              <w:rPr>
                <w:sz w:val="20"/>
              </w:rPr>
              <w:t>Returns the four canned comparison scenarios with labels and descriptions</w:t>
            </w:r>
          </w:p>
        </w:tc>
      </w:tr>
      <w:tr>
        <w:tc>
          <w:tcPr>
            <w:tcW w:type="dxa" w:w="2016"/>
            <w:shd w:val="clear" w:color="auto" w:fill="FFFFFF"/>
          </w:tcPr>
          <w:p>
            <w:r>
              <w:rPr>
                <w:sz w:val="20"/>
              </w:rPr>
              <w:t>RDF health check</w:t>
            </w:r>
          </w:p>
        </w:tc>
        <w:tc>
          <w:tcPr>
            <w:tcW w:type="dxa" w:w="3168"/>
            <w:shd w:val="clear" w:color="auto" w:fill="FFFFFF"/>
          </w:tcPr>
          <w:p>
            <w:r>
              <w:rPr>
                <w:sz w:val="20"/>
              </w:rPr>
              <w:t>GET /api/kg/rdf-status</w:t>
            </w:r>
          </w:p>
        </w:tc>
        <w:tc>
          <w:tcPr>
            <w:tcW w:type="dxa" w:w="5040"/>
            <w:shd w:val="clear" w:color="auto" w:fill="FFFFFF"/>
          </w:tcPr>
          <w:p>
            <w:r>
              <w:rPr>
                <w:sz w:val="20"/>
              </w:rPr>
              <w:t>Reports whether the TTL file is present and how many triples are loaded</w:t>
            </w:r>
          </w:p>
        </w:tc>
      </w:tr>
    </w:tbl>
    <w:p/>
    <w:p>
      <w:pPr>
        <w:pStyle w:val="Heading2"/>
      </w:pPr>
      <w:r>
        <w:rPr>
          <w:b/>
          <w:color w:val="1D4ED8"/>
          <w:sz w:val="26"/>
        </w:rPr>
        <w:t>3.3  RDF Data Source</w:t>
      </w:r>
    </w:p>
    <w:p>
      <w:pPr>
        <w:spacing w:after="120"/>
      </w:pPr>
      <w:r>
        <w:rPr>
          <w:sz w:val="22"/>
        </w:rPr>
        <w:t>The Coolattin estate data is uplifted to RDF Turtle format by the rdf_uplift.py script. The resulting coolattin_sample.ttl file (~143,000 triples) uses a custom ontology with three namespace prefixes:</w:t>
      </w:r>
    </w:p>
    <w:p>
      <w:pPr>
        <w:pStyle w:val="ListBullet"/>
        <w:ind w:left="283"/>
      </w:pPr>
      <w:r>
        <w:rPr>
          <w:sz w:val="21"/>
        </w:rPr>
        <w:t>co: (https://coolattin.ie/ontology#) — domain classes and properties: co:Person, co:Event, co:townland, co:eventType, co:year</w:t>
      </w:r>
    </w:p>
    <w:p>
      <w:pPr>
        <w:pStyle w:val="ListBullet"/>
        <w:ind w:left="283"/>
      </w:pPr>
      <w:r>
        <w:rPr>
          <w:sz w:val="21"/>
        </w:rPr>
        <w:t>schema: (https://schema.org/) — personal name properties: schema:givenName, schema:familyName</w:t>
      </w:r>
    </w:p>
    <w:p>
      <w:pPr>
        <w:pStyle w:val="ListBullet"/>
        <w:ind w:left="283"/>
      </w:pPr>
      <w:r>
        <w:rPr>
          <w:sz w:val="21"/>
        </w:rPr>
        <w:t>ex: (https://coolattin.ie/resource/) — individual resource URIs</w:t>
      </w:r>
    </w:p>
    <w:p/>
    <w:p>
      <w:pPr>
        <w:spacing w:after="120"/>
      </w:pPr>
      <w:r>
        <w:rPr>
          <w:sz w:val="22"/>
        </w:rPr>
        <w:t>The TTL file is loaded lazily into an rdflib.ConjunctiveGraph on first use and cached in the module-level _RDF_GRAPH variable. Loading takes approximately 200–400 ms and is performed once per worker process. If the TTL file is absent (e.g. on Azure where it is gitignored), all SPARQL queries return a graceful error message rather than crashing.</w:t>
      </w:r>
    </w:p>
    <w:p>
      <w:pPr>
        <w:pStyle w:val="Heading2"/>
      </w:pPr>
      <w:r>
        <w:rPr>
          <w:b/>
          <w:color w:val="1D4ED8"/>
          <w:sz w:val="26"/>
        </w:rPr>
        <w:t>3.4  Canned Comparison Scenarios</w:t>
      </w:r>
    </w:p>
    <w:p>
      <w:pPr>
        <w:spacing w:after="120"/>
      </w:pPr>
      <w:r>
        <w:rPr>
          <w:sz w:val="22"/>
        </w:rPr>
        <w:t>Four scenarios are built into kg_service.py. Each pairs an SQL query against unified_record with a semantically equivalent SPARQL query against the RDF graph, and includes a description explaining any expected difference in row counts:</w:t>
      </w:r>
    </w:p>
    <w:tbl>
      <w:tblPr>
        <w:tblStyle w:val="TableGrid"/>
        <w:tblW w:type="auto" w:w="0"/>
        <w:tblLook w:firstColumn="1" w:firstRow="1" w:lastColumn="0" w:lastRow="0" w:noHBand="0" w:noVBand="1" w:val="04A0"/>
      </w:tblPr>
      <w:tblGrid>
        <w:gridCol w:w="3041"/>
        <w:gridCol w:w="3041"/>
        <w:gridCol w:w="3041"/>
      </w:tblGrid>
      <w:tr>
        <w:tc>
          <w:tcPr>
            <w:tcW w:type="dxa" w:w="2736"/>
            <w:shd w:val="clear" w:color="auto" w:fill="1E3A5F"/>
          </w:tcPr>
          <w:p>
            <w:r>
              <w:rPr>
                <w:b/>
                <w:color w:val="FFFFFF"/>
                <w:sz w:val="20"/>
              </w:rPr>
              <w:t>Scenario ID</w:t>
            </w:r>
          </w:p>
        </w:tc>
        <w:tc>
          <w:tcPr>
            <w:tcW w:type="dxa" w:w="2304"/>
            <w:shd w:val="clear" w:color="auto" w:fill="1E3A5F"/>
          </w:tcPr>
          <w:p>
            <w:r>
              <w:rPr>
                <w:b/>
                <w:color w:val="FFFFFF"/>
                <w:sz w:val="20"/>
              </w:rPr>
              <w:t>Label</w:t>
            </w:r>
          </w:p>
        </w:tc>
        <w:tc>
          <w:tcPr>
            <w:tcW w:type="dxa" w:w="5184"/>
            <w:shd w:val="clear" w:color="auto" w:fill="1E3A5F"/>
          </w:tcPr>
          <w:p>
            <w:r>
              <w:rPr>
                <w:b/>
                <w:color w:val="FFFFFF"/>
                <w:sz w:val="20"/>
              </w:rPr>
              <w:t>Key difference</w:t>
            </w:r>
          </w:p>
        </w:tc>
      </w:tr>
      <w:tr>
        <w:tc>
          <w:tcPr>
            <w:tcW w:type="dxa" w:w="2736"/>
            <w:shd w:val="clear" w:color="auto" w:fill="F0F4FF"/>
          </w:tcPr>
          <w:p>
            <w:r>
              <w:rPr>
                <w:sz w:val="20"/>
              </w:rPr>
              <w:t>emigration_count_by_townland</w:t>
            </w:r>
          </w:p>
        </w:tc>
        <w:tc>
          <w:tcPr>
            <w:tcW w:type="dxa" w:w="2304"/>
            <w:shd w:val="clear" w:color="auto" w:fill="F0F4FF"/>
          </w:tcPr>
          <w:p>
            <w:r>
              <w:rPr>
                <w:sz w:val="20"/>
              </w:rPr>
              <w:t>Emigration by townland</w:t>
            </w:r>
          </w:p>
        </w:tc>
        <w:tc>
          <w:tcPr>
            <w:tcW w:type="dxa" w:w="5184"/>
            <w:shd w:val="clear" w:color="auto" w:fill="F0F4FF"/>
          </w:tcPr>
          <w:p>
            <w:r>
              <w:rPr>
                <w:sz w:val="20"/>
              </w:rPr>
              <w:t>SQL WHERE townland IS NOT NULL matches SPARQL's open-world behaviour — triples cannot exist for NULL values</w:t>
            </w:r>
          </w:p>
        </w:tc>
      </w:tr>
      <w:tr>
        <w:tc>
          <w:tcPr>
            <w:tcW w:type="dxa" w:w="2736"/>
            <w:shd w:val="clear" w:color="auto" w:fill="FFFFFF"/>
          </w:tcPr>
          <w:p>
            <w:r>
              <w:rPr>
                <w:sz w:val="20"/>
              </w:rPr>
              <w:t>eviction_count_by_year</w:t>
            </w:r>
          </w:p>
        </w:tc>
        <w:tc>
          <w:tcPr>
            <w:tcW w:type="dxa" w:w="2304"/>
            <w:shd w:val="clear" w:color="auto" w:fill="FFFFFF"/>
          </w:tcPr>
          <w:p>
            <w:r>
              <w:rPr>
                <w:sz w:val="20"/>
              </w:rPr>
              <w:t>Evictions per year</w:t>
            </w:r>
          </w:p>
        </w:tc>
        <w:tc>
          <w:tcPr>
            <w:tcW w:type="dxa" w:w="5184"/>
            <w:shd w:val="clear" w:color="auto" w:fill="FFFFFF"/>
          </w:tcPr>
          <w:p>
            <w:r>
              <w:rPr>
                <w:sz w:val="20"/>
              </w:rPr>
              <w:t>SQL excludes 4 NULL-year rows to align with SPARQL, which cannot bind an absent co:year triple</w:t>
            </w:r>
          </w:p>
        </w:tc>
      </w:tr>
      <w:tr>
        <w:tc>
          <w:tcPr>
            <w:tcW w:type="dxa" w:w="2736"/>
            <w:shd w:val="clear" w:color="auto" w:fill="F0F4FF"/>
          </w:tcPr>
          <w:p>
            <w:r>
              <w:rPr>
                <w:sz w:val="20"/>
              </w:rPr>
              <w:t>surname_frequency</w:t>
            </w:r>
          </w:p>
        </w:tc>
        <w:tc>
          <w:tcPr>
            <w:tcW w:type="dxa" w:w="2304"/>
            <w:shd w:val="clear" w:color="auto" w:fill="F0F4FF"/>
          </w:tcPr>
          <w:p>
            <w:r>
              <w:rPr>
                <w:sz w:val="20"/>
              </w:rPr>
              <w:t>Top 10 surnames</w:t>
            </w:r>
          </w:p>
        </w:tc>
        <w:tc>
          <w:tcPr>
            <w:tcW w:type="dxa" w:w="5184"/>
            <w:shd w:val="clear" w:color="auto" w:fill="F0F4FF"/>
          </w:tcPr>
          <w:p>
            <w:r>
              <w:rPr>
                <w:sz w:val="20"/>
              </w:rPr>
              <w:t>Both return identical results — the cleanest scenario demonstrating full agreement</w:t>
            </w:r>
          </w:p>
        </w:tc>
      </w:tr>
      <w:tr>
        <w:tc>
          <w:tcPr>
            <w:tcW w:type="dxa" w:w="2736"/>
            <w:shd w:val="clear" w:color="auto" w:fill="FFFFFF"/>
          </w:tcPr>
          <w:p>
            <w:r>
              <w:rPr>
                <w:sz w:val="20"/>
              </w:rPr>
              <w:t>person_event_detail</w:t>
            </w:r>
          </w:p>
        </w:tc>
        <w:tc>
          <w:tcPr>
            <w:tcW w:type="dxa" w:w="2304"/>
            <w:shd w:val="clear" w:color="auto" w:fill="FFFFFF"/>
          </w:tcPr>
          <w:p>
            <w:r>
              <w:rPr>
                <w:sz w:val="20"/>
              </w:rPr>
              <w:t>Person + event detail</w:t>
            </w:r>
          </w:p>
        </w:tc>
        <w:tc>
          <w:tcPr>
            <w:tcW w:type="dxa" w:w="5184"/>
            <w:shd w:val="clear" w:color="auto" w:fill="FFFFFF"/>
          </w:tcPr>
          <w:p>
            <w:r>
              <w:rPr>
                <w:sz w:val="20"/>
              </w:rPr>
              <w:t>SPARQL traverses Person→Event as a natural graph walk; SQL implements the same join as a CASE expression in a single flat table</w:t>
            </w:r>
          </w:p>
        </w:tc>
      </w:tr>
    </w:tbl>
    <w:p/>
    <w:p>
      <w:pPr>
        <w:pStyle w:val="Heading2"/>
      </w:pPr>
      <w:r>
        <w:rPr>
          <w:b/>
          <w:color w:val="1D4ED8"/>
          <w:sz w:val="26"/>
        </w:rPr>
        <w:t>3.5  SQL and SPARQL Runners</w:t>
      </w:r>
    </w:p>
    <w:p>
      <w:pPr>
        <w:spacing w:after="120"/>
      </w:pPr>
      <w:r>
        <w:rPr>
          <w:sz w:val="22"/>
        </w:rPr>
        <w:t>Both query runners are implemented in kg_service.py and share the same interface (columns: list[str], rows: list[dict], error: str | None):</w:t>
      </w:r>
    </w:p>
    <w:p>
      <w:pPr>
        <w:pStyle w:val="Heading3"/>
      </w:pPr>
      <w:r>
        <w:rPr>
          <w:b/>
          <w:color w:val="166A34"/>
          <w:sz w:val="22"/>
        </w:rPr>
        <w:t>SQL runner (run_sql)</w:t>
      </w:r>
    </w:p>
    <w:p>
      <w:pPr>
        <w:spacing w:after="120"/>
      </w:pPr>
      <w:r>
        <w:rPr>
          <w:sz w:val="22"/>
        </w:rPr>
        <w:t>Executes SELECT-only queries against the SQLite database via extensions.get_db_conn(). Non-SELECT statements are rejected before execution. Results are fetched with fetchmany(500) to prevent memory exhaustion on large result sets.</w:t>
      </w:r>
    </w:p>
    <w:p>
      <w:pPr>
        <w:spacing w:before="80" w:after="80"/>
        <w:ind w:left="567"/>
        <w:shd w:val="clear" w:color="auto" w:fill="F1F5FB"/>
      </w:pPr>
      <w:r>
        <w:rPr>
          <w:rFonts w:ascii="Courier New" w:hAnsi="Courier New"/>
          <w:color w:val="1E40AF"/>
          <w:sz w:val="18"/>
        </w:rPr>
        <w:t>if not sql.strip().upper().startswith('SELECT'):</w:t>
        <w:br/>
        <w:t xml:space="preserve">    return [], [], 'Only SELECT queries are permitted.'</w:t>
      </w:r>
    </w:p>
    <w:p>
      <w:pPr>
        <w:pStyle w:val="Heading3"/>
      </w:pPr>
      <w:r>
        <w:rPr>
          <w:b/>
          <w:color w:val="166A34"/>
          <w:sz w:val="22"/>
        </w:rPr>
        <w:t>SPARQL runner (run_sparql)</w:t>
      </w:r>
    </w:p>
    <w:p>
      <w:pPr>
        <w:spacing w:after="120"/>
      </w:pPr>
      <w:r>
        <w:rPr>
          <w:sz w:val="22"/>
        </w:rPr>
        <w:t>Executes SELECT queries against the in-process rdflib graph. Standard prefixes (co:, schema:, ex:, rdf:, rdfs:, xsd:) are prepended automatically so that scenario queries do not need to repeat them. Results are normalised: each binding value is converted to a string, with None for unbound variables.</w:t>
      </w:r>
    </w:p>
    <w:p>
      <w:pPr>
        <w:pStyle w:val="Heading2"/>
      </w:pPr>
      <w:r>
        <w:rPr>
          <w:b/>
          <w:color w:val="1D4ED8"/>
          <w:sz w:val="26"/>
        </w:rPr>
        <w:t>3.6  LLM Mismatch Analysis</w:t>
      </w:r>
    </w:p>
    <w:p>
      <w:pPr>
        <w:spacing w:after="120"/>
      </w:pPr>
      <w:r>
        <w:rPr>
          <w:sz w:val="22"/>
        </w:rPr>
        <w:t>When the SQL and SPARQL row counts differ, the front end offers an 'Explain difference' action. This calls explain_mismatch() in kg_service.py, which constructs a structured academic prompt and sends it to OpenRouter (GPT / Llama / Gemma free tier, with automatic model fallback). The prompt includes both full queries and five-row samples from each result set. The LLM is instructed to respond with a fixed markdown structure:</w:t>
      </w:r>
    </w:p>
    <w:p>
      <w:pPr>
        <w:pStyle w:val="ListBullet"/>
        <w:ind w:left="283"/>
      </w:pPr>
      <w:r>
        <w:rPr>
          <w:sz w:val="21"/>
        </w:rPr>
        <w:t>Root Cause — one sentence</w:t>
      </w:r>
    </w:p>
    <w:p>
      <w:pPr>
        <w:pStyle w:val="ListBullet"/>
        <w:ind w:left="283"/>
      </w:pPr>
      <w:r>
        <w:rPr>
          <w:sz w:val="21"/>
        </w:rPr>
        <w:t>Technical Explanation — closed-world vs open-world, NULL handling, schema modelling</w:t>
      </w:r>
    </w:p>
    <w:p>
      <w:pPr>
        <w:pStyle w:val="ListBullet"/>
        <w:ind w:left="283"/>
      </w:pPr>
      <w:r>
        <w:rPr>
          <w:sz w:val="21"/>
        </w:rPr>
        <w:t>All Possible Reasons — numbered list, most to least likely</w:t>
      </w:r>
    </w:p>
    <w:p>
      <w:pPr>
        <w:pStyle w:val="ListBullet"/>
        <w:ind w:left="283"/>
      </w:pPr>
      <w:r>
        <w:rPr>
          <w:sz w:val="21"/>
        </w:rPr>
        <w:t>Data Evidence — what the sample rows reveal</w:t>
      </w:r>
    </w:p>
    <w:p>
      <w:pPr>
        <w:pStyle w:val="ListBullet"/>
        <w:ind w:left="283"/>
      </w:pPr>
      <w:r>
        <w:rPr>
          <w:sz w:val="21"/>
        </w:rPr>
        <w:t>Conclusion — expected behaviour or data quality issue</w:t>
      </w:r>
    </w:p>
    <w:p/>
    <w:p>
      <w:pPr>
        <w:spacing w:after="120"/>
      </w:pPr>
      <w:r>
        <w:rPr>
          <w:sz w:val="22"/>
        </w:rPr>
        <w:t>The analysis text is returned to the front end as markdown and rendered inline alongside the comparison table. The model used is included in the response for reproducibility.</w:t>
      </w:r>
    </w:p>
    <w:p>
      <w:pPr>
        <w:pStyle w:val="Heading2"/>
      </w:pPr>
      <w:r>
        <w:rPr>
          <w:b/>
          <w:color w:val="1D4ED8"/>
          <w:sz w:val="26"/>
        </w:rPr>
        <w:t>3.7  Graph Topology View</w:t>
      </w:r>
    </w:p>
    <w:p>
      <w:pPr>
        <w:spacing w:after="120"/>
      </w:pPr>
      <w:r>
        <w:rPr>
          <w:sz w:val="22"/>
        </w:rPr>
        <w:t>The /api/kg/graph endpoint builds a D3.js force simulation graph from the SQLite unified_record table. The graph uses four node types:</w:t>
      </w:r>
    </w:p>
    <w:tbl>
      <w:tblPr>
        <w:tblStyle w:val="TableGrid"/>
        <w:tblW w:type="auto" w:w="0"/>
        <w:tblLook w:firstColumn="1" w:firstRow="1" w:lastColumn="0" w:lastRow="0" w:noHBand="0" w:noVBand="1" w:val="04A0"/>
      </w:tblPr>
      <w:tblGrid>
        <w:gridCol w:w="2280"/>
        <w:gridCol w:w="2280"/>
        <w:gridCol w:w="2280"/>
        <w:gridCol w:w="2280"/>
      </w:tblGrid>
      <w:tr>
        <w:tc>
          <w:tcPr>
            <w:tcW w:type="dxa" w:w="1728"/>
            <w:shd w:val="clear" w:color="auto" w:fill="1E3A5F"/>
          </w:tcPr>
          <w:p>
            <w:r>
              <w:rPr>
                <w:b/>
                <w:color w:val="FFFFFF"/>
                <w:sz w:val="20"/>
              </w:rPr>
              <w:t>Node type</w:t>
            </w:r>
          </w:p>
        </w:tc>
        <w:tc>
          <w:tcPr>
            <w:tcW w:type="dxa" w:w="2592"/>
            <w:shd w:val="clear" w:color="auto" w:fill="1E3A5F"/>
          </w:tcPr>
          <w:p>
            <w:r>
              <w:rPr>
                <w:b/>
                <w:color w:val="FFFFFF"/>
                <w:sz w:val="20"/>
              </w:rPr>
              <w:t>ID prefix</w:t>
            </w:r>
          </w:p>
        </w:tc>
        <w:tc>
          <w:tcPr>
            <w:tcW w:type="dxa" w:w="2880"/>
            <w:shd w:val="clear" w:color="auto" w:fill="1E3A5F"/>
          </w:tcPr>
          <w:p>
            <w:r>
              <w:rPr>
                <w:b/>
                <w:color w:val="FFFFFF"/>
                <w:sz w:val="20"/>
              </w:rPr>
              <w:t>Colour</w:t>
            </w:r>
          </w:p>
        </w:tc>
        <w:tc>
          <w:tcPr>
            <w:tcW w:type="dxa" w:w="3024"/>
            <w:shd w:val="clear" w:color="auto" w:fill="1E3A5F"/>
          </w:tcPr>
          <w:p>
            <w:r>
              <w:rPr>
                <w:b/>
                <w:color w:val="FFFFFF"/>
                <w:sz w:val="20"/>
              </w:rPr>
              <w:t>What it represents</w:t>
            </w:r>
          </w:p>
        </w:tc>
      </w:tr>
      <w:tr>
        <w:tc>
          <w:tcPr>
            <w:tcW w:type="dxa" w:w="1728"/>
            <w:shd w:val="clear" w:color="auto" w:fill="F0F4FF"/>
          </w:tcPr>
          <w:p>
            <w:r>
              <w:rPr>
                <w:sz w:val="20"/>
              </w:rPr>
              <w:t>Townland</w:t>
            </w:r>
          </w:p>
        </w:tc>
        <w:tc>
          <w:tcPr>
            <w:tcW w:type="dxa" w:w="2592"/>
            <w:shd w:val="clear" w:color="auto" w:fill="F0F4FF"/>
          </w:tcPr>
          <w:p>
            <w:r>
              <w:rPr>
                <w:sz w:val="20"/>
              </w:rPr>
              <w:t>t_&lt;name&gt;</w:t>
            </w:r>
          </w:p>
        </w:tc>
        <w:tc>
          <w:tcPr>
            <w:tcW w:type="dxa" w:w="2880"/>
            <w:shd w:val="clear" w:color="auto" w:fill="F0F4FF"/>
          </w:tcPr>
          <w:p>
            <w:r>
              <w:rPr>
                <w:sz w:val="20"/>
              </w:rPr>
              <w:t>Green / Red / Blue (dominant event)</w:t>
            </w:r>
          </w:p>
        </w:tc>
        <w:tc>
          <w:tcPr>
            <w:tcW w:type="dxa" w:w="3024"/>
            <w:shd w:val="clear" w:color="auto" w:fill="F0F4FF"/>
          </w:tcPr>
          <w:p>
            <w:r>
              <w:rPr>
                <w:sz w:val="20"/>
              </w:rPr>
              <w:t>One node per distinct townland; size scales with total record count</w:t>
            </w:r>
          </w:p>
        </w:tc>
      </w:tr>
      <w:tr>
        <w:tc>
          <w:tcPr>
            <w:tcW w:type="dxa" w:w="1728"/>
            <w:shd w:val="clear" w:color="auto" w:fill="FFFFFF"/>
          </w:tcPr>
          <w:p>
            <w:r>
              <w:rPr>
                <w:sz w:val="20"/>
              </w:rPr>
              <w:t>Parish</w:t>
            </w:r>
          </w:p>
        </w:tc>
        <w:tc>
          <w:tcPr>
            <w:tcW w:type="dxa" w:w="2592"/>
            <w:shd w:val="clear" w:color="auto" w:fill="FFFFFF"/>
          </w:tcPr>
          <w:p>
            <w:r>
              <w:rPr>
                <w:sz w:val="20"/>
              </w:rPr>
              <w:t>parish_&lt;name&gt;</w:t>
            </w:r>
          </w:p>
        </w:tc>
        <w:tc>
          <w:tcPr>
            <w:tcW w:type="dxa" w:w="2880"/>
            <w:shd w:val="clear" w:color="auto" w:fill="FFFFFF"/>
          </w:tcPr>
          <w:p>
            <w:r>
              <w:rPr>
                <w:sz w:val="20"/>
              </w:rPr>
              <w:t>Purple #7c3aed</w:t>
            </w:r>
          </w:p>
        </w:tc>
        <w:tc>
          <w:tcPr>
            <w:tcW w:type="dxa" w:w="3024"/>
            <w:shd w:val="clear" w:color="auto" w:fill="FFFFFF"/>
          </w:tcPr>
          <w:p>
            <w:r>
              <w:rPr>
                <w:sz w:val="20"/>
              </w:rPr>
              <w:t>Civil parish grouping; connected to its townlands by 'contains' edges</w:t>
            </w:r>
          </w:p>
        </w:tc>
      </w:tr>
      <w:tr>
        <w:tc>
          <w:tcPr>
            <w:tcW w:type="dxa" w:w="1728"/>
            <w:shd w:val="clear" w:color="auto" w:fill="F0F4FF"/>
          </w:tcPr>
          <w:p>
            <w:r>
              <w:rPr>
                <w:sz w:val="20"/>
              </w:rPr>
              <w:t>EventHub</w:t>
            </w:r>
          </w:p>
        </w:tc>
        <w:tc>
          <w:tcPr>
            <w:tcW w:type="dxa" w:w="2592"/>
            <w:shd w:val="clear" w:color="auto" w:fill="F0F4FF"/>
          </w:tcPr>
          <w:p>
            <w:r>
              <w:rPr>
                <w:sz w:val="20"/>
              </w:rPr>
              <w:t>eh_emigration etc.</w:t>
            </w:r>
          </w:p>
        </w:tc>
        <w:tc>
          <w:tcPr>
            <w:tcW w:type="dxa" w:w="2880"/>
            <w:shd w:val="clear" w:color="auto" w:fill="F0F4FF"/>
          </w:tcPr>
          <w:p>
            <w:r>
              <w:rPr>
                <w:sz w:val="20"/>
              </w:rPr>
              <w:t>Green / Red / Blue</w:t>
            </w:r>
          </w:p>
        </w:tc>
        <w:tc>
          <w:tcPr>
            <w:tcW w:type="dxa" w:w="3024"/>
            <w:shd w:val="clear" w:color="auto" w:fill="F0F4FF"/>
          </w:tcPr>
          <w:p>
            <w:r>
              <w:rPr>
                <w:sz w:val="20"/>
              </w:rPr>
              <w:t>Three fixed hub nodes representing the event type taxonomy</w:t>
            </w:r>
          </w:p>
        </w:tc>
      </w:tr>
      <w:tr>
        <w:tc>
          <w:tcPr>
            <w:tcW w:type="dxa" w:w="1728"/>
            <w:shd w:val="clear" w:color="auto" w:fill="FFFFFF"/>
          </w:tcPr>
          <w:p>
            <w:r>
              <w:rPr>
                <w:sz w:val="20"/>
              </w:rPr>
              <w:t>DataHub</w:t>
            </w:r>
          </w:p>
        </w:tc>
        <w:tc>
          <w:tcPr>
            <w:tcW w:type="dxa" w:w="2592"/>
            <w:shd w:val="clear" w:color="auto" w:fill="FFFFFF"/>
          </w:tcPr>
          <w:p>
            <w:r>
              <w:rPr>
                <w:sz w:val="20"/>
              </w:rPr>
              <w:t>dh_census etc.</w:t>
            </w:r>
          </w:p>
        </w:tc>
        <w:tc>
          <w:tcPr>
            <w:tcW w:type="dxa" w:w="2880"/>
            <w:shd w:val="clear" w:color="auto" w:fill="FFFFFF"/>
          </w:tcPr>
          <w:p>
            <w:r>
              <w:rPr>
                <w:sz w:val="20"/>
              </w:rPr>
              <w:t>Teal / Purple</w:t>
            </w:r>
          </w:p>
        </w:tc>
        <w:tc>
          <w:tcPr>
            <w:tcW w:type="dxa" w:w="3024"/>
            <w:shd w:val="clear" w:color="auto" w:fill="FFFFFF"/>
          </w:tcPr>
          <w:p>
            <w:r>
              <w:rPr>
                <w:sz w:val="20"/>
              </w:rPr>
              <w:t>Two fixed hubs indicating which townlands have census or clearances data</w:t>
            </w:r>
          </w:p>
        </w:tc>
      </w:tr>
    </w:tbl>
    <w:p/>
    <w:p>
      <w:pPr>
        <w:spacing w:after="120"/>
      </w:pPr>
      <w:r>
        <w:rPr>
          <w:sz w:val="22"/>
        </w:rPr>
        <w:t>The graph is built by _build_graph_inner(), which executes three SQLite queries (aggregated stats per townland, parish lookup, and townland metadata) and two membership queries (which townland IDs appear in census_record and clearances_record). The result is cached in _GRAPH_CACHE on first call and served from memory on subsequent requests.</w:t>
      </w:r>
    </w:p>
    <w:p>
      <w:pPr>
        <w:pBdr>
          <w:bottom w:val="single" w:sz="4" w:space="1" w:color="CBD5E1"/>
        </w:pBdr>
      </w:pPr>
    </w:p>
    <w:p>
      <w:pPr>
        <w:pStyle w:val="Heading1"/>
      </w:pPr>
      <w:r>
        <w:rPr>
          <w:b/>
          <w:color w:val="0F172A"/>
          <w:sz w:val="32"/>
        </w:rPr>
        <w:t>Summary of Design Decisions</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1E3A5F"/>
          </w:tcPr>
          <w:p>
            <w:r>
              <w:rPr>
                <w:b/>
                <w:color w:val="FFFFFF"/>
                <w:sz w:val="20"/>
              </w:rPr>
              <w:t>Feature</w:t>
            </w:r>
          </w:p>
        </w:tc>
        <w:tc>
          <w:tcPr>
            <w:tcW w:type="dxa" w:w="3168"/>
            <w:shd w:val="clear" w:color="auto" w:fill="1E3A5F"/>
          </w:tcPr>
          <w:p>
            <w:r>
              <w:rPr>
                <w:b/>
                <w:color w:val="FFFFFF"/>
                <w:sz w:val="20"/>
              </w:rPr>
              <w:t>Key decision</w:t>
            </w:r>
          </w:p>
        </w:tc>
        <w:tc>
          <w:tcPr>
            <w:tcW w:type="dxa" w:w="4896"/>
            <w:shd w:val="clear" w:color="auto" w:fill="1E3A5F"/>
          </w:tcPr>
          <w:p>
            <w:r>
              <w:rPr>
                <w:b/>
                <w:color w:val="FFFFFF"/>
                <w:sz w:val="20"/>
              </w:rPr>
              <w:t>Rationale</w:t>
            </w:r>
          </w:p>
        </w:tc>
      </w:tr>
      <w:tr>
        <w:tc>
          <w:tcPr>
            <w:tcW w:type="dxa" w:w="2160"/>
            <w:shd w:val="clear" w:color="auto" w:fill="F0F4FF"/>
          </w:tcPr>
          <w:p>
            <w:r>
              <w:rPr>
                <w:sz w:val="20"/>
              </w:rPr>
              <w:t>Workhouse Matching</w:t>
            </w:r>
          </w:p>
        </w:tc>
        <w:tc>
          <w:tcPr>
            <w:tcW w:type="dxa" w:w="3168"/>
            <w:shd w:val="clear" w:color="auto" w:fill="F0F4FF"/>
          </w:tcPr>
          <w:p>
            <w:r>
              <w:rPr>
                <w:sz w:val="20"/>
              </w:rPr>
              <w:t>Place-first cascade with SequenceMatcher</w:t>
            </w:r>
          </w:p>
        </w:tc>
        <w:tc>
          <w:tcPr>
            <w:tcW w:type="dxa" w:w="4896"/>
            <w:shd w:val="clear" w:color="auto" w:fill="F0F4FF"/>
          </w:tcPr>
          <w:p>
            <w:r>
              <w:rPr>
                <w:sz w:val="20"/>
              </w:rPr>
              <w:t>Sparse, inconsistent data means pure name-matching produces too many false positives. Restricting the scoring pool to geographically relevant records first dramatically reduces noise.</w:t>
            </w:r>
          </w:p>
        </w:tc>
      </w:tr>
      <w:tr>
        <w:tc>
          <w:tcPr>
            <w:tcW w:type="dxa" w:w="2160"/>
            <w:shd w:val="clear" w:color="auto" w:fill="FFFFFF"/>
          </w:tcPr>
          <w:p>
            <w:r>
              <w:rPr>
                <w:sz w:val="20"/>
              </w:rPr>
              <w:t>Workhouse Matching</w:t>
            </w:r>
          </w:p>
        </w:tc>
        <w:tc>
          <w:tcPr>
            <w:tcW w:type="dxa" w:w="3168"/>
            <w:shd w:val="clear" w:color="auto" w:fill="FFFFFF"/>
          </w:tcPr>
          <w:p>
            <w:r>
              <w:rPr>
                <w:sz w:val="20"/>
              </w:rPr>
              <w:t>Occupation bonus capped within tier</w:t>
            </w:r>
          </w:p>
        </w:tc>
        <w:tc>
          <w:tcPr>
            <w:tcW w:type="dxa" w:w="4896"/>
            <w:shd w:val="clear" w:color="auto" w:fill="FFFFFF"/>
          </w:tcPr>
          <w:p>
            <w:r>
              <w:rPr>
                <w:sz w:val="20"/>
              </w:rPr>
              <w:t>Prevents a shared occupation keyword from artificially promoting a low-quality name match. The tier boundary is a hard quality gate.</w:t>
            </w:r>
          </w:p>
        </w:tc>
      </w:tr>
      <w:tr>
        <w:tc>
          <w:tcPr>
            <w:tcW w:type="dxa" w:w="2160"/>
            <w:shd w:val="clear" w:color="auto" w:fill="F0F4FF"/>
          </w:tcPr>
          <w:p>
            <w:r>
              <w:rPr>
                <w:sz w:val="20"/>
              </w:rPr>
              <w:t>Application Performance</w:t>
            </w:r>
          </w:p>
        </w:tc>
        <w:tc>
          <w:tcPr>
            <w:tcW w:type="dxa" w:w="3168"/>
            <w:shd w:val="clear" w:color="auto" w:fill="F0F4FF"/>
          </w:tcPr>
          <w:p>
            <w:r>
              <w:rPr>
                <w:sz w:val="20"/>
              </w:rPr>
              <w:t>SQLite PRAGMAs per-connection, not per-database</w:t>
            </w:r>
          </w:p>
        </w:tc>
        <w:tc>
          <w:tcPr>
            <w:tcW w:type="dxa" w:w="4896"/>
            <w:shd w:val="clear" w:color="auto" w:fill="F0F4FF"/>
          </w:tcPr>
          <w:p>
            <w:r>
              <w:rPr>
                <w:sz w:val="20"/>
              </w:rPr>
              <w:t>The Flask app uses short-lived connections (no connection pool). Applying PRAGMAs in get_db_conn() ensures every connection is tuned without requiring a persistent connection.</w:t>
            </w:r>
          </w:p>
        </w:tc>
      </w:tr>
      <w:tr>
        <w:tc>
          <w:tcPr>
            <w:tcW w:type="dxa" w:w="2160"/>
            <w:shd w:val="clear" w:color="auto" w:fill="FFFFFF"/>
          </w:tcPr>
          <w:p>
            <w:r>
              <w:rPr>
                <w:sz w:val="20"/>
              </w:rPr>
              <w:t>Application Performance</w:t>
            </w:r>
          </w:p>
        </w:tc>
        <w:tc>
          <w:tcPr>
            <w:tcW w:type="dxa" w:w="3168"/>
            <w:shd w:val="clear" w:color="auto" w:fill="FFFFFF"/>
          </w:tcPr>
          <w:p>
            <w:r>
              <w:rPr>
                <w:sz w:val="20"/>
              </w:rPr>
              <w:t>Process-lifetime caches for stable data</w:t>
            </w:r>
          </w:p>
        </w:tc>
        <w:tc>
          <w:tcPr>
            <w:tcW w:type="dxa" w:w="4896"/>
            <w:shd w:val="clear" w:color="auto" w:fill="FFFFFF"/>
          </w:tcPr>
          <w:p>
            <w:r>
              <w:rPr>
                <w:sz w:val="20"/>
              </w:rPr>
              <w:t>The workhouse Excel, match index, and D3 graph do not change without a code or data deployment. Rebuilding them on every request would be orders of magnitude slower.</w:t>
            </w:r>
          </w:p>
        </w:tc>
      </w:tr>
      <w:tr>
        <w:tc>
          <w:tcPr>
            <w:tcW w:type="dxa" w:w="2160"/>
            <w:shd w:val="clear" w:color="auto" w:fill="F0F4FF"/>
          </w:tcPr>
          <w:p>
            <w:r>
              <w:rPr>
                <w:sz w:val="20"/>
              </w:rPr>
              <w:t>Application Performance</w:t>
            </w:r>
          </w:p>
        </w:tc>
        <w:tc>
          <w:tcPr>
            <w:tcW w:type="dxa" w:w="3168"/>
            <w:shd w:val="clear" w:color="auto" w:fill="F0F4FF"/>
          </w:tcPr>
          <w:p>
            <w:r>
              <w:rPr>
                <w:sz w:val="20"/>
              </w:rPr>
              <w:t>TTL caches for external data</w:t>
            </w:r>
          </w:p>
        </w:tc>
        <w:tc>
          <w:tcPr>
            <w:tcW w:type="dxa" w:w="4896"/>
            <w:shd w:val="clear" w:color="auto" w:fill="F0F4FF"/>
          </w:tcPr>
          <w:p>
            <w:r>
              <w:rPr>
                <w:sz w:val="20"/>
              </w:rPr>
              <w:t>VRTI SPARQL results, LLM provider status, and approved query memory are volatile or expensive. TTLs balance freshness against latency.</w:t>
            </w:r>
          </w:p>
        </w:tc>
      </w:tr>
      <w:tr>
        <w:tc>
          <w:tcPr>
            <w:tcW w:type="dxa" w:w="2160"/>
            <w:shd w:val="clear" w:color="auto" w:fill="FFFFFF"/>
          </w:tcPr>
          <w:p>
            <w:r>
              <w:rPr>
                <w:sz w:val="20"/>
              </w:rPr>
              <w:t>RDF/KG Comparison</w:t>
            </w:r>
          </w:p>
        </w:tc>
        <w:tc>
          <w:tcPr>
            <w:tcW w:type="dxa" w:w="3168"/>
            <w:shd w:val="clear" w:color="auto" w:fill="FFFFFF"/>
          </w:tcPr>
          <w:p>
            <w:r>
              <w:rPr>
                <w:sz w:val="20"/>
              </w:rPr>
              <w:t>rdflib in-process rather than a live GraphDB connection</w:t>
            </w:r>
          </w:p>
        </w:tc>
        <w:tc>
          <w:tcPr>
            <w:tcW w:type="dxa" w:w="4896"/>
            <w:shd w:val="clear" w:color="auto" w:fill="FFFFFF"/>
          </w:tcPr>
          <w:p>
            <w:r>
              <w:rPr>
                <w:sz w:val="20"/>
              </w:rPr>
              <w:t>Eliminates network dependency on the GraphDB Azure VM for the core comparison feature. The TTL file is the ground truth for the dissertation comparison.</w:t>
            </w:r>
          </w:p>
        </w:tc>
      </w:tr>
      <w:tr>
        <w:tc>
          <w:tcPr>
            <w:tcW w:type="dxa" w:w="2160"/>
            <w:shd w:val="clear" w:color="auto" w:fill="F0F4FF"/>
          </w:tcPr>
          <w:p>
            <w:r>
              <w:rPr>
                <w:sz w:val="20"/>
              </w:rPr>
              <w:t>RDF/KG Comparison</w:t>
            </w:r>
          </w:p>
        </w:tc>
        <w:tc>
          <w:tcPr>
            <w:tcW w:type="dxa" w:w="3168"/>
            <w:shd w:val="clear" w:color="auto" w:fill="F0F4FF"/>
          </w:tcPr>
          <w:p>
            <w:r>
              <w:rPr>
                <w:sz w:val="20"/>
              </w:rPr>
              <w:t>LLM mismatch analysis is on-demand</w:t>
            </w:r>
          </w:p>
        </w:tc>
        <w:tc>
          <w:tcPr>
            <w:tcW w:type="dxa" w:w="4896"/>
            <w:shd w:val="clear" w:color="auto" w:fill="F0F4FF"/>
          </w:tcPr>
          <w:p>
            <w:r>
              <w:rPr>
                <w:sz w:val="20"/>
              </w:rPr>
              <w:t>The LLM call is expensive (~3–8 s). It is only triggered when results actually differ and the user explicitly requests an explanation.</w:t>
            </w:r>
          </w:p>
        </w:tc>
      </w:tr>
    </w:tbl>
    <w:p/>
    <w:p/>
    <w:p>
      <w:pPr>
        <w:jc w:val="center"/>
      </w:pPr>
      <w:r>
        <w:rPr>
          <w:i/>
          <w:color w:val="475467"/>
          <w:sz w:val="18"/>
        </w:rPr>
        <w:t>Generated 25 May 2026, 10:52  ·  Coolattin Estate Records Explorer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