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52"/>
        </w:rPr>
        <w:t>Coolattin Estate Records Explorer</w:t>
      </w:r>
    </w:p>
    <w:p>
      <w:pPr>
        <w:jc w:val="center"/>
      </w:pPr>
      <w:r>
        <w:rPr>
          <w:b/>
          <w:color w:val="1D4ED8"/>
          <w:sz w:val="32"/>
        </w:rPr>
        <w:t>Full Technical Implementation Report</w:t>
      </w:r>
    </w:p>
    <w:p/>
    <w:p>
      <w:pPr>
        <w:jc w:val="center"/>
      </w:pPr>
      <w:r>
        <w:rPr>
          <w:sz w:val="22"/>
        </w:rPr>
        <w:t>Masters Dissertation  ·  May 2026</w:t>
        <w:br/>
      </w:r>
      <w:r>
        <w:rPr>
          <w:sz w:val="22"/>
        </w:rPr>
        <w:t>County Wicklow Estate Records · 1841–1891</w:t>
      </w:r>
    </w:p>
    <w:p/>
    <w:p/>
    <w:tbl>
      <w:tblPr>
        <w:tblStyle w:val="TableGrid"/>
        <w:tblW w:type="auto" w:w="0"/>
        <w:tblLook w:firstColumn="1" w:firstRow="1" w:lastColumn="0" w:lastRow="0" w:noHBand="0" w:noVBand="1" w:val="04A0"/>
      </w:tblPr>
      <w:tblGrid>
        <w:gridCol w:w="9066"/>
      </w:tblGrid>
      <w:tr>
        <w:tc>
          <w:tcPr>
            <w:tcW w:type="dxa" w:w="9066"/>
            <w:shd w:val="clear" w:color="auto" w:fill="EFF6FF"/>
          </w:tcPr>
          <w:p>
            <w:pPr>
              <w:jc w:val="both"/>
            </w:pPr>
            <w:r>
              <w:rPr>
                <w:i/>
                <w:sz w:val="21"/>
              </w:rPr>
              <w:t>This report documents the complete technical implementation of the Coolattin Estate Records Explorer — a full-stack web application built as a Masters dissertation artefact. The system integrates 13,707 historical estate records (6,016 emigrations, 4,108 evictions, 5,247 tenancy records) with an interactive map, analytics dashboard, natural-language LLM Q&amp;A, a D3.js knowledge graph visualiser, and a GraphDB SPARQL endpoint containing 143,123 RDF triples. Every feature, route, service, database table, algorithm, and design decision is documented with technical detail suitable for academic review.</w:t>
            </w:r>
          </w:p>
        </w:tc>
      </w:tr>
    </w:tbl>
    <w:p/>
    <w:p>
      <w:r>
        <w:br w:type="page"/>
      </w:r>
    </w:p>
    <w:p>
      <w:pPr>
        <w:pStyle w:val="Heading1"/>
        <w:spacing w:before="280" w:after="80"/>
      </w:pPr>
      <w:r>
        <w:rPr>
          <w:b/>
          <w:color w:val="0F172A"/>
          <w:sz w:val="32"/>
        </w:rPr>
        <w:t>1. Project Overview</w:t>
      </w:r>
    </w:p>
    <w:p>
      <w:pPr>
        <w:spacing w:before="40" w:after="80"/>
      </w:pPr>
      <w:r>
        <w:rPr>
          <w:sz w:val="21"/>
        </w:rPr>
        <w:t>The Coolattin Estate Records Explorer is a full-stack web application providing a unified, searchable interface over historical records from the Coolattin Estate, County Wicklow, Ireland, covering the mid-nineteenth century — one of the most significant periods in Irish history, encompassing the Great Famine (1845–1852), mass emigration, and large-scale estate clearances.</w:t>
      </w:r>
    </w:p>
    <w:p>
      <w:pPr>
        <w:pStyle w:val="Heading2"/>
        <w:spacing w:before="200" w:after="80"/>
      </w:pPr>
      <w:r>
        <w:rPr>
          <w:b/>
          <w:color w:val="1D4ED8"/>
          <w:sz w:val="26"/>
        </w:rPr>
        <w:t>1.1 Historical Context</w:t>
      </w:r>
    </w:p>
    <w:p>
      <w:pPr>
        <w:spacing w:before="40" w:after="80"/>
      </w:pPr>
      <w:r>
        <w:rPr>
          <w:sz w:val="21"/>
        </w:rPr>
        <w:t>The Coolattin Estate was the County Wicklow seat of the Fitzwilliam family. In the decade following the Famine, the estate oversaw:</w:t>
      </w:r>
    </w:p>
    <w:p>
      <w:pPr>
        <w:pStyle w:val="ListBullet"/>
        <w:spacing w:before="20" w:after="40"/>
      </w:pPr>
      <w:r>
        <w:rPr>
          <w:b/>
          <w:sz w:val="21"/>
        </w:rPr>
        <w:t>Emigration:</w:t>
      </w:r>
      <w:r>
        <w:rPr>
          <w:sz w:val="21"/>
        </w:rPr>
        <w:t xml:space="preserve"> 6,016 emigration records — Fitzwilliam-sponsored passages, mainly to Quebec and Toronto</w:t>
      </w:r>
    </w:p>
    <w:p>
      <w:pPr>
        <w:pStyle w:val="ListBullet"/>
        <w:spacing w:before="20" w:after="40"/>
      </w:pPr>
      <w:r>
        <w:rPr>
          <w:b/>
          <w:sz w:val="21"/>
        </w:rPr>
        <w:t>Evictions:</w:t>
      </w:r>
      <w:r>
        <w:rPr>
          <w:sz w:val="21"/>
        </w:rPr>
        <w:t xml:space="preserve"> 4,108 eviction records — court sessions and estate clearances</w:t>
      </w:r>
    </w:p>
    <w:p>
      <w:pPr>
        <w:pStyle w:val="ListBullet"/>
        <w:spacing w:before="20" w:after="40"/>
      </w:pPr>
      <w:r>
        <w:rPr>
          <w:b/>
          <w:sz w:val="21"/>
        </w:rPr>
        <w:t>Tenancy:</w:t>
      </w:r>
      <w:r>
        <w:rPr>
          <w:sz w:val="21"/>
        </w:rPr>
        <w:t xml:space="preserve"> 5,247 tenancy records — landholding relationships across the estate</w:t>
      </w:r>
    </w:p>
    <w:p>
      <w:pPr>
        <w:pStyle w:val="ListBullet"/>
        <w:spacing w:before="20" w:after="40"/>
      </w:pPr>
      <w:r>
        <w:rPr>
          <w:b/>
          <w:sz w:val="21"/>
        </w:rPr>
        <w:t>Clearances:</w:t>
      </w:r>
      <w:r>
        <w:rPr>
          <w:sz w:val="21"/>
        </w:rPr>
        <w:t xml:space="preserve"> Clearances across 122 townlands from 1847 to 1856 (Famine peak)</w:t>
      </w:r>
    </w:p>
    <w:p>
      <w:pPr>
        <w:pStyle w:val="ListBullet"/>
        <w:spacing w:before="20" w:after="40"/>
      </w:pPr>
      <w:r>
        <w:rPr>
          <w:b/>
          <w:sz w:val="21"/>
        </w:rPr>
        <w:t>Census:</w:t>
      </w:r>
      <w:r>
        <w:rPr>
          <w:sz w:val="21"/>
        </w:rPr>
        <w:t xml:space="preserve"> Population data from 1827 to 1891 across 1,319 townlands</w:t>
      </w:r>
    </w:p>
    <w:p>
      <w:pPr>
        <w:pStyle w:val="Heading2"/>
        <w:spacing w:before="200" w:after="80"/>
      </w:pPr>
      <w:r>
        <w:rPr>
          <w:b/>
          <w:color w:val="1D4ED8"/>
          <w:sz w:val="26"/>
        </w:rPr>
        <w:t>1.2 Core Objectives</w:t>
      </w:r>
    </w:p>
    <w:tbl>
      <w:tblPr>
        <w:tblStyle w:val="TableGrid"/>
        <w:tblW w:type="auto" w:w="0"/>
        <w:jc w:val="left"/>
        <w:tblLook w:firstColumn="1" w:firstRow="1" w:lastColumn="0" w:lastRow="0" w:noHBand="0" w:noVBand="1" w:val="04A0"/>
      </w:tblPr>
      <w:tblGrid>
        <w:gridCol w:w="4533"/>
        <w:gridCol w:w="4533"/>
      </w:tblGrid>
      <w:tr>
        <w:tc>
          <w:tcPr>
            <w:tcW w:type="dxa" w:w="4320"/>
            <w:shd w:val="clear" w:color="auto" w:fill="1E3A5F"/>
          </w:tcPr>
          <w:p>
            <w:pPr>
              <w:jc w:val="left"/>
            </w:pPr>
            <w:r>
              <w:rPr>
                <w:b/>
                <w:color w:val="FFFFFF"/>
                <w:sz w:val="19"/>
              </w:rPr>
              <w:t>Objective</w:t>
            </w:r>
          </w:p>
        </w:tc>
        <w:tc>
          <w:tcPr>
            <w:tcW w:type="dxa" w:w="5040"/>
            <w:shd w:val="clear" w:color="auto" w:fill="1E3A5F"/>
          </w:tcPr>
          <w:p>
            <w:pPr>
              <w:jc w:val="left"/>
            </w:pPr>
            <w:r>
              <w:rPr>
                <w:b/>
                <w:color w:val="FFFFFF"/>
                <w:sz w:val="19"/>
              </w:rPr>
              <w:t>Implementation</w:t>
            </w:r>
          </w:p>
        </w:tc>
      </w:tr>
      <w:tr>
        <w:tc>
          <w:tcPr>
            <w:tcW w:type="dxa" w:w="4320"/>
            <w:shd w:val="clear" w:color="auto" w:fill="F0F4FF"/>
            <w:vAlign w:val="center"/>
          </w:tcPr>
          <w:p>
            <w:r>
              <w:rPr>
                <w:sz w:val="18"/>
              </w:rPr>
              <w:t>Full-text search over 13,707 estate records</w:t>
            </w:r>
          </w:p>
        </w:tc>
        <w:tc>
          <w:tcPr>
            <w:tcW w:type="dxa" w:w="5040"/>
            <w:shd w:val="clear" w:color="auto" w:fill="F0F4FF"/>
            <w:vAlign w:val="center"/>
          </w:tcPr>
          <w:p>
            <w:r>
              <w:rPr>
                <w:sz w:val="18"/>
              </w:rPr>
              <w:t>Unified Records Search (SQLite + pandas)</w:t>
            </w:r>
          </w:p>
        </w:tc>
      </w:tr>
      <w:tr>
        <w:tc>
          <w:tcPr>
            <w:tcW w:type="dxa" w:w="4320"/>
            <w:shd w:val="clear" w:color="auto" w:fill="FFFFFF"/>
            <w:vAlign w:val="center"/>
          </w:tcPr>
          <w:p>
            <w:r>
              <w:rPr>
                <w:sz w:val="18"/>
              </w:rPr>
              <w:t>Spatial visualisation of records by townland</w:t>
            </w:r>
          </w:p>
        </w:tc>
        <w:tc>
          <w:tcPr>
            <w:tcW w:type="dxa" w:w="5040"/>
            <w:shd w:val="clear" w:color="auto" w:fill="FFFFFF"/>
            <w:vAlign w:val="center"/>
          </w:tcPr>
          <w:p>
            <w:r>
              <w:rPr>
                <w:sz w:val="18"/>
              </w:rPr>
              <w:t>Leaflet.js interactive map with GeoJSON</w:t>
            </w:r>
          </w:p>
        </w:tc>
      </w:tr>
      <w:tr>
        <w:tc>
          <w:tcPr>
            <w:tcW w:type="dxa" w:w="4320"/>
            <w:shd w:val="clear" w:color="auto" w:fill="F0F4FF"/>
            <w:vAlign w:val="center"/>
          </w:tcPr>
          <w:p>
            <w:r>
              <w:rPr>
                <w:sz w:val="18"/>
              </w:rPr>
              <w:t>Population trend analysis across time</w:t>
            </w:r>
          </w:p>
        </w:tc>
        <w:tc>
          <w:tcPr>
            <w:tcW w:type="dxa" w:w="5040"/>
            <w:shd w:val="clear" w:color="auto" w:fill="F0F4FF"/>
            <w:vAlign w:val="center"/>
          </w:tcPr>
          <w:p>
            <w:r>
              <w:rPr>
                <w:sz w:val="18"/>
              </w:rPr>
              <w:t>Census explorer + analytics dashboard</w:t>
            </w:r>
          </w:p>
        </w:tc>
      </w:tr>
      <w:tr>
        <w:tc>
          <w:tcPr>
            <w:tcW w:type="dxa" w:w="4320"/>
            <w:shd w:val="clear" w:color="auto" w:fill="FFFFFF"/>
            <w:vAlign w:val="center"/>
          </w:tcPr>
          <w:p>
            <w:r>
              <w:rPr>
                <w:sz w:val="18"/>
              </w:rPr>
              <w:t>Natural-language Q&amp;A over historical data</w:t>
            </w:r>
          </w:p>
        </w:tc>
        <w:tc>
          <w:tcPr>
            <w:tcW w:type="dxa" w:w="5040"/>
            <w:shd w:val="clear" w:color="auto" w:fill="FFFFFF"/>
            <w:vAlign w:val="center"/>
          </w:tcPr>
          <w:p>
            <w:r>
              <w:rPr>
                <w:sz w:val="18"/>
              </w:rPr>
              <w:t>LLM pipeline (OpenRouter / Ollama + SSE)</w:t>
            </w:r>
          </w:p>
        </w:tc>
      </w:tr>
      <w:tr>
        <w:tc>
          <w:tcPr>
            <w:tcW w:type="dxa" w:w="4320"/>
            <w:shd w:val="clear" w:color="auto" w:fill="F0F4FF"/>
            <w:vAlign w:val="center"/>
          </w:tcPr>
          <w:p>
            <w:r>
              <w:rPr>
                <w:sz w:val="18"/>
              </w:rPr>
              <w:t>Knowledge graph representation of all data</w:t>
            </w:r>
          </w:p>
        </w:tc>
        <w:tc>
          <w:tcPr>
            <w:tcW w:type="dxa" w:w="5040"/>
            <w:shd w:val="clear" w:color="auto" w:fill="F0F4FF"/>
            <w:vAlign w:val="center"/>
          </w:tcPr>
          <w:p>
            <w:r>
              <w:rPr>
                <w:sz w:val="18"/>
              </w:rPr>
              <w:t>GraphDB 10.x + D3.js force-directed graph</w:t>
            </w:r>
          </w:p>
        </w:tc>
      </w:tr>
      <w:tr>
        <w:tc>
          <w:tcPr>
            <w:tcW w:type="dxa" w:w="4320"/>
            <w:shd w:val="clear" w:color="auto" w:fill="FFFFFF"/>
            <w:vAlign w:val="center"/>
          </w:tcPr>
          <w:p>
            <w:r>
              <w:rPr>
                <w:sz w:val="18"/>
              </w:rPr>
              <w:t>SQL vs SPARQL comparative prototype</w:t>
            </w:r>
          </w:p>
        </w:tc>
        <w:tc>
          <w:tcPr>
            <w:tcW w:type="dxa" w:w="5040"/>
            <w:shd w:val="clear" w:color="auto" w:fill="FFFFFF"/>
            <w:vAlign w:val="center"/>
          </w:tcPr>
          <w:p>
            <w:r>
              <w:rPr>
                <w:sz w:val="18"/>
              </w:rPr>
              <w:t>Side-by-side comparison with LLM explanation</w:t>
            </w:r>
          </w:p>
        </w:tc>
      </w:tr>
      <w:tr>
        <w:tc>
          <w:tcPr>
            <w:tcW w:type="dxa" w:w="4320"/>
            <w:shd w:val="clear" w:color="auto" w:fill="F0F4FF"/>
            <w:vAlign w:val="center"/>
          </w:tcPr>
          <w:p>
            <w:r>
              <w:rPr>
                <w:sz w:val="18"/>
              </w:rPr>
              <w:t>Reproducible academic artefact</w:t>
            </w:r>
          </w:p>
        </w:tc>
        <w:tc>
          <w:tcPr>
            <w:tcW w:type="dxa" w:w="5040"/>
            <w:shd w:val="clear" w:color="auto" w:fill="F0F4FF"/>
            <w:vAlign w:val="center"/>
          </w:tcPr>
          <w:p>
            <w:r>
              <w:rPr>
                <w:sz w:val="18"/>
              </w:rPr>
              <w:t>SQLite, deterministic ingest, no ORM</w:t>
            </w:r>
          </w:p>
        </w:tc>
      </w:tr>
    </w:tbl>
    <w:p/>
    <w:p>
      <w:r>
        <w:br w:type="page"/>
      </w:r>
    </w:p>
    <w:p>
      <w:pPr>
        <w:pStyle w:val="Heading1"/>
        <w:spacing w:before="280" w:after="80"/>
      </w:pPr>
      <w:r>
        <w:rPr>
          <w:b/>
          <w:color w:val="0F172A"/>
          <w:sz w:val="32"/>
        </w:rPr>
        <w:t>2. Technology Stack</w:t>
      </w:r>
    </w:p>
    <w:p>
      <w:pPr>
        <w:pStyle w:val="Heading2"/>
        <w:spacing w:before="200" w:after="80"/>
      </w:pPr>
      <w:r>
        <w:rPr>
          <w:b/>
          <w:color w:val="1D4ED8"/>
          <w:sz w:val="26"/>
        </w:rPr>
        <w:t>2.1 Backend</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304"/>
            <w:shd w:val="clear" w:color="auto" w:fill="1E3A5F"/>
          </w:tcPr>
          <w:p>
            <w:pPr>
              <w:jc w:val="left"/>
            </w:pPr>
            <w:r>
              <w:rPr>
                <w:b/>
                <w:color w:val="FFFFFF"/>
                <w:sz w:val="19"/>
              </w:rPr>
              <w:t>Component</w:t>
            </w:r>
          </w:p>
        </w:tc>
        <w:tc>
          <w:tcPr>
            <w:tcW w:type="dxa" w:w="2160"/>
            <w:shd w:val="clear" w:color="auto" w:fill="1E3A5F"/>
          </w:tcPr>
          <w:p>
            <w:pPr>
              <w:jc w:val="left"/>
            </w:pPr>
            <w:r>
              <w:rPr>
                <w:b/>
                <w:color w:val="FFFFFF"/>
                <w:sz w:val="19"/>
              </w:rPr>
              <w:t>Technology</w:t>
            </w:r>
          </w:p>
        </w:tc>
        <w:tc>
          <w:tcPr>
            <w:tcW w:type="dxa" w:w="1296"/>
            <w:shd w:val="clear" w:color="auto" w:fill="1E3A5F"/>
          </w:tcPr>
          <w:p>
            <w:pPr>
              <w:jc w:val="left"/>
            </w:pPr>
            <w:r>
              <w:rPr>
                <w:b/>
                <w:color w:val="FFFFFF"/>
                <w:sz w:val="19"/>
              </w:rPr>
              <w:t>Version</w:t>
            </w:r>
          </w:p>
        </w:tc>
        <w:tc>
          <w:tcPr>
            <w:tcW w:type="dxa" w:w="3600"/>
            <w:shd w:val="clear" w:color="auto" w:fill="1E3A5F"/>
          </w:tcPr>
          <w:p>
            <w:pPr>
              <w:jc w:val="left"/>
            </w:pPr>
            <w:r>
              <w:rPr>
                <w:b/>
                <w:color w:val="FFFFFF"/>
                <w:sz w:val="19"/>
              </w:rPr>
              <w:t>Purpose</w:t>
            </w:r>
          </w:p>
        </w:tc>
      </w:tr>
      <w:tr>
        <w:tc>
          <w:tcPr>
            <w:tcW w:type="dxa" w:w="2304"/>
            <w:shd w:val="clear" w:color="auto" w:fill="F0F4FF"/>
            <w:vAlign w:val="center"/>
          </w:tcPr>
          <w:p>
            <w:r>
              <w:rPr>
                <w:sz w:val="18"/>
              </w:rPr>
              <w:t>Language</w:t>
            </w:r>
          </w:p>
        </w:tc>
        <w:tc>
          <w:tcPr>
            <w:tcW w:type="dxa" w:w="2160"/>
            <w:shd w:val="clear" w:color="auto" w:fill="F0F4FF"/>
            <w:vAlign w:val="center"/>
          </w:tcPr>
          <w:p>
            <w:r>
              <w:rPr>
                <w:sz w:val="18"/>
              </w:rPr>
              <w:t>Python</w:t>
            </w:r>
          </w:p>
        </w:tc>
        <w:tc>
          <w:tcPr>
            <w:tcW w:type="dxa" w:w="1296"/>
            <w:shd w:val="clear" w:color="auto" w:fill="F0F4FF"/>
            <w:vAlign w:val="center"/>
          </w:tcPr>
          <w:p>
            <w:r>
              <w:rPr>
                <w:sz w:val="18"/>
              </w:rPr>
              <w:t>3.12</w:t>
            </w:r>
          </w:p>
        </w:tc>
        <w:tc>
          <w:tcPr>
            <w:tcW w:type="dxa" w:w="3600"/>
            <w:shd w:val="clear" w:color="auto" w:fill="F0F4FF"/>
            <w:vAlign w:val="center"/>
          </w:tcPr>
          <w:p>
            <w:r>
              <w:rPr>
                <w:sz w:val="18"/>
              </w:rPr>
              <w:t>Primary backend language</w:t>
            </w:r>
          </w:p>
        </w:tc>
      </w:tr>
      <w:tr>
        <w:tc>
          <w:tcPr>
            <w:tcW w:type="dxa" w:w="2304"/>
            <w:shd w:val="clear" w:color="auto" w:fill="FFFFFF"/>
            <w:vAlign w:val="center"/>
          </w:tcPr>
          <w:p>
            <w:r>
              <w:rPr>
                <w:sz w:val="18"/>
              </w:rPr>
              <w:t>Web framework</w:t>
            </w:r>
          </w:p>
        </w:tc>
        <w:tc>
          <w:tcPr>
            <w:tcW w:type="dxa" w:w="2160"/>
            <w:shd w:val="clear" w:color="auto" w:fill="FFFFFF"/>
            <w:vAlign w:val="center"/>
          </w:tcPr>
          <w:p>
            <w:r>
              <w:rPr>
                <w:sz w:val="18"/>
              </w:rPr>
              <w:t>Flask</w:t>
            </w:r>
          </w:p>
        </w:tc>
        <w:tc>
          <w:tcPr>
            <w:tcW w:type="dxa" w:w="1296"/>
            <w:shd w:val="clear" w:color="auto" w:fill="FFFFFF"/>
            <w:vAlign w:val="center"/>
          </w:tcPr>
          <w:p>
            <w:r>
              <w:rPr>
                <w:sz w:val="18"/>
              </w:rPr>
              <w:t>3.x</w:t>
            </w:r>
          </w:p>
        </w:tc>
        <w:tc>
          <w:tcPr>
            <w:tcW w:type="dxa" w:w="3600"/>
            <w:shd w:val="clear" w:color="auto" w:fill="FFFFFF"/>
            <w:vAlign w:val="center"/>
          </w:tcPr>
          <w:p>
            <w:r>
              <w:rPr>
                <w:sz w:val="18"/>
              </w:rPr>
              <w:t>HTTP routing, SSE streaming, Jinja2 templating</w:t>
            </w:r>
          </w:p>
        </w:tc>
      </w:tr>
      <w:tr>
        <w:tc>
          <w:tcPr>
            <w:tcW w:type="dxa" w:w="2304"/>
            <w:shd w:val="clear" w:color="auto" w:fill="F0F4FF"/>
            <w:vAlign w:val="center"/>
          </w:tcPr>
          <w:p>
            <w:r>
              <w:rPr>
                <w:sz w:val="18"/>
              </w:rPr>
              <w:t>Database</w:t>
            </w:r>
          </w:p>
        </w:tc>
        <w:tc>
          <w:tcPr>
            <w:tcW w:type="dxa" w:w="2160"/>
            <w:shd w:val="clear" w:color="auto" w:fill="F0F4FF"/>
            <w:vAlign w:val="center"/>
          </w:tcPr>
          <w:p>
            <w:r>
              <w:rPr>
                <w:sz w:val="18"/>
              </w:rPr>
              <w:t>SQLite (sqlite3)</w:t>
            </w:r>
          </w:p>
        </w:tc>
        <w:tc>
          <w:tcPr>
            <w:tcW w:type="dxa" w:w="1296"/>
            <w:shd w:val="clear" w:color="auto" w:fill="F0F4FF"/>
            <w:vAlign w:val="center"/>
          </w:tcPr>
          <w:p>
            <w:r>
              <w:rPr>
                <w:sz w:val="18"/>
              </w:rPr>
              <w:t>3.x</w:t>
            </w:r>
          </w:p>
        </w:tc>
        <w:tc>
          <w:tcPr>
            <w:tcW w:type="dxa" w:w="3600"/>
            <w:shd w:val="clear" w:color="auto" w:fill="F0F4FF"/>
            <w:vAlign w:val="center"/>
          </w:tcPr>
          <w:p>
            <w:r>
              <w:rPr>
                <w:sz w:val="18"/>
              </w:rPr>
              <w:t>Local persistence; no ORM by design</w:t>
            </w:r>
          </w:p>
        </w:tc>
      </w:tr>
      <w:tr>
        <w:tc>
          <w:tcPr>
            <w:tcW w:type="dxa" w:w="2304"/>
            <w:shd w:val="clear" w:color="auto" w:fill="FFFFFF"/>
            <w:vAlign w:val="center"/>
          </w:tcPr>
          <w:p>
            <w:r>
              <w:rPr>
                <w:sz w:val="18"/>
              </w:rPr>
              <w:t>HTTP client</w:t>
            </w:r>
          </w:p>
        </w:tc>
        <w:tc>
          <w:tcPr>
            <w:tcW w:type="dxa" w:w="2160"/>
            <w:shd w:val="clear" w:color="auto" w:fill="FFFFFF"/>
            <w:vAlign w:val="center"/>
          </w:tcPr>
          <w:p>
            <w:r>
              <w:rPr>
                <w:sz w:val="18"/>
              </w:rPr>
              <w:t>requests</w:t>
            </w:r>
          </w:p>
        </w:tc>
        <w:tc>
          <w:tcPr>
            <w:tcW w:type="dxa" w:w="1296"/>
            <w:shd w:val="clear" w:color="auto" w:fill="FFFFFF"/>
            <w:vAlign w:val="center"/>
          </w:tcPr>
          <w:p>
            <w:r>
              <w:rPr>
                <w:sz w:val="18"/>
              </w:rPr>
              <w:t>2.x</w:t>
            </w:r>
          </w:p>
        </w:tc>
        <w:tc>
          <w:tcPr>
            <w:tcW w:type="dxa" w:w="3600"/>
            <w:shd w:val="clear" w:color="auto" w:fill="FFFFFF"/>
            <w:vAlign w:val="center"/>
          </w:tcPr>
          <w:p>
            <w:r>
              <w:rPr>
                <w:sz w:val="18"/>
              </w:rPr>
              <w:t>SPARQL endpoint + LLM API calls</w:t>
            </w:r>
          </w:p>
        </w:tc>
      </w:tr>
      <w:tr>
        <w:tc>
          <w:tcPr>
            <w:tcW w:type="dxa" w:w="2304"/>
            <w:shd w:val="clear" w:color="auto" w:fill="F0F4FF"/>
            <w:vAlign w:val="center"/>
          </w:tcPr>
          <w:p>
            <w:r>
              <w:rPr>
                <w:sz w:val="18"/>
              </w:rPr>
              <w:t>Data processing</w:t>
            </w:r>
          </w:p>
        </w:tc>
        <w:tc>
          <w:tcPr>
            <w:tcW w:type="dxa" w:w="2160"/>
            <w:shd w:val="clear" w:color="auto" w:fill="F0F4FF"/>
            <w:vAlign w:val="center"/>
          </w:tcPr>
          <w:p>
            <w:r>
              <w:rPr>
                <w:sz w:val="18"/>
              </w:rPr>
              <w:t>pandas</w:t>
            </w:r>
          </w:p>
        </w:tc>
        <w:tc>
          <w:tcPr>
            <w:tcW w:type="dxa" w:w="1296"/>
            <w:shd w:val="clear" w:color="auto" w:fill="F0F4FF"/>
            <w:vAlign w:val="center"/>
          </w:tcPr>
          <w:p>
            <w:r>
              <w:rPr>
                <w:sz w:val="18"/>
              </w:rPr>
              <w:t>2.x</w:t>
            </w:r>
          </w:p>
        </w:tc>
        <w:tc>
          <w:tcPr>
            <w:tcW w:type="dxa" w:w="3600"/>
            <w:shd w:val="clear" w:color="auto" w:fill="F0F4FF"/>
            <w:vAlign w:val="center"/>
          </w:tcPr>
          <w:p>
            <w:r>
              <w:rPr>
                <w:sz w:val="18"/>
              </w:rPr>
              <w:t>Unified records CSV; workhouse matching</w:t>
            </w:r>
          </w:p>
        </w:tc>
      </w:tr>
      <w:tr>
        <w:tc>
          <w:tcPr>
            <w:tcW w:type="dxa" w:w="2304"/>
            <w:shd w:val="clear" w:color="auto" w:fill="FFFFFF"/>
            <w:vAlign w:val="center"/>
          </w:tcPr>
          <w:p>
            <w:r>
              <w:rPr>
                <w:sz w:val="18"/>
              </w:rPr>
              <w:t>Excel export</w:t>
            </w:r>
          </w:p>
        </w:tc>
        <w:tc>
          <w:tcPr>
            <w:tcW w:type="dxa" w:w="2160"/>
            <w:shd w:val="clear" w:color="auto" w:fill="FFFFFF"/>
            <w:vAlign w:val="center"/>
          </w:tcPr>
          <w:p>
            <w:r>
              <w:rPr>
                <w:sz w:val="18"/>
              </w:rPr>
              <w:t>openpyxl</w:t>
            </w:r>
          </w:p>
        </w:tc>
        <w:tc>
          <w:tcPr>
            <w:tcW w:type="dxa" w:w="1296"/>
            <w:shd w:val="clear" w:color="auto" w:fill="FFFFFF"/>
            <w:vAlign w:val="center"/>
          </w:tcPr>
          <w:p>
            <w:r>
              <w:rPr>
                <w:sz w:val="18"/>
              </w:rPr>
              <w:t>3.x</w:t>
            </w:r>
          </w:p>
        </w:tc>
        <w:tc>
          <w:tcPr>
            <w:tcW w:type="dxa" w:w="3600"/>
            <w:shd w:val="clear" w:color="auto" w:fill="FFFFFF"/>
            <w:vAlign w:val="center"/>
          </w:tcPr>
          <w:p>
            <w:r>
              <w:rPr>
                <w:sz w:val="18"/>
              </w:rPr>
              <w:t>Census data Excel (.xlsx) export</w:t>
            </w:r>
          </w:p>
        </w:tc>
      </w:tr>
      <w:tr>
        <w:tc>
          <w:tcPr>
            <w:tcW w:type="dxa" w:w="2304"/>
            <w:shd w:val="clear" w:color="auto" w:fill="F0F4FF"/>
            <w:vAlign w:val="center"/>
          </w:tcPr>
          <w:p>
            <w:r>
              <w:rPr>
                <w:sz w:val="18"/>
              </w:rPr>
              <w:t>RDF processing</w:t>
            </w:r>
          </w:p>
        </w:tc>
        <w:tc>
          <w:tcPr>
            <w:tcW w:type="dxa" w:w="2160"/>
            <w:shd w:val="clear" w:color="auto" w:fill="F0F4FF"/>
            <w:vAlign w:val="center"/>
          </w:tcPr>
          <w:p>
            <w:r>
              <w:rPr>
                <w:sz w:val="18"/>
              </w:rPr>
              <w:t>rdflib</w:t>
            </w:r>
          </w:p>
        </w:tc>
        <w:tc>
          <w:tcPr>
            <w:tcW w:type="dxa" w:w="1296"/>
            <w:shd w:val="clear" w:color="auto" w:fill="F0F4FF"/>
            <w:vAlign w:val="center"/>
          </w:tcPr>
          <w:p>
            <w:r>
              <w:rPr>
                <w:sz w:val="18"/>
              </w:rPr>
              <w:t>7.x</w:t>
            </w:r>
          </w:p>
        </w:tc>
        <w:tc>
          <w:tcPr>
            <w:tcW w:type="dxa" w:w="3600"/>
            <w:shd w:val="clear" w:color="auto" w:fill="F0F4FF"/>
            <w:vAlign w:val="center"/>
          </w:tcPr>
          <w:p>
            <w:r>
              <w:rPr>
                <w:sz w:val="18"/>
              </w:rPr>
              <w:t>In-process SPARQL against TTL file</w:t>
            </w:r>
          </w:p>
        </w:tc>
      </w:tr>
      <w:tr>
        <w:tc>
          <w:tcPr>
            <w:tcW w:type="dxa" w:w="2304"/>
            <w:shd w:val="clear" w:color="auto" w:fill="FFFFFF"/>
            <w:vAlign w:val="center"/>
          </w:tcPr>
          <w:p>
            <w:r>
              <w:rPr>
                <w:sz w:val="18"/>
              </w:rPr>
              <w:t>RDF graph database</w:t>
            </w:r>
          </w:p>
        </w:tc>
        <w:tc>
          <w:tcPr>
            <w:tcW w:type="dxa" w:w="2160"/>
            <w:shd w:val="clear" w:color="auto" w:fill="FFFFFF"/>
            <w:vAlign w:val="center"/>
          </w:tcPr>
          <w:p>
            <w:r>
              <w:rPr>
                <w:sz w:val="18"/>
              </w:rPr>
              <w:t>GraphDB</w:t>
            </w:r>
          </w:p>
        </w:tc>
        <w:tc>
          <w:tcPr>
            <w:tcW w:type="dxa" w:w="1296"/>
            <w:shd w:val="clear" w:color="auto" w:fill="FFFFFF"/>
            <w:vAlign w:val="center"/>
          </w:tcPr>
          <w:p>
            <w:r>
              <w:rPr>
                <w:sz w:val="18"/>
              </w:rPr>
              <w:t>10.x</w:t>
            </w:r>
          </w:p>
        </w:tc>
        <w:tc>
          <w:tcPr>
            <w:tcW w:type="dxa" w:w="3600"/>
            <w:shd w:val="clear" w:color="auto" w:fill="FFFFFF"/>
            <w:vAlign w:val="center"/>
          </w:tcPr>
          <w:p>
            <w:r>
              <w:rPr>
                <w:sz w:val="18"/>
              </w:rPr>
              <w:t>143,123-triple SPARQL endpoint (local)</w:t>
            </w:r>
          </w:p>
        </w:tc>
      </w:tr>
      <w:tr>
        <w:tc>
          <w:tcPr>
            <w:tcW w:type="dxa" w:w="2304"/>
            <w:shd w:val="clear" w:color="auto" w:fill="F0F4FF"/>
            <w:vAlign w:val="center"/>
          </w:tcPr>
          <w:p>
            <w:r>
              <w:rPr>
                <w:sz w:val="18"/>
              </w:rPr>
              <w:t>LLM (primary)</w:t>
            </w:r>
          </w:p>
        </w:tc>
        <w:tc>
          <w:tcPr>
            <w:tcW w:type="dxa" w:w="2160"/>
            <w:shd w:val="clear" w:color="auto" w:fill="F0F4FF"/>
            <w:vAlign w:val="center"/>
          </w:tcPr>
          <w:p>
            <w:r>
              <w:rPr>
                <w:sz w:val="18"/>
              </w:rPr>
              <w:t>OpenRouter</w:t>
            </w:r>
          </w:p>
        </w:tc>
        <w:tc>
          <w:tcPr>
            <w:tcW w:type="dxa" w:w="1296"/>
            <w:shd w:val="clear" w:color="auto" w:fill="F0F4FF"/>
            <w:vAlign w:val="center"/>
          </w:tcPr>
          <w:p>
            <w:r>
              <w:rPr>
                <w:sz w:val="18"/>
              </w:rPr>
              <w:t>API</w:t>
            </w:r>
          </w:p>
        </w:tc>
        <w:tc>
          <w:tcPr>
            <w:tcW w:type="dxa" w:w="3600"/>
            <w:shd w:val="clear" w:color="auto" w:fill="F0F4FF"/>
            <w:vAlign w:val="center"/>
          </w:tcPr>
          <w:p>
            <w:r>
              <w:rPr>
                <w:sz w:val="18"/>
              </w:rPr>
              <w:t>Cloud LLM; 14 free models with fallback chain</w:t>
            </w:r>
          </w:p>
        </w:tc>
      </w:tr>
      <w:tr>
        <w:tc>
          <w:tcPr>
            <w:tcW w:type="dxa" w:w="2304"/>
            <w:shd w:val="clear" w:color="auto" w:fill="FFFFFF"/>
            <w:vAlign w:val="center"/>
          </w:tcPr>
          <w:p>
            <w:r>
              <w:rPr>
                <w:sz w:val="18"/>
              </w:rPr>
              <w:t>LLM (fallback)</w:t>
            </w:r>
          </w:p>
        </w:tc>
        <w:tc>
          <w:tcPr>
            <w:tcW w:type="dxa" w:w="2160"/>
            <w:shd w:val="clear" w:color="auto" w:fill="FFFFFF"/>
            <w:vAlign w:val="center"/>
          </w:tcPr>
          <w:p>
            <w:r>
              <w:rPr>
                <w:sz w:val="18"/>
              </w:rPr>
              <w:t>Ollama</w:t>
            </w:r>
          </w:p>
        </w:tc>
        <w:tc>
          <w:tcPr>
            <w:tcW w:type="dxa" w:w="1296"/>
            <w:shd w:val="clear" w:color="auto" w:fill="FFFFFF"/>
            <w:vAlign w:val="center"/>
          </w:tcPr>
          <w:p>
            <w:r>
              <w:rPr>
                <w:sz w:val="18"/>
              </w:rPr>
              <w:t>—</w:t>
            </w:r>
          </w:p>
        </w:tc>
        <w:tc>
          <w:tcPr>
            <w:tcW w:type="dxa" w:w="3600"/>
            <w:shd w:val="clear" w:color="auto" w:fill="FFFFFF"/>
            <w:vAlign w:val="center"/>
          </w:tcPr>
          <w:p>
            <w:r>
              <w:rPr>
                <w:sz w:val="18"/>
              </w:rPr>
              <w:t>Local LLM server; configurable model</w:t>
            </w:r>
          </w:p>
        </w:tc>
      </w:tr>
    </w:tbl>
    <w:p/>
    <w:p>
      <w:pPr>
        <w:pStyle w:val="Heading2"/>
        <w:spacing w:before="200" w:after="80"/>
      </w:pPr>
      <w:r>
        <w:rPr>
          <w:b/>
          <w:color w:val="1D4ED8"/>
          <w:sz w:val="26"/>
        </w:rPr>
        <w:t>2.2 Frontend</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016"/>
            <w:shd w:val="clear" w:color="auto" w:fill="1E3A5F"/>
          </w:tcPr>
          <w:p>
            <w:pPr>
              <w:jc w:val="left"/>
            </w:pPr>
            <w:r>
              <w:rPr>
                <w:b/>
                <w:color w:val="FFFFFF"/>
                <w:sz w:val="19"/>
              </w:rPr>
              <w:t>Component</w:t>
            </w:r>
          </w:p>
        </w:tc>
        <w:tc>
          <w:tcPr>
            <w:tcW w:type="dxa" w:w="2592"/>
            <w:shd w:val="clear" w:color="auto" w:fill="1E3A5F"/>
          </w:tcPr>
          <w:p>
            <w:pPr>
              <w:jc w:val="left"/>
            </w:pPr>
            <w:r>
              <w:rPr>
                <w:b/>
                <w:color w:val="FFFFFF"/>
                <w:sz w:val="19"/>
              </w:rPr>
              <w:t>Technology</w:t>
            </w:r>
          </w:p>
        </w:tc>
        <w:tc>
          <w:tcPr>
            <w:tcW w:type="dxa" w:w="1296"/>
            <w:shd w:val="clear" w:color="auto" w:fill="1E3A5F"/>
          </w:tcPr>
          <w:p>
            <w:pPr>
              <w:jc w:val="left"/>
            </w:pPr>
            <w:r>
              <w:rPr>
                <w:b/>
                <w:color w:val="FFFFFF"/>
                <w:sz w:val="19"/>
              </w:rPr>
              <w:t>Version</w:t>
            </w:r>
          </w:p>
        </w:tc>
        <w:tc>
          <w:tcPr>
            <w:tcW w:type="dxa" w:w="3456"/>
            <w:shd w:val="clear" w:color="auto" w:fill="1E3A5F"/>
          </w:tcPr>
          <w:p>
            <w:pPr>
              <w:jc w:val="left"/>
            </w:pPr>
            <w:r>
              <w:rPr>
                <w:b/>
                <w:color w:val="FFFFFF"/>
                <w:sz w:val="19"/>
              </w:rPr>
              <w:t>Purpose</w:t>
            </w:r>
          </w:p>
        </w:tc>
      </w:tr>
      <w:tr>
        <w:tc>
          <w:tcPr>
            <w:tcW w:type="dxa" w:w="2016"/>
            <w:shd w:val="clear" w:color="auto" w:fill="F0F4FF"/>
            <w:vAlign w:val="center"/>
          </w:tcPr>
          <w:p>
            <w:r>
              <w:rPr>
                <w:sz w:val="18"/>
              </w:rPr>
              <w:t>Language</w:t>
            </w:r>
          </w:p>
        </w:tc>
        <w:tc>
          <w:tcPr>
            <w:tcW w:type="dxa" w:w="2592"/>
            <w:shd w:val="clear" w:color="auto" w:fill="F0F4FF"/>
            <w:vAlign w:val="center"/>
          </w:tcPr>
          <w:p>
            <w:r>
              <w:rPr>
                <w:sz w:val="18"/>
              </w:rPr>
              <w:t>Vanilla JavaScript</w:t>
            </w:r>
          </w:p>
        </w:tc>
        <w:tc>
          <w:tcPr>
            <w:tcW w:type="dxa" w:w="1296"/>
            <w:shd w:val="clear" w:color="auto" w:fill="F0F4FF"/>
            <w:vAlign w:val="center"/>
          </w:tcPr>
          <w:p>
            <w:r>
              <w:rPr>
                <w:sz w:val="18"/>
              </w:rPr>
              <w:t>ES2020</w:t>
            </w:r>
          </w:p>
        </w:tc>
        <w:tc>
          <w:tcPr>
            <w:tcW w:type="dxa" w:w="3456"/>
            <w:shd w:val="clear" w:color="auto" w:fill="F0F4FF"/>
            <w:vAlign w:val="center"/>
          </w:tcPr>
          <w:p>
            <w:r>
              <w:rPr>
                <w:sz w:val="18"/>
              </w:rPr>
              <w:t>All interactive logic; no framework</w:t>
            </w:r>
          </w:p>
        </w:tc>
      </w:tr>
      <w:tr>
        <w:tc>
          <w:tcPr>
            <w:tcW w:type="dxa" w:w="2016"/>
            <w:shd w:val="clear" w:color="auto" w:fill="FFFFFF"/>
            <w:vAlign w:val="center"/>
          </w:tcPr>
          <w:p>
            <w:r>
              <w:rPr>
                <w:sz w:val="18"/>
              </w:rPr>
              <w:t>Mapping</w:t>
            </w:r>
          </w:p>
        </w:tc>
        <w:tc>
          <w:tcPr>
            <w:tcW w:type="dxa" w:w="2592"/>
            <w:shd w:val="clear" w:color="auto" w:fill="FFFFFF"/>
            <w:vAlign w:val="center"/>
          </w:tcPr>
          <w:p>
            <w:r>
              <w:rPr>
                <w:sz w:val="18"/>
              </w:rPr>
              <w:t>Leaflet.js</w:t>
            </w:r>
          </w:p>
        </w:tc>
        <w:tc>
          <w:tcPr>
            <w:tcW w:type="dxa" w:w="1296"/>
            <w:shd w:val="clear" w:color="auto" w:fill="FFFFFF"/>
            <w:vAlign w:val="center"/>
          </w:tcPr>
          <w:p>
            <w:r>
              <w:rPr>
                <w:sz w:val="18"/>
              </w:rPr>
              <w:t>1.9</w:t>
            </w:r>
          </w:p>
        </w:tc>
        <w:tc>
          <w:tcPr>
            <w:tcW w:type="dxa" w:w="3456"/>
            <w:shd w:val="clear" w:color="auto" w:fill="FFFFFF"/>
            <w:vAlign w:val="center"/>
          </w:tcPr>
          <w:p>
            <w:r>
              <w:rPr>
                <w:sz w:val="18"/>
              </w:rPr>
              <w:t>Interactive map with GeoJSON overlays</w:t>
            </w:r>
          </w:p>
        </w:tc>
      </w:tr>
      <w:tr>
        <w:tc>
          <w:tcPr>
            <w:tcW w:type="dxa" w:w="2016"/>
            <w:shd w:val="clear" w:color="auto" w:fill="F0F4FF"/>
            <w:vAlign w:val="center"/>
          </w:tcPr>
          <w:p>
            <w:r>
              <w:rPr>
                <w:sz w:val="18"/>
              </w:rPr>
              <w:t>Graph viz</w:t>
            </w:r>
          </w:p>
        </w:tc>
        <w:tc>
          <w:tcPr>
            <w:tcW w:type="dxa" w:w="2592"/>
            <w:shd w:val="clear" w:color="auto" w:fill="F0F4FF"/>
            <w:vAlign w:val="center"/>
          </w:tcPr>
          <w:p>
            <w:r>
              <w:rPr>
                <w:sz w:val="18"/>
              </w:rPr>
              <w:t>D3.js</w:t>
            </w:r>
          </w:p>
        </w:tc>
        <w:tc>
          <w:tcPr>
            <w:tcW w:type="dxa" w:w="1296"/>
            <w:shd w:val="clear" w:color="auto" w:fill="F0F4FF"/>
            <w:vAlign w:val="center"/>
          </w:tcPr>
          <w:p>
            <w:r>
              <w:rPr>
                <w:sz w:val="18"/>
              </w:rPr>
              <w:t>7</w:t>
            </w:r>
          </w:p>
        </w:tc>
        <w:tc>
          <w:tcPr>
            <w:tcW w:type="dxa" w:w="3456"/>
            <w:shd w:val="clear" w:color="auto" w:fill="F0F4FF"/>
            <w:vAlign w:val="center"/>
          </w:tcPr>
          <w:p>
            <w:r>
              <w:rPr>
                <w:sz w:val="18"/>
              </w:rPr>
              <w:t>Force-directed knowledge graph</w:t>
            </w:r>
          </w:p>
        </w:tc>
      </w:tr>
      <w:tr>
        <w:tc>
          <w:tcPr>
            <w:tcW w:type="dxa" w:w="2016"/>
            <w:shd w:val="clear" w:color="auto" w:fill="FFFFFF"/>
            <w:vAlign w:val="center"/>
          </w:tcPr>
          <w:p>
            <w:r>
              <w:rPr>
                <w:sz w:val="18"/>
              </w:rPr>
              <w:t>Charting</w:t>
            </w:r>
          </w:p>
        </w:tc>
        <w:tc>
          <w:tcPr>
            <w:tcW w:type="dxa" w:w="2592"/>
            <w:shd w:val="clear" w:color="auto" w:fill="FFFFFF"/>
            <w:vAlign w:val="center"/>
          </w:tcPr>
          <w:p>
            <w:r>
              <w:rPr>
                <w:sz w:val="18"/>
              </w:rPr>
              <w:t>Chart.js</w:t>
            </w:r>
          </w:p>
        </w:tc>
        <w:tc>
          <w:tcPr>
            <w:tcW w:type="dxa" w:w="1296"/>
            <w:shd w:val="clear" w:color="auto" w:fill="FFFFFF"/>
            <w:vAlign w:val="center"/>
          </w:tcPr>
          <w:p>
            <w:r>
              <w:rPr>
                <w:sz w:val="18"/>
              </w:rPr>
              <w:t>4.x</w:t>
            </w:r>
          </w:p>
        </w:tc>
        <w:tc>
          <w:tcPr>
            <w:tcW w:type="dxa" w:w="3456"/>
            <w:shd w:val="clear" w:color="auto" w:fill="FFFFFF"/>
            <w:vAlign w:val="center"/>
          </w:tcPr>
          <w:p>
            <w:r>
              <w:rPr>
                <w:sz w:val="18"/>
              </w:rPr>
              <w:t>Analytics bar/line/doughnut charts</w:t>
            </w:r>
          </w:p>
        </w:tc>
      </w:tr>
      <w:tr>
        <w:tc>
          <w:tcPr>
            <w:tcW w:type="dxa" w:w="2016"/>
            <w:shd w:val="clear" w:color="auto" w:fill="F0F4FF"/>
            <w:vAlign w:val="center"/>
          </w:tcPr>
          <w:p>
            <w:r>
              <w:rPr>
                <w:sz w:val="18"/>
              </w:rPr>
              <w:t>Templating</w:t>
            </w:r>
          </w:p>
        </w:tc>
        <w:tc>
          <w:tcPr>
            <w:tcW w:type="dxa" w:w="2592"/>
            <w:shd w:val="clear" w:color="auto" w:fill="F0F4FF"/>
            <w:vAlign w:val="center"/>
          </w:tcPr>
          <w:p>
            <w:r>
              <w:rPr>
                <w:sz w:val="18"/>
              </w:rPr>
              <w:t>Jinja2</w:t>
            </w:r>
          </w:p>
        </w:tc>
        <w:tc>
          <w:tcPr>
            <w:tcW w:type="dxa" w:w="1296"/>
            <w:shd w:val="clear" w:color="auto" w:fill="F0F4FF"/>
            <w:vAlign w:val="center"/>
          </w:tcPr>
          <w:p>
            <w:r>
              <w:rPr>
                <w:sz w:val="18"/>
              </w:rPr>
              <w:t>3.x</w:t>
            </w:r>
          </w:p>
        </w:tc>
        <w:tc>
          <w:tcPr>
            <w:tcW w:type="dxa" w:w="3456"/>
            <w:shd w:val="clear" w:color="auto" w:fill="F0F4FF"/>
            <w:vAlign w:val="center"/>
          </w:tcPr>
          <w:p>
            <w:r>
              <w:rPr>
                <w:sz w:val="18"/>
              </w:rPr>
              <w:t>Server-side HTML rendering</w:t>
            </w:r>
          </w:p>
        </w:tc>
      </w:tr>
      <w:tr>
        <w:tc>
          <w:tcPr>
            <w:tcW w:type="dxa" w:w="2016"/>
            <w:shd w:val="clear" w:color="auto" w:fill="FFFFFF"/>
            <w:vAlign w:val="center"/>
          </w:tcPr>
          <w:p>
            <w:r>
              <w:rPr>
                <w:sz w:val="18"/>
              </w:rPr>
              <w:t>Styling</w:t>
            </w:r>
          </w:p>
        </w:tc>
        <w:tc>
          <w:tcPr>
            <w:tcW w:type="dxa" w:w="2592"/>
            <w:shd w:val="clear" w:color="auto" w:fill="FFFFFF"/>
            <w:vAlign w:val="center"/>
          </w:tcPr>
          <w:p>
            <w:r>
              <w:rPr>
                <w:sz w:val="18"/>
              </w:rPr>
              <w:t>Custom CSS</w:t>
            </w:r>
          </w:p>
        </w:tc>
        <w:tc>
          <w:tcPr>
            <w:tcW w:type="dxa" w:w="1296"/>
            <w:shd w:val="clear" w:color="auto" w:fill="FFFFFF"/>
            <w:vAlign w:val="center"/>
          </w:tcPr>
          <w:p>
            <w:r>
              <w:rPr>
                <w:sz w:val="18"/>
              </w:rPr>
              <w:t>—</w:t>
            </w:r>
          </w:p>
        </w:tc>
        <w:tc>
          <w:tcPr>
            <w:tcW w:type="dxa" w:w="3456"/>
            <w:shd w:val="clear" w:color="auto" w:fill="FFFFFF"/>
            <w:vAlign w:val="center"/>
          </w:tcPr>
          <w:p>
            <w:r>
              <w:rPr>
                <w:sz w:val="18"/>
              </w:rPr>
              <w:t>Single main.css (no framework)</w:t>
            </w:r>
          </w:p>
        </w:tc>
      </w:tr>
    </w:tbl>
    <w:p/>
    <w:p>
      <w:pPr>
        <w:pStyle w:val="Heading2"/>
        <w:spacing w:before="200" w:after="80"/>
      </w:pPr>
      <w:r>
        <w:rPr>
          <w:b/>
          <w:color w:val="1D4ED8"/>
          <w:sz w:val="26"/>
        </w:rPr>
        <w:t>2.3 External Services</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E3A5F"/>
          </w:tcPr>
          <w:p>
            <w:pPr>
              <w:jc w:val="left"/>
            </w:pPr>
            <w:r>
              <w:rPr>
                <w:b/>
                <w:color w:val="FFFFFF"/>
                <w:sz w:val="19"/>
              </w:rPr>
              <w:t>Service</w:t>
            </w:r>
          </w:p>
        </w:tc>
        <w:tc>
          <w:tcPr>
            <w:tcW w:type="dxa" w:w="4320"/>
            <w:shd w:val="clear" w:color="auto" w:fill="1E3A5F"/>
          </w:tcPr>
          <w:p>
            <w:pPr>
              <w:jc w:val="left"/>
            </w:pPr>
            <w:r>
              <w:rPr>
                <w:b/>
                <w:color w:val="FFFFFF"/>
                <w:sz w:val="19"/>
              </w:rPr>
              <w:t>Role</w:t>
            </w:r>
          </w:p>
        </w:tc>
        <w:tc>
          <w:tcPr>
            <w:tcW w:type="dxa" w:w="2160"/>
            <w:shd w:val="clear" w:color="auto" w:fill="1E3A5F"/>
          </w:tcPr>
          <w:p>
            <w:pPr>
              <w:jc w:val="left"/>
            </w:pPr>
            <w:r>
              <w:rPr>
                <w:b/>
                <w:color w:val="FFFFFF"/>
                <w:sz w:val="19"/>
              </w:rPr>
              <w:t>Protocol</w:t>
            </w:r>
          </w:p>
        </w:tc>
      </w:tr>
      <w:tr>
        <w:tc>
          <w:tcPr>
            <w:tcW w:type="dxa" w:w="2880"/>
            <w:shd w:val="clear" w:color="auto" w:fill="F0F4FF"/>
            <w:vAlign w:val="center"/>
          </w:tcPr>
          <w:p>
            <w:r>
              <w:rPr>
                <w:sz w:val="18"/>
              </w:rPr>
              <w:t>VRTI (Virtual Record Treasury of Ireland)</w:t>
            </w:r>
          </w:p>
        </w:tc>
        <w:tc>
          <w:tcPr>
            <w:tcW w:type="dxa" w:w="4320"/>
            <w:shd w:val="clear" w:color="auto" w:fill="F0F4FF"/>
            <w:vAlign w:val="center"/>
          </w:tcPr>
          <w:p>
            <w:r>
              <w:rPr>
                <w:sz w:val="18"/>
              </w:rPr>
              <w:t>Townland metadata + census data from the Knowledge Graph</w:t>
            </w:r>
          </w:p>
        </w:tc>
        <w:tc>
          <w:tcPr>
            <w:tcW w:type="dxa" w:w="2160"/>
            <w:shd w:val="clear" w:color="auto" w:fill="F0F4FF"/>
            <w:vAlign w:val="center"/>
          </w:tcPr>
          <w:p>
            <w:r>
              <w:rPr>
                <w:sz w:val="18"/>
              </w:rPr>
              <w:t>SPARQL over HTTPS</w:t>
            </w:r>
          </w:p>
        </w:tc>
      </w:tr>
      <w:tr>
        <w:tc>
          <w:tcPr>
            <w:tcW w:type="dxa" w:w="2880"/>
            <w:shd w:val="clear" w:color="auto" w:fill="FFFFFF"/>
            <w:vAlign w:val="center"/>
          </w:tcPr>
          <w:p>
            <w:r>
              <w:rPr>
                <w:sz w:val="18"/>
              </w:rPr>
              <w:t>OpenRouter</w:t>
            </w:r>
          </w:p>
        </w:tc>
        <w:tc>
          <w:tcPr>
            <w:tcW w:type="dxa" w:w="4320"/>
            <w:shd w:val="clear" w:color="auto" w:fill="FFFFFF"/>
            <w:vAlign w:val="center"/>
          </w:tcPr>
          <w:p>
            <w:r>
              <w:rPr>
                <w:sz w:val="18"/>
              </w:rPr>
              <w:t>Cloud LLM for SQL generation and answer rewriting</w:t>
            </w:r>
          </w:p>
        </w:tc>
        <w:tc>
          <w:tcPr>
            <w:tcW w:type="dxa" w:w="2160"/>
            <w:shd w:val="clear" w:color="auto" w:fill="FFFFFF"/>
            <w:vAlign w:val="center"/>
          </w:tcPr>
          <w:p>
            <w:r>
              <w:rPr>
                <w:sz w:val="18"/>
              </w:rPr>
              <w:t>REST (OpenAI-compatible)</w:t>
            </w:r>
          </w:p>
        </w:tc>
      </w:tr>
      <w:tr>
        <w:tc>
          <w:tcPr>
            <w:tcW w:type="dxa" w:w="2880"/>
            <w:shd w:val="clear" w:color="auto" w:fill="F0F4FF"/>
            <w:vAlign w:val="center"/>
          </w:tcPr>
          <w:p>
            <w:r>
              <w:rPr>
                <w:sz w:val="18"/>
              </w:rPr>
              <w:t>Ollama</w:t>
            </w:r>
          </w:p>
        </w:tc>
        <w:tc>
          <w:tcPr>
            <w:tcW w:type="dxa" w:w="4320"/>
            <w:shd w:val="clear" w:color="auto" w:fill="F0F4FF"/>
            <w:vAlign w:val="center"/>
          </w:tcPr>
          <w:p>
            <w:r>
              <w:rPr>
                <w:sz w:val="18"/>
              </w:rPr>
              <w:t>Local LLM fallback when OpenRouter unavailable</w:t>
            </w:r>
          </w:p>
        </w:tc>
        <w:tc>
          <w:tcPr>
            <w:tcW w:type="dxa" w:w="2160"/>
            <w:shd w:val="clear" w:color="auto" w:fill="F0F4FF"/>
            <w:vAlign w:val="center"/>
          </w:tcPr>
          <w:p>
            <w:r>
              <w:rPr>
                <w:sz w:val="18"/>
              </w:rPr>
              <w:t>REST</w:t>
            </w:r>
          </w:p>
        </w:tc>
      </w:tr>
      <w:tr>
        <w:tc>
          <w:tcPr>
            <w:tcW w:type="dxa" w:w="2880"/>
            <w:shd w:val="clear" w:color="auto" w:fill="FFFFFF"/>
            <w:vAlign w:val="center"/>
          </w:tcPr>
          <w:p>
            <w:r>
              <w:rPr>
                <w:sz w:val="18"/>
              </w:rPr>
              <w:t>GraphDB 10.x</w:t>
            </w:r>
          </w:p>
        </w:tc>
        <w:tc>
          <w:tcPr>
            <w:tcW w:type="dxa" w:w="4320"/>
            <w:shd w:val="clear" w:color="auto" w:fill="FFFFFF"/>
            <w:vAlign w:val="center"/>
          </w:tcPr>
          <w:p>
            <w:r>
              <w:rPr>
                <w:sz w:val="18"/>
              </w:rPr>
              <w:t>Local Coolattin RDF graph with 143,123 triples</w:t>
            </w:r>
          </w:p>
        </w:tc>
        <w:tc>
          <w:tcPr>
            <w:tcW w:type="dxa" w:w="2160"/>
            <w:shd w:val="clear" w:color="auto" w:fill="FFFFFF"/>
            <w:vAlign w:val="center"/>
          </w:tcPr>
          <w:p>
            <w:r>
              <w:rPr>
                <w:sz w:val="18"/>
              </w:rPr>
              <w:t>SPARQL + REST /size</w:t>
            </w:r>
          </w:p>
        </w:tc>
      </w:tr>
    </w:tbl>
    <w:p/>
    <w:p>
      <w:r>
        <w:br w:type="page"/>
      </w:r>
    </w:p>
    <w:p>
      <w:pPr>
        <w:pStyle w:val="Heading1"/>
        <w:spacing w:before="280" w:after="80"/>
      </w:pPr>
      <w:r>
        <w:rPr>
          <w:b/>
          <w:color w:val="0F172A"/>
          <w:sz w:val="32"/>
        </w:rPr>
        <w:t>3. System Architecture</w:t>
      </w:r>
    </w:p>
    <w:p>
      <w:pPr>
        <w:pStyle w:val="Heading2"/>
        <w:spacing w:before="200" w:after="80"/>
      </w:pPr>
      <w:r>
        <w:rPr>
          <w:b/>
          <w:color w:val="1D4ED8"/>
          <w:sz w:val="26"/>
        </w:rPr>
        <w:t>3.1 Layered Architecture</w:t>
      </w:r>
    </w:p>
    <w:p>
      <w:pPr>
        <w:spacing w:before="40" w:after="80"/>
      </w:pPr>
      <w:r>
        <w:rPr>
          <w:sz w:val="21"/>
        </w:rPr>
        <w:t>The application follows a strict three-layer separation that ensures testability, maintainability, and academic transparency:</w:t>
      </w:r>
    </w:p>
    <w:p>
      <w:pPr>
        <w:pStyle w:val="ListBullet"/>
        <w:spacing w:before="20" w:after="40"/>
      </w:pPr>
      <w:r>
        <w:rPr>
          <w:b/>
          <w:sz w:val="21"/>
        </w:rPr>
        <w:t>Layer 1 — Routes:</w:t>
      </w:r>
      <w:r>
        <w:rPr>
          <w:sz w:val="21"/>
        </w:rPr>
        <w:t xml:space="preserve"> Route layer (backend/routes/*.py) — thin Flask blueprints. Each blueprint handles one URL prefix. Routes parse request parameters, call a service function, and return JSON or render a template. No business logic lives here.</w:t>
      </w:r>
    </w:p>
    <w:p>
      <w:pPr>
        <w:pStyle w:val="ListBullet"/>
        <w:spacing w:before="20" w:after="40"/>
      </w:pPr>
      <w:r>
        <w:rPr>
          <w:b/>
          <w:sz w:val="21"/>
        </w:rPr>
        <w:t>Layer 2 — Services:</w:t>
      </w:r>
      <w:r>
        <w:rPr>
          <w:sz w:val="21"/>
        </w:rPr>
        <w:t xml:space="preserve"> Service layer (backend/services/*.py) — all business logic. Services orchestrate repository calls, external API calls, caching decisions, and data transformation. The most complex service (ask_service.py) is 6,651 lines and implements the full LLM Q&amp;A pipeline.</w:t>
      </w:r>
    </w:p>
    <w:p>
      <w:pPr>
        <w:pStyle w:val="ListBullet"/>
        <w:spacing w:before="20" w:after="40"/>
      </w:pPr>
      <w:r>
        <w:rPr>
          <w:b/>
          <w:sz w:val="21"/>
        </w:rPr>
        <w:t>Layer 3 — Repositories:</w:t>
      </w:r>
      <w:r>
        <w:rPr>
          <w:sz w:val="21"/>
        </w:rPr>
        <w:t xml:space="preserve"> Repository layer (backend/repositories/*.py) — all SQL. Each repository module exposes typed functions that execute parameterised queries against SQLite. No raw SQL appears in services or routes, ensuring a clean data-access boundary.</w:t>
      </w:r>
    </w:p>
    <w:p>
      <w:pPr>
        <w:pStyle w:val="Heading2"/>
        <w:spacing w:before="200" w:after="80"/>
      </w:pPr>
      <w:r>
        <w:rPr>
          <w:b/>
          <w:color w:val="1D4ED8"/>
          <w:sz w:val="26"/>
        </w:rPr>
        <w:t>3.2 Blueprint Registration</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1E3A5F"/>
          </w:tcPr>
          <w:p>
            <w:pPr>
              <w:jc w:val="left"/>
            </w:pPr>
            <w:r>
              <w:rPr>
                <w:b/>
                <w:color w:val="FFFFFF"/>
                <w:sz w:val="19"/>
              </w:rPr>
              <w:t>URL Prefix</w:t>
            </w:r>
          </w:p>
        </w:tc>
        <w:tc>
          <w:tcPr>
            <w:tcW w:type="dxa" w:w="2304"/>
            <w:shd w:val="clear" w:color="auto" w:fill="1E3A5F"/>
          </w:tcPr>
          <w:p>
            <w:pPr>
              <w:jc w:val="left"/>
            </w:pPr>
            <w:r>
              <w:rPr>
                <w:b/>
                <w:color w:val="FFFFFF"/>
                <w:sz w:val="19"/>
              </w:rPr>
              <w:t>Blueprint</w:t>
            </w:r>
          </w:p>
        </w:tc>
        <w:tc>
          <w:tcPr>
            <w:tcW w:type="dxa" w:w="4752"/>
            <w:shd w:val="clear" w:color="auto" w:fill="1E3A5F"/>
          </w:tcPr>
          <w:p>
            <w:pPr>
              <w:jc w:val="left"/>
            </w:pPr>
            <w:r>
              <w:rPr>
                <w:b/>
                <w:color w:val="FFFFFF"/>
                <w:sz w:val="19"/>
              </w:rPr>
              <w:t>Purpose</w:t>
            </w:r>
          </w:p>
        </w:tc>
      </w:tr>
      <w:tr>
        <w:tc>
          <w:tcPr>
            <w:tcW w:type="dxa" w:w="2304"/>
            <w:shd w:val="clear" w:color="auto" w:fill="F0F4FF"/>
            <w:vAlign w:val="center"/>
          </w:tcPr>
          <w:p>
            <w:r>
              <w:rPr>
                <w:sz w:val="18"/>
              </w:rPr>
              <w:t>/</w:t>
            </w:r>
          </w:p>
        </w:tc>
        <w:tc>
          <w:tcPr>
            <w:tcW w:type="dxa" w:w="2304"/>
            <w:shd w:val="clear" w:color="auto" w:fill="F0F4FF"/>
            <w:vAlign w:val="center"/>
          </w:tcPr>
          <w:p>
            <w:r>
              <w:rPr>
                <w:sz w:val="18"/>
              </w:rPr>
              <w:t>main</w:t>
            </w:r>
          </w:p>
        </w:tc>
        <w:tc>
          <w:tcPr>
            <w:tcW w:type="dxa" w:w="4752"/>
            <w:shd w:val="clear" w:color="auto" w:fill="F0F4FF"/>
            <w:vAlign w:val="center"/>
          </w:tcPr>
          <w:p>
            <w:r>
              <w:rPr>
                <w:sz w:val="18"/>
              </w:rPr>
              <w:t>Page routes (8 HTML templates)</w:t>
            </w:r>
          </w:p>
        </w:tc>
      </w:tr>
      <w:tr>
        <w:tc>
          <w:tcPr>
            <w:tcW w:type="dxa" w:w="2304"/>
            <w:shd w:val="clear" w:color="auto" w:fill="FFFFFF"/>
            <w:vAlign w:val="center"/>
          </w:tcPr>
          <w:p>
            <w:r>
              <w:rPr>
                <w:sz w:val="18"/>
              </w:rPr>
              <w:t>/api/census</w:t>
            </w:r>
          </w:p>
        </w:tc>
        <w:tc>
          <w:tcPr>
            <w:tcW w:type="dxa" w:w="2304"/>
            <w:shd w:val="clear" w:color="auto" w:fill="FFFFFF"/>
            <w:vAlign w:val="center"/>
          </w:tcPr>
          <w:p>
            <w:r>
              <w:rPr>
                <w:sz w:val="18"/>
              </w:rPr>
              <w:t>census</w:t>
            </w:r>
          </w:p>
        </w:tc>
        <w:tc>
          <w:tcPr>
            <w:tcW w:type="dxa" w:w="4752"/>
            <w:shd w:val="clear" w:color="auto" w:fill="FFFFFF"/>
            <w:vAlign w:val="center"/>
          </w:tcPr>
          <w:p>
            <w:r>
              <w:rPr>
                <w:sz w:val="18"/>
              </w:rPr>
              <w:t>Census data retrieval + export</w:t>
            </w:r>
          </w:p>
        </w:tc>
      </w:tr>
      <w:tr>
        <w:tc>
          <w:tcPr>
            <w:tcW w:type="dxa" w:w="2304"/>
            <w:shd w:val="clear" w:color="auto" w:fill="F0F4FF"/>
            <w:vAlign w:val="center"/>
          </w:tcPr>
          <w:p>
            <w:r>
              <w:rPr>
                <w:sz w:val="18"/>
              </w:rPr>
              <w:t>/api/unified</w:t>
            </w:r>
          </w:p>
        </w:tc>
        <w:tc>
          <w:tcPr>
            <w:tcW w:type="dxa" w:w="2304"/>
            <w:shd w:val="clear" w:color="auto" w:fill="F0F4FF"/>
            <w:vAlign w:val="center"/>
          </w:tcPr>
          <w:p>
            <w:r>
              <w:rPr>
                <w:sz w:val="18"/>
              </w:rPr>
              <w:t>unified</w:t>
            </w:r>
          </w:p>
        </w:tc>
        <w:tc>
          <w:tcPr>
            <w:tcW w:type="dxa" w:w="4752"/>
            <w:shd w:val="clear" w:color="auto" w:fill="F0F4FF"/>
            <w:vAlign w:val="center"/>
          </w:tcPr>
          <w:p>
            <w:r>
              <w:rPr>
                <w:sz w:val="18"/>
              </w:rPr>
              <w:t>Unified estate records search</w:t>
            </w:r>
          </w:p>
        </w:tc>
      </w:tr>
      <w:tr>
        <w:tc>
          <w:tcPr>
            <w:tcW w:type="dxa" w:w="2304"/>
            <w:shd w:val="clear" w:color="auto" w:fill="FFFFFF"/>
            <w:vAlign w:val="center"/>
          </w:tcPr>
          <w:p>
            <w:r>
              <w:rPr>
                <w:sz w:val="18"/>
              </w:rPr>
              <w:t>/api/ask</w:t>
            </w:r>
          </w:p>
        </w:tc>
        <w:tc>
          <w:tcPr>
            <w:tcW w:type="dxa" w:w="2304"/>
            <w:shd w:val="clear" w:color="auto" w:fill="FFFFFF"/>
            <w:vAlign w:val="center"/>
          </w:tcPr>
          <w:p>
            <w:r>
              <w:rPr>
                <w:sz w:val="18"/>
              </w:rPr>
              <w:t>ask</w:t>
            </w:r>
          </w:p>
        </w:tc>
        <w:tc>
          <w:tcPr>
            <w:tcW w:type="dxa" w:w="4752"/>
            <w:shd w:val="clear" w:color="auto" w:fill="FFFFFF"/>
            <w:vAlign w:val="center"/>
          </w:tcPr>
          <w:p>
            <w:r>
              <w:rPr>
                <w:sz w:val="18"/>
              </w:rPr>
              <w:t>LLM Q&amp;A pipeline (SSE streaming)</w:t>
            </w:r>
          </w:p>
        </w:tc>
      </w:tr>
      <w:tr>
        <w:tc>
          <w:tcPr>
            <w:tcW w:type="dxa" w:w="2304"/>
            <w:shd w:val="clear" w:color="auto" w:fill="F0F4FF"/>
            <w:vAlign w:val="center"/>
          </w:tcPr>
          <w:p>
            <w:r>
              <w:rPr>
                <w:sz w:val="18"/>
              </w:rPr>
              <w:t>/api/kg</w:t>
            </w:r>
          </w:p>
        </w:tc>
        <w:tc>
          <w:tcPr>
            <w:tcW w:type="dxa" w:w="2304"/>
            <w:shd w:val="clear" w:color="auto" w:fill="F0F4FF"/>
            <w:vAlign w:val="center"/>
          </w:tcPr>
          <w:p>
            <w:r>
              <w:rPr>
                <w:sz w:val="18"/>
              </w:rPr>
              <w:t>kg_explore</w:t>
            </w:r>
          </w:p>
        </w:tc>
        <w:tc>
          <w:tcPr>
            <w:tcW w:type="dxa" w:w="4752"/>
            <w:shd w:val="clear" w:color="auto" w:fill="F0F4FF"/>
            <w:vAlign w:val="center"/>
          </w:tcPr>
          <w:p>
            <w:r>
              <w:rPr>
                <w:sz w:val="18"/>
              </w:rPr>
              <w:t>Knowledge graph + SPARQL comparison</w:t>
            </w:r>
          </w:p>
        </w:tc>
      </w:tr>
      <w:tr>
        <w:tc>
          <w:tcPr>
            <w:tcW w:type="dxa" w:w="2304"/>
            <w:shd w:val="clear" w:color="auto" w:fill="FFFFFF"/>
            <w:vAlign w:val="center"/>
          </w:tcPr>
          <w:p>
            <w:r>
              <w:rPr>
                <w:sz w:val="18"/>
              </w:rPr>
              <w:t>/api/map</w:t>
            </w:r>
          </w:p>
        </w:tc>
        <w:tc>
          <w:tcPr>
            <w:tcW w:type="dxa" w:w="2304"/>
            <w:shd w:val="clear" w:color="auto" w:fill="FFFFFF"/>
            <w:vAlign w:val="center"/>
          </w:tcPr>
          <w:p>
            <w:r>
              <w:rPr>
                <w:sz w:val="18"/>
              </w:rPr>
              <w:t>map_config</w:t>
            </w:r>
          </w:p>
        </w:tc>
        <w:tc>
          <w:tcPr>
            <w:tcW w:type="dxa" w:w="4752"/>
            <w:shd w:val="clear" w:color="auto" w:fill="FFFFFF"/>
            <w:vAlign w:val="center"/>
          </w:tcPr>
          <w:p>
            <w:r>
              <w:rPr>
                <w:sz w:val="18"/>
              </w:rPr>
              <w:t>Basemap layers + centroid coordinates</w:t>
            </w:r>
          </w:p>
        </w:tc>
      </w:tr>
      <w:tr>
        <w:tc>
          <w:tcPr>
            <w:tcW w:type="dxa" w:w="2304"/>
            <w:shd w:val="clear" w:color="auto" w:fill="F0F4FF"/>
            <w:vAlign w:val="center"/>
          </w:tcPr>
          <w:p>
            <w:r>
              <w:rPr>
                <w:sz w:val="18"/>
              </w:rPr>
              <w:t>/api/townlands</w:t>
            </w:r>
          </w:p>
        </w:tc>
        <w:tc>
          <w:tcPr>
            <w:tcW w:type="dxa" w:w="2304"/>
            <w:shd w:val="clear" w:color="auto" w:fill="F0F4FF"/>
            <w:vAlign w:val="center"/>
          </w:tcPr>
          <w:p>
            <w:r>
              <w:rPr>
                <w:sz w:val="18"/>
              </w:rPr>
              <w:t>townlands</w:t>
            </w:r>
          </w:p>
        </w:tc>
        <w:tc>
          <w:tcPr>
            <w:tcW w:type="dxa" w:w="4752"/>
            <w:shd w:val="clear" w:color="auto" w:fill="F0F4FF"/>
            <w:vAlign w:val="center"/>
          </w:tcPr>
          <w:p>
            <w:r>
              <w:rPr>
                <w:sz w:val="18"/>
              </w:rPr>
              <w:t>Townland reference data + KG refresh</w:t>
            </w:r>
          </w:p>
        </w:tc>
      </w:tr>
      <w:tr>
        <w:tc>
          <w:tcPr>
            <w:tcW w:type="dxa" w:w="2304"/>
            <w:shd w:val="clear" w:color="auto" w:fill="FFFFFF"/>
            <w:vAlign w:val="center"/>
          </w:tcPr>
          <w:p>
            <w:r>
              <w:rPr>
                <w:sz w:val="18"/>
              </w:rPr>
              <w:t>/api/exports</w:t>
            </w:r>
          </w:p>
        </w:tc>
        <w:tc>
          <w:tcPr>
            <w:tcW w:type="dxa" w:w="2304"/>
            <w:shd w:val="clear" w:color="auto" w:fill="FFFFFF"/>
            <w:vAlign w:val="center"/>
          </w:tcPr>
          <w:p>
            <w:r>
              <w:rPr>
                <w:sz w:val="18"/>
              </w:rPr>
              <w:t>exports</w:t>
            </w:r>
          </w:p>
        </w:tc>
        <w:tc>
          <w:tcPr>
            <w:tcW w:type="dxa" w:w="4752"/>
            <w:shd w:val="clear" w:color="auto" w:fill="FFFFFF"/>
            <w:vAlign w:val="center"/>
          </w:tcPr>
          <w:p>
            <w:r>
              <w:rPr>
                <w:sz w:val="18"/>
              </w:rPr>
              <w:t>Excel file download</w:t>
            </w:r>
          </w:p>
        </w:tc>
      </w:tr>
    </w:tbl>
    <w:p/>
    <w:p>
      <w:pPr>
        <w:pStyle w:val="Heading2"/>
        <w:spacing w:before="200" w:after="80"/>
      </w:pPr>
      <w:r>
        <w:rPr>
          <w:b/>
          <w:color w:val="1D4ED8"/>
          <w:sz w:val="26"/>
        </w:rPr>
        <w:t>3.3 Key Architectural Decisions</w:t>
      </w:r>
    </w:p>
    <w:p>
      <w:pPr>
        <w:pStyle w:val="ListBullet"/>
        <w:spacing w:before="20" w:after="40"/>
      </w:pPr>
      <w:r>
        <w:rPr>
          <w:b/>
          <w:sz w:val="21"/>
        </w:rPr>
        <w:t>Factory pattern:</w:t>
      </w:r>
      <w:r>
        <w:rPr>
          <w:sz w:val="21"/>
        </w:rPr>
        <w:t xml:space="preserve"> Application factory pattern: create_app() is the sole place blueprints are registered, enabling clean testing and environment-specific config.</w:t>
      </w:r>
    </w:p>
    <w:p>
      <w:pPr>
        <w:pStyle w:val="ListBullet"/>
        <w:spacing w:before="20" w:after="40"/>
      </w:pPr>
      <w:r>
        <w:rPr>
          <w:b/>
          <w:sz w:val="21"/>
        </w:rPr>
        <w:t>DB singleton:</w:t>
      </w:r>
      <w:r>
        <w:rPr>
          <w:sz w:val="21"/>
        </w:rPr>
        <w:t xml:space="preserve"> DB singleton: extensions.py exports get_db_conn() used everywhere; all connections share identical PRAGMA settings (WAL, 64 MB cache, mmap).</w:t>
      </w:r>
    </w:p>
    <w:p>
      <w:pPr>
        <w:pStyle w:val="ListBullet"/>
        <w:spacing w:before="20" w:after="40"/>
      </w:pPr>
      <w:r>
        <w:rPr>
          <w:b/>
          <w:sz w:val="21"/>
        </w:rPr>
        <w:t>No ORM:</w:t>
      </w:r>
      <w:r>
        <w:rPr>
          <w:sz w:val="21"/>
        </w:rPr>
        <w:t xml:space="preserve"> No ORM: raw sqlite3 throughout for transparency, portability, and academic reproducibility.</w:t>
      </w:r>
    </w:p>
    <w:p>
      <w:pPr>
        <w:pStyle w:val="ListBullet"/>
        <w:spacing w:before="20" w:after="40"/>
      </w:pPr>
      <w:r>
        <w:rPr>
          <w:b/>
          <w:sz w:val="21"/>
        </w:rPr>
        <w:t>SSE streaming:</w:t>
      </w:r>
      <w:r>
        <w:rPr>
          <w:sz w:val="21"/>
        </w:rPr>
        <w:t xml:space="preserve"> SSE streaming: the Ask pipeline yields progress events so users see live updates instead of waiting for a full response.</w:t>
      </w:r>
    </w:p>
    <w:p>
      <w:pPr>
        <w:pStyle w:val="ListBullet"/>
        <w:spacing w:before="20" w:after="40"/>
      </w:pPr>
      <w:r>
        <w:rPr>
          <w:b/>
          <w:sz w:val="21"/>
        </w:rPr>
        <w:t>Caching strategy:</w:t>
      </w:r>
      <w:r>
        <w:rPr>
          <w:sz w:val="21"/>
        </w:rPr>
        <w:t xml:space="preserve"> DB-first / KG-second: all slow external data (census, townlands) is cached in SQLite with a configurable TTL; the KG is only queried on cache miss or staleness.</w:t>
      </w:r>
    </w:p>
    <w:p>
      <w:r>
        <w:br w:type="page"/>
      </w:r>
    </w:p>
    <w:p>
      <w:pPr>
        <w:pStyle w:val="Heading1"/>
        <w:spacing w:before="280" w:after="80"/>
      </w:pPr>
      <w:r>
        <w:rPr>
          <w:b/>
          <w:color w:val="0F172A"/>
          <w:sz w:val="32"/>
        </w:rPr>
        <w:t>4. Database Design</w:t>
      </w:r>
    </w:p>
    <w:p>
      <w:pPr>
        <w:spacing w:before="40" w:after="80"/>
      </w:pPr>
      <w:r>
        <w:rPr>
          <w:sz w:val="21"/>
        </w:rPr>
        <w:t>The SQLite database (coolattin.db) contains five tables, all created idempotently by extensions.py::ensure_schema(). The schema is intentionally minimal and normalised only where needed for query performance.</w:t>
      </w:r>
    </w:p>
    <w:p>
      <w:pPr>
        <w:pStyle w:val="Heading2"/>
        <w:spacing w:before="200" w:after="80"/>
      </w:pPr>
      <w:r>
        <w:rPr>
          <w:b/>
          <w:color w:val="1D4ED8"/>
          <w:sz w:val="26"/>
        </w:rPr>
        <w:t>4.1 Table: townland</w:t>
      </w:r>
    </w:p>
    <w:p>
      <w:pPr>
        <w:spacing w:before="40" w:after="80"/>
      </w:pPr>
      <w:r>
        <w:rPr>
          <w:sz w:val="21"/>
        </w:rPr>
        <w:t>The canonical townland reference table. Populated from the estate GeoJSON and enriched from the VRTI Knowledge Graph. Contains 4,225 townland entries for all of Wicklow, of which 152 have full estate boundary and area data.</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1E3A5F"/>
          </w:tcPr>
          <w:p>
            <w:pPr>
              <w:jc w:val="left"/>
            </w:pPr>
            <w:r>
              <w:rPr>
                <w:b/>
                <w:color w:val="FFFFFF"/>
                <w:sz w:val="19"/>
              </w:rPr>
              <w:t>Column</w:t>
            </w:r>
          </w:p>
        </w:tc>
        <w:tc>
          <w:tcPr>
            <w:tcW w:type="dxa" w:w="1728"/>
            <w:shd w:val="clear" w:color="auto" w:fill="1E3A5F"/>
          </w:tcPr>
          <w:p>
            <w:pPr>
              <w:jc w:val="left"/>
            </w:pPr>
            <w:r>
              <w:rPr>
                <w:b/>
                <w:color w:val="FFFFFF"/>
                <w:sz w:val="19"/>
              </w:rPr>
              <w:t>Type</w:t>
            </w:r>
          </w:p>
        </w:tc>
        <w:tc>
          <w:tcPr>
            <w:tcW w:type="dxa" w:w="5184"/>
            <w:shd w:val="clear" w:color="auto" w:fill="1E3A5F"/>
          </w:tcPr>
          <w:p>
            <w:pPr>
              <w:jc w:val="left"/>
            </w:pPr>
            <w:r>
              <w:rPr>
                <w:b/>
                <w:color w:val="FFFFFF"/>
                <w:sz w:val="19"/>
              </w:rPr>
              <w:t>Purpose</w:t>
            </w:r>
          </w:p>
        </w:tc>
      </w:tr>
      <w:tr>
        <w:tc>
          <w:tcPr>
            <w:tcW w:type="dxa" w:w="2304"/>
            <w:shd w:val="clear" w:color="auto" w:fill="F0F4FF"/>
            <w:vAlign w:val="center"/>
          </w:tcPr>
          <w:p>
            <w:r>
              <w:rPr>
                <w:sz w:val="18"/>
              </w:rPr>
              <w:t>id</w:t>
            </w:r>
          </w:p>
        </w:tc>
        <w:tc>
          <w:tcPr>
            <w:tcW w:type="dxa" w:w="1728"/>
            <w:shd w:val="clear" w:color="auto" w:fill="F0F4FF"/>
            <w:vAlign w:val="center"/>
          </w:tcPr>
          <w:p>
            <w:r>
              <w:rPr>
                <w:sz w:val="18"/>
              </w:rPr>
              <w:t>INTEGER PK</w:t>
            </w:r>
          </w:p>
        </w:tc>
        <w:tc>
          <w:tcPr>
            <w:tcW w:type="dxa" w:w="5184"/>
            <w:shd w:val="clear" w:color="auto" w:fill="F0F4FF"/>
            <w:vAlign w:val="center"/>
          </w:tcPr>
          <w:p>
            <w:r>
              <w:rPr>
                <w:sz w:val="18"/>
              </w:rPr>
              <w:t>Auto-increment primary key</w:t>
            </w:r>
          </w:p>
        </w:tc>
      </w:tr>
      <w:tr>
        <w:tc>
          <w:tcPr>
            <w:tcW w:type="dxa" w:w="2304"/>
            <w:shd w:val="clear" w:color="auto" w:fill="FFFFFF"/>
            <w:vAlign w:val="center"/>
          </w:tcPr>
          <w:p>
            <w:r>
              <w:rPr>
                <w:sz w:val="18"/>
              </w:rPr>
              <w:t>name</w:t>
            </w:r>
          </w:p>
        </w:tc>
        <w:tc>
          <w:tcPr>
            <w:tcW w:type="dxa" w:w="1728"/>
            <w:shd w:val="clear" w:color="auto" w:fill="FFFFFF"/>
            <w:vAlign w:val="center"/>
          </w:tcPr>
          <w:p>
            <w:r>
              <w:rPr>
                <w:sz w:val="18"/>
              </w:rPr>
              <w:t>TEXT UNIQUE</w:t>
            </w:r>
          </w:p>
        </w:tc>
        <w:tc>
          <w:tcPr>
            <w:tcW w:type="dxa" w:w="5184"/>
            <w:shd w:val="clear" w:color="auto" w:fill="FFFFFF"/>
            <w:vAlign w:val="center"/>
          </w:tcPr>
          <w:p>
            <w:r>
              <w:rPr>
                <w:sz w:val="18"/>
              </w:rPr>
              <w:t>Canonical townland name (uppercase normalised)</w:t>
            </w:r>
          </w:p>
        </w:tc>
      </w:tr>
      <w:tr>
        <w:tc>
          <w:tcPr>
            <w:tcW w:type="dxa" w:w="2304"/>
            <w:shd w:val="clear" w:color="auto" w:fill="F0F4FF"/>
            <w:vAlign w:val="center"/>
          </w:tcPr>
          <w:p>
            <w:r>
              <w:rPr>
                <w:sz w:val="18"/>
              </w:rPr>
              <w:t>name_gaelic</w:t>
            </w:r>
          </w:p>
        </w:tc>
        <w:tc>
          <w:tcPr>
            <w:tcW w:type="dxa" w:w="1728"/>
            <w:shd w:val="clear" w:color="auto" w:fill="F0F4FF"/>
            <w:vAlign w:val="center"/>
          </w:tcPr>
          <w:p>
            <w:r>
              <w:rPr>
                <w:sz w:val="18"/>
              </w:rPr>
              <w:t>TEXT</w:t>
            </w:r>
          </w:p>
        </w:tc>
        <w:tc>
          <w:tcPr>
            <w:tcW w:type="dxa" w:w="5184"/>
            <w:shd w:val="clear" w:color="auto" w:fill="F0F4FF"/>
            <w:vAlign w:val="center"/>
          </w:tcPr>
          <w:p>
            <w:r>
              <w:rPr>
                <w:sz w:val="18"/>
              </w:rPr>
              <w:t>Irish-language name</w:t>
            </w:r>
          </w:p>
        </w:tc>
      </w:tr>
      <w:tr>
        <w:tc>
          <w:tcPr>
            <w:tcW w:type="dxa" w:w="2304"/>
            <w:shd w:val="clear" w:color="auto" w:fill="FFFFFF"/>
            <w:vAlign w:val="center"/>
          </w:tcPr>
          <w:p>
            <w:r>
              <w:rPr>
                <w:sz w:val="18"/>
              </w:rPr>
              <w:t>barony</w:t>
            </w:r>
          </w:p>
        </w:tc>
        <w:tc>
          <w:tcPr>
            <w:tcW w:type="dxa" w:w="1728"/>
            <w:shd w:val="clear" w:color="auto" w:fill="FFFFFF"/>
            <w:vAlign w:val="center"/>
          </w:tcPr>
          <w:p>
            <w:r>
              <w:rPr>
                <w:sz w:val="18"/>
              </w:rPr>
              <w:t>TEXT</w:t>
            </w:r>
          </w:p>
        </w:tc>
        <w:tc>
          <w:tcPr>
            <w:tcW w:type="dxa" w:w="5184"/>
            <w:shd w:val="clear" w:color="auto" w:fill="FFFFFF"/>
            <w:vAlign w:val="center"/>
          </w:tcPr>
          <w:p>
            <w:r>
              <w:rPr>
                <w:sz w:val="18"/>
              </w:rPr>
              <w:t>Barony (administrative division above parish)</w:t>
            </w:r>
          </w:p>
        </w:tc>
      </w:tr>
      <w:tr>
        <w:tc>
          <w:tcPr>
            <w:tcW w:type="dxa" w:w="2304"/>
            <w:shd w:val="clear" w:color="auto" w:fill="F0F4FF"/>
            <w:vAlign w:val="center"/>
          </w:tcPr>
          <w:p>
            <w:r>
              <w:rPr>
                <w:sz w:val="18"/>
              </w:rPr>
              <w:t>civil_parish</w:t>
            </w:r>
          </w:p>
        </w:tc>
        <w:tc>
          <w:tcPr>
            <w:tcW w:type="dxa" w:w="1728"/>
            <w:shd w:val="clear" w:color="auto" w:fill="F0F4FF"/>
            <w:vAlign w:val="center"/>
          </w:tcPr>
          <w:p>
            <w:r>
              <w:rPr>
                <w:sz w:val="18"/>
              </w:rPr>
              <w:t>TEXT</w:t>
            </w:r>
          </w:p>
        </w:tc>
        <w:tc>
          <w:tcPr>
            <w:tcW w:type="dxa" w:w="5184"/>
            <w:shd w:val="clear" w:color="auto" w:fill="F0F4FF"/>
            <w:vAlign w:val="center"/>
          </w:tcPr>
          <w:p>
            <w:r>
              <w:rPr>
                <w:sz w:val="18"/>
              </w:rPr>
              <w:t>Civil parish (indexed)</w:t>
            </w:r>
          </w:p>
        </w:tc>
      </w:tr>
      <w:tr>
        <w:tc>
          <w:tcPr>
            <w:tcW w:type="dxa" w:w="2304"/>
            <w:shd w:val="clear" w:color="auto" w:fill="FFFFFF"/>
            <w:vAlign w:val="center"/>
          </w:tcPr>
          <w:p>
            <w:r>
              <w:rPr>
                <w:sz w:val="18"/>
              </w:rPr>
              <w:t>td_id</w:t>
            </w:r>
          </w:p>
        </w:tc>
        <w:tc>
          <w:tcPr>
            <w:tcW w:type="dxa" w:w="1728"/>
            <w:shd w:val="clear" w:color="auto" w:fill="FFFFFF"/>
            <w:vAlign w:val="center"/>
          </w:tcPr>
          <w:p>
            <w:r>
              <w:rPr>
                <w:sz w:val="18"/>
              </w:rPr>
              <w:t>TEXT</w:t>
            </w:r>
          </w:p>
        </w:tc>
        <w:tc>
          <w:tcPr>
            <w:tcW w:type="dxa" w:w="5184"/>
            <w:shd w:val="clear" w:color="auto" w:fill="FFFFFF"/>
            <w:vAlign w:val="center"/>
          </w:tcPr>
          <w:p>
            <w:r>
              <w:rPr>
                <w:sz w:val="18"/>
              </w:rPr>
              <w:t>Estate internal identifier (TD_ID from GeoJSON)</w:t>
            </w:r>
          </w:p>
        </w:tc>
      </w:tr>
      <w:tr>
        <w:tc>
          <w:tcPr>
            <w:tcW w:type="dxa" w:w="2304"/>
            <w:shd w:val="clear" w:color="auto" w:fill="F0F4FF"/>
            <w:vAlign w:val="center"/>
          </w:tcPr>
          <w:p>
            <w:r>
              <w:rPr>
                <w:sz w:val="18"/>
              </w:rPr>
              <w:t>area_sqm</w:t>
            </w:r>
          </w:p>
        </w:tc>
        <w:tc>
          <w:tcPr>
            <w:tcW w:type="dxa" w:w="1728"/>
            <w:shd w:val="clear" w:color="auto" w:fill="F0F4FF"/>
            <w:vAlign w:val="center"/>
          </w:tcPr>
          <w:p>
            <w:r>
              <w:rPr>
                <w:sz w:val="18"/>
              </w:rPr>
              <w:t>REAL</w:t>
            </w:r>
          </w:p>
        </w:tc>
        <w:tc>
          <w:tcPr>
            <w:tcW w:type="dxa" w:w="5184"/>
            <w:shd w:val="clear" w:color="auto" w:fill="F0F4FF"/>
            <w:vAlign w:val="center"/>
          </w:tcPr>
          <w:p>
            <w:r>
              <w:rPr>
                <w:sz w:val="18"/>
              </w:rPr>
              <w:t>Area in square metres</w:t>
            </w:r>
          </w:p>
        </w:tc>
      </w:tr>
      <w:tr>
        <w:tc>
          <w:tcPr>
            <w:tcW w:type="dxa" w:w="2304"/>
            <w:shd w:val="clear" w:color="auto" w:fill="FFFFFF"/>
            <w:vAlign w:val="center"/>
          </w:tcPr>
          <w:p>
            <w:r>
              <w:rPr>
                <w:sz w:val="18"/>
              </w:rPr>
              <w:t>kg_uri</w:t>
            </w:r>
          </w:p>
        </w:tc>
        <w:tc>
          <w:tcPr>
            <w:tcW w:type="dxa" w:w="1728"/>
            <w:shd w:val="clear" w:color="auto" w:fill="FFFFFF"/>
            <w:vAlign w:val="center"/>
          </w:tcPr>
          <w:p>
            <w:r>
              <w:rPr>
                <w:sz w:val="18"/>
              </w:rPr>
              <w:t>TEXT</w:t>
            </w:r>
          </w:p>
        </w:tc>
        <w:tc>
          <w:tcPr>
            <w:tcW w:type="dxa" w:w="5184"/>
            <w:shd w:val="clear" w:color="auto" w:fill="FFFFFF"/>
            <w:vAlign w:val="center"/>
          </w:tcPr>
          <w:p>
            <w:r>
              <w:rPr>
                <w:sz w:val="18"/>
              </w:rPr>
              <w:t>VRTI Knowledge Graph URI (indexed)</w:t>
            </w:r>
          </w:p>
        </w:tc>
      </w:tr>
      <w:tr>
        <w:tc>
          <w:tcPr>
            <w:tcW w:type="dxa" w:w="2304"/>
            <w:shd w:val="clear" w:color="auto" w:fill="F0F4FF"/>
            <w:vAlign w:val="center"/>
          </w:tcPr>
          <w:p>
            <w:r>
              <w:rPr>
                <w:sz w:val="18"/>
              </w:rPr>
              <w:t>wkt_geometry</w:t>
            </w:r>
          </w:p>
        </w:tc>
        <w:tc>
          <w:tcPr>
            <w:tcW w:type="dxa" w:w="1728"/>
            <w:shd w:val="clear" w:color="auto" w:fill="F0F4FF"/>
            <w:vAlign w:val="center"/>
          </w:tcPr>
          <w:p>
            <w:r>
              <w:rPr>
                <w:sz w:val="18"/>
              </w:rPr>
              <w:t>TEXT</w:t>
            </w:r>
          </w:p>
        </w:tc>
        <w:tc>
          <w:tcPr>
            <w:tcW w:type="dxa" w:w="5184"/>
            <w:shd w:val="clear" w:color="auto" w:fill="F0F4FF"/>
            <w:vAlign w:val="center"/>
          </w:tcPr>
          <w:p>
            <w:r>
              <w:rPr>
                <w:sz w:val="18"/>
              </w:rPr>
              <w:t>WKT polygon boundary</w:t>
            </w:r>
          </w:p>
        </w:tc>
      </w:tr>
      <w:tr>
        <w:tc>
          <w:tcPr>
            <w:tcW w:type="dxa" w:w="2304"/>
            <w:shd w:val="clear" w:color="auto" w:fill="FFFFFF"/>
            <w:vAlign w:val="center"/>
          </w:tcPr>
          <w:p>
            <w:r>
              <w:rPr>
                <w:sz w:val="18"/>
              </w:rPr>
              <w:t>centroid_lat/lon</w:t>
            </w:r>
          </w:p>
        </w:tc>
        <w:tc>
          <w:tcPr>
            <w:tcW w:type="dxa" w:w="1728"/>
            <w:shd w:val="clear" w:color="auto" w:fill="FFFFFF"/>
            <w:vAlign w:val="center"/>
          </w:tcPr>
          <w:p>
            <w:r>
              <w:rPr>
                <w:sz w:val="18"/>
              </w:rPr>
              <w:t>REAL</w:t>
            </w:r>
          </w:p>
        </w:tc>
        <w:tc>
          <w:tcPr>
            <w:tcW w:type="dxa" w:w="5184"/>
            <w:shd w:val="clear" w:color="auto" w:fill="FFFFFF"/>
            <w:vAlign w:val="center"/>
          </w:tcPr>
          <w:p>
            <w:r>
              <w:rPr>
                <w:sz w:val="18"/>
              </w:rPr>
              <w:t>Centroid coordinates for map markers</w:t>
            </w:r>
          </w:p>
        </w:tc>
      </w:tr>
      <w:tr>
        <w:tc>
          <w:tcPr>
            <w:tcW w:type="dxa" w:w="2304"/>
            <w:shd w:val="clear" w:color="auto" w:fill="F0F4FF"/>
            <w:vAlign w:val="center"/>
          </w:tcPr>
          <w:p>
            <w:r>
              <w:rPr>
                <w:sz w:val="18"/>
              </w:rPr>
              <w:t>county</w:t>
            </w:r>
          </w:p>
        </w:tc>
        <w:tc>
          <w:tcPr>
            <w:tcW w:type="dxa" w:w="1728"/>
            <w:shd w:val="clear" w:color="auto" w:fill="F0F4FF"/>
            <w:vAlign w:val="center"/>
          </w:tcPr>
          <w:p>
            <w:r>
              <w:rPr>
                <w:sz w:val="18"/>
              </w:rPr>
              <w:t>TEXT</w:t>
            </w:r>
          </w:p>
        </w:tc>
        <w:tc>
          <w:tcPr>
            <w:tcW w:type="dxa" w:w="5184"/>
            <w:shd w:val="clear" w:color="auto" w:fill="F0F4FF"/>
            <w:vAlign w:val="center"/>
          </w:tcPr>
          <w:p>
            <w:r>
              <w:rPr>
                <w:sz w:val="18"/>
              </w:rPr>
              <w:t>County (indexed)</w:t>
            </w:r>
          </w:p>
        </w:tc>
      </w:tr>
      <w:tr>
        <w:tc>
          <w:tcPr>
            <w:tcW w:type="dxa" w:w="2304"/>
            <w:shd w:val="clear" w:color="auto" w:fill="FFFFFF"/>
            <w:vAlign w:val="center"/>
          </w:tcPr>
          <w:p>
            <w:r>
              <w:rPr>
                <w:sz w:val="18"/>
              </w:rPr>
              <w:t>osm_id</w:t>
            </w:r>
          </w:p>
        </w:tc>
        <w:tc>
          <w:tcPr>
            <w:tcW w:type="dxa" w:w="1728"/>
            <w:shd w:val="clear" w:color="auto" w:fill="FFFFFF"/>
            <w:vAlign w:val="center"/>
          </w:tcPr>
          <w:p>
            <w:r>
              <w:rPr>
                <w:sz w:val="18"/>
              </w:rPr>
              <w:t>TEXT</w:t>
            </w:r>
          </w:p>
        </w:tc>
        <w:tc>
          <w:tcPr>
            <w:tcW w:type="dxa" w:w="5184"/>
            <w:shd w:val="clear" w:color="auto" w:fill="FFFFFF"/>
            <w:vAlign w:val="center"/>
          </w:tcPr>
          <w:p>
            <w:r>
              <w:rPr>
                <w:sz w:val="18"/>
              </w:rPr>
              <w:t>OpenStreetMap identifier</w:t>
            </w:r>
          </w:p>
        </w:tc>
      </w:tr>
      <w:tr>
        <w:tc>
          <w:tcPr>
            <w:tcW w:type="dxa" w:w="2304"/>
            <w:shd w:val="clear" w:color="auto" w:fill="F0F4FF"/>
            <w:vAlign w:val="center"/>
          </w:tcPr>
          <w:p>
            <w:r>
              <w:rPr>
                <w:sz w:val="18"/>
              </w:rPr>
              <w:t>vrti_id</w:t>
            </w:r>
          </w:p>
        </w:tc>
        <w:tc>
          <w:tcPr>
            <w:tcW w:type="dxa" w:w="1728"/>
            <w:shd w:val="clear" w:color="auto" w:fill="F0F4FF"/>
            <w:vAlign w:val="center"/>
          </w:tcPr>
          <w:p>
            <w:r>
              <w:rPr>
                <w:sz w:val="18"/>
              </w:rPr>
              <w:t>TEXT</w:t>
            </w:r>
          </w:p>
        </w:tc>
        <w:tc>
          <w:tcPr>
            <w:tcW w:type="dxa" w:w="5184"/>
            <w:shd w:val="clear" w:color="auto" w:fill="F0F4FF"/>
            <w:vAlign w:val="center"/>
          </w:tcPr>
          <w:p>
            <w:r>
              <w:rPr>
                <w:sz w:val="18"/>
              </w:rPr>
              <w:t>VRTI internal identifier</w:t>
            </w:r>
          </w:p>
        </w:tc>
      </w:tr>
      <w:tr>
        <w:tc>
          <w:tcPr>
            <w:tcW w:type="dxa" w:w="2304"/>
            <w:shd w:val="clear" w:color="auto" w:fill="FFFFFF"/>
            <w:vAlign w:val="center"/>
          </w:tcPr>
          <w:p>
            <w:r>
              <w:rPr>
                <w:sz w:val="18"/>
              </w:rPr>
              <w:t>images_json</w:t>
            </w:r>
          </w:p>
        </w:tc>
        <w:tc>
          <w:tcPr>
            <w:tcW w:type="dxa" w:w="1728"/>
            <w:shd w:val="clear" w:color="auto" w:fill="FFFFFF"/>
            <w:vAlign w:val="center"/>
          </w:tcPr>
          <w:p>
            <w:r>
              <w:rPr>
                <w:sz w:val="18"/>
              </w:rPr>
              <w:t>TEXT</w:t>
            </w:r>
          </w:p>
        </w:tc>
        <w:tc>
          <w:tcPr>
            <w:tcW w:type="dxa" w:w="5184"/>
            <w:shd w:val="clear" w:color="auto" w:fill="FFFFFF"/>
            <w:vAlign w:val="center"/>
          </w:tcPr>
          <w:p>
            <w:r>
              <w:rPr>
                <w:sz w:val="18"/>
              </w:rPr>
              <w:t>JSON array of image URLs</w:t>
            </w:r>
          </w:p>
        </w:tc>
      </w:tr>
    </w:tbl>
    <w:p/>
    <w:p>
      <w:pPr>
        <w:pStyle w:val="Heading2"/>
        <w:spacing w:before="200" w:after="80"/>
      </w:pPr>
      <w:r>
        <w:rPr>
          <w:b/>
          <w:color w:val="1D4ED8"/>
          <w:sz w:val="26"/>
        </w:rPr>
        <w:t>4.2 Table: census_record</w:t>
      </w:r>
    </w:p>
    <w:p>
      <w:pPr>
        <w:spacing w:before="40" w:after="80"/>
      </w:pPr>
      <w:r>
        <w:rPr>
          <w:sz w:val="21"/>
        </w:rPr>
        <w:t>Population data per townland per year. 8,033 records across 12 survey years. Unique constraint on (townland_id, year) ensures idempotent upserts.</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1E3A5F"/>
          </w:tcPr>
          <w:p>
            <w:pPr>
              <w:jc w:val="left"/>
            </w:pPr>
            <w:r>
              <w:rPr>
                <w:b/>
                <w:color w:val="FFFFFF"/>
                <w:sz w:val="19"/>
              </w:rPr>
              <w:t>Column</w:t>
            </w:r>
          </w:p>
        </w:tc>
        <w:tc>
          <w:tcPr>
            <w:tcW w:type="dxa" w:w="1728"/>
            <w:shd w:val="clear" w:color="auto" w:fill="1E3A5F"/>
          </w:tcPr>
          <w:p>
            <w:pPr>
              <w:jc w:val="left"/>
            </w:pPr>
            <w:r>
              <w:rPr>
                <w:b/>
                <w:color w:val="FFFFFF"/>
                <w:sz w:val="19"/>
              </w:rPr>
              <w:t>Type</w:t>
            </w:r>
          </w:p>
        </w:tc>
        <w:tc>
          <w:tcPr>
            <w:tcW w:type="dxa" w:w="5184"/>
            <w:shd w:val="clear" w:color="auto" w:fill="1E3A5F"/>
          </w:tcPr>
          <w:p>
            <w:pPr>
              <w:jc w:val="left"/>
            </w:pPr>
            <w:r>
              <w:rPr>
                <w:b/>
                <w:color w:val="FFFFFF"/>
                <w:sz w:val="19"/>
              </w:rPr>
              <w:t>Purpose</w:t>
            </w:r>
          </w:p>
        </w:tc>
      </w:tr>
      <w:tr>
        <w:tc>
          <w:tcPr>
            <w:tcW w:type="dxa" w:w="2304"/>
            <w:shd w:val="clear" w:color="auto" w:fill="F0F4FF"/>
            <w:vAlign w:val="center"/>
          </w:tcPr>
          <w:p>
            <w:r>
              <w:rPr>
                <w:sz w:val="18"/>
              </w:rPr>
              <w:t>id</w:t>
            </w:r>
          </w:p>
        </w:tc>
        <w:tc>
          <w:tcPr>
            <w:tcW w:type="dxa" w:w="1728"/>
            <w:shd w:val="clear" w:color="auto" w:fill="F0F4FF"/>
            <w:vAlign w:val="center"/>
          </w:tcPr>
          <w:p>
            <w:r>
              <w:rPr>
                <w:sz w:val="18"/>
              </w:rPr>
              <w:t>INTEGER PK</w:t>
            </w:r>
          </w:p>
        </w:tc>
        <w:tc>
          <w:tcPr>
            <w:tcW w:type="dxa" w:w="5184"/>
            <w:shd w:val="clear" w:color="auto" w:fill="F0F4FF"/>
            <w:vAlign w:val="center"/>
          </w:tcPr>
          <w:p>
            <w:r>
              <w:rPr>
                <w:sz w:val="18"/>
              </w:rPr>
              <w:t>Auto-increment primary key</w:t>
            </w:r>
          </w:p>
        </w:tc>
      </w:tr>
      <w:tr>
        <w:tc>
          <w:tcPr>
            <w:tcW w:type="dxa" w:w="2304"/>
            <w:shd w:val="clear" w:color="auto" w:fill="FFFFFF"/>
            <w:vAlign w:val="center"/>
          </w:tcPr>
          <w:p>
            <w:r>
              <w:rPr>
                <w:sz w:val="18"/>
              </w:rPr>
              <w:t>townland_id</w:t>
            </w:r>
          </w:p>
        </w:tc>
        <w:tc>
          <w:tcPr>
            <w:tcW w:type="dxa" w:w="1728"/>
            <w:shd w:val="clear" w:color="auto" w:fill="FFFFFF"/>
            <w:vAlign w:val="center"/>
          </w:tcPr>
          <w:p>
            <w:r>
              <w:rPr>
                <w:sz w:val="18"/>
              </w:rPr>
              <w:t>INTEGER FK</w:t>
            </w:r>
          </w:p>
        </w:tc>
        <w:tc>
          <w:tcPr>
            <w:tcW w:type="dxa" w:w="5184"/>
            <w:shd w:val="clear" w:color="auto" w:fill="FFFFFF"/>
            <w:vAlign w:val="center"/>
          </w:tcPr>
          <w:p>
            <w:r>
              <w:rPr>
                <w:sz w:val="18"/>
              </w:rPr>
              <w:t>References townland(id)</w:t>
            </w:r>
          </w:p>
        </w:tc>
      </w:tr>
      <w:tr>
        <w:tc>
          <w:tcPr>
            <w:tcW w:type="dxa" w:w="2304"/>
            <w:shd w:val="clear" w:color="auto" w:fill="F0F4FF"/>
            <w:vAlign w:val="center"/>
          </w:tcPr>
          <w:p>
            <w:r>
              <w:rPr>
                <w:sz w:val="18"/>
              </w:rPr>
              <w:t>year</w:t>
            </w:r>
          </w:p>
        </w:tc>
        <w:tc>
          <w:tcPr>
            <w:tcW w:type="dxa" w:w="1728"/>
            <w:shd w:val="clear" w:color="auto" w:fill="F0F4FF"/>
            <w:vAlign w:val="center"/>
          </w:tcPr>
          <w:p>
            <w:r>
              <w:rPr>
                <w:sz w:val="18"/>
              </w:rPr>
              <w:t>INTEGER</w:t>
            </w:r>
          </w:p>
        </w:tc>
        <w:tc>
          <w:tcPr>
            <w:tcW w:type="dxa" w:w="5184"/>
            <w:shd w:val="clear" w:color="auto" w:fill="F0F4FF"/>
            <w:vAlign w:val="center"/>
          </w:tcPr>
          <w:p>
            <w:r>
              <w:rPr>
                <w:sz w:val="18"/>
              </w:rPr>
              <w:t>Survey year (1827–1891)</w:t>
            </w:r>
          </w:p>
        </w:tc>
      </w:tr>
      <w:tr>
        <w:tc>
          <w:tcPr>
            <w:tcW w:type="dxa" w:w="2304"/>
            <w:shd w:val="clear" w:color="auto" w:fill="FFFFFF"/>
            <w:vAlign w:val="center"/>
          </w:tcPr>
          <w:p>
            <w:r>
              <w:rPr>
                <w:sz w:val="18"/>
              </w:rPr>
              <w:t>male</w:t>
            </w:r>
          </w:p>
        </w:tc>
        <w:tc>
          <w:tcPr>
            <w:tcW w:type="dxa" w:w="1728"/>
            <w:shd w:val="clear" w:color="auto" w:fill="FFFFFF"/>
            <w:vAlign w:val="center"/>
          </w:tcPr>
          <w:p>
            <w:r>
              <w:rPr>
                <w:sz w:val="18"/>
              </w:rPr>
              <w:t>INTEGER</w:t>
            </w:r>
          </w:p>
        </w:tc>
        <w:tc>
          <w:tcPr>
            <w:tcW w:type="dxa" w:w="5184"/>
            <w:shd w:val="clear" w:color="auto" w:fill="FFFFFF"/>
            <w:vAlign w:val="center"/>
          </w:tcPr>
          <w:p>
            <w:r>
              <w:rPr>
                <w:sz w:val="18"/>
              </w:rPr>
              <w:t>Male population count</w:t>
            </w:r>
          </w:p>
        </w:tc>
      </w:tr>
      <w:tr>
        <w:tc>
          <w:tcPr>
            <w:tcW w:type="dxa" w:w="2304"/>
            <w:shd w:val="clear" w:color="auto" w:fill="F0F4FF"/>
            <w:vAlign w:val="center"/>
          </w:tcPr>
          <w:p>
            <w:r>
              <w:rPr>
                <w:sz w:val="18"/>
              </w:rPr>
              <w:t>female</w:t>
            </w:r>
          </w:p>
        </w:tc>
        <w:tc>
          <w:tcPr>
            <w:tcW w:type="dxa" w:w="1728"/>
            <w:shd w:val="clear" w:color="auto" w:fill="F0F4FF"/>
            <w:vAlign w:val="center"/>
          </w:tcPr>
          <w:p>
            <w:r>
              <w:rPr>
                <w:sz w:val="18"/>
              </w:rPr>
              <w:t>INTEGER</w:t>
            </w:r>
          </w:p>
        </w:tc>
        <w:tc>
          <w:tcPr>
            <w:tcW w:type="dxa" w:w="5184"/>
            <w:shd w:val="clear" w:color="auto" w:fill="F0F4FF"/>
            <w:vAlign w:val="center"/>
          </w:tcPr>
          <w:p>
            <w:r>
              <w:rPr>
                <w:sz w:val="18"/>
              </w:rPr>
              <w:t>Female population count</w:t>
            </w:r>
          </w:p>
        </w:tc>
      </w:tr>
      <w:tr>
        <w:tc>
          <w:tcPr>
            <w:tcW w:type="dxa" w:w="2304"/>
            <w:shd w:val="clear" w:color="auto" w:fill="FFFFFF"/>
            <w:vAlign w:val="center"/>
          </w:tcPr>
          <w:p>
            <w:r>
              <w:rPr>
                <w:sz w:val="18"/>
              </w:rPr>
              <w:t>total</w:t>
            </w:r>
          </w:p>
        </w:tc>
        <w:tc>
          <w:tcPr>
            <w:tcW w:type="dxa" w:w="1728"/>
            <w:shd w:val="clear" w:color="auto" w:fill="FFFFFF"/>
            <w:vAlign w:val="center"/>
          </w:tcPr>
          <w:p>
            <w:r>
              <w:rPr>
                <w:sz w:val="18"/>
              </w:rPr>
              <w:t>INTEGER</w:t>
            </w:r>
          </w:p>
        </w:tc>
        <w:tc>
          <w:tcPr>
            <w:tcW w:type="dxa" w:w="5184"/>
            <w:shd w:val="clear" w:color="auto" w:fill="FFFFFF"/>
            <w:vAlign w:val="center"/>
          </w:tcPr>
          <w:p>
            <w:r>
              <w:rPr>
                <w:sz w:val="18"/>
              </w:rPr>
              <w:t>Total population</w:t>
            </w:r>
          </w:p>
        </w:tc>
      </w:tr>
      <w:tr>
        <w:tc>
          <w:tcPr>
            <w:tcW w:type="dxa" w:w="2304"/>
            <w:shd w:val="clear" w:color="auto" w:fill="F0F4FF"/>
            <w:vAlign w:val="center"/>
          </w:tcPr>
          <w:p>
            <w:r>
              <w:rPr>
                <w:sz w:val="18"/>
              </w:rPr>
              <w:t>inhabited</w:t>
            </w:r>
          </w:p>
        </w:tc>
        <w:tc>
          <w:tcPr>
            <w:tcW w:type="dxa" w:w="1728"/>
            <w:shd w:val="clear" w:color="auto" w:fill="F0F4FF"/>
            <w:vAlign w:val="center"/>
          </w:tcPr>
          <w:p>
            <w:r>
              <w:rPr>
                <w:sz w:val="18"/>
              </w:rPr>
              <w:t>INTEGER</w:t>
            </w:r>
          </w:p>
        </w:tc>
        <w:tc>
          <w:tcPr>
            <w:tcW w:type="dxa" w:w="5184"/>
            <w:shd w:val="clear" w:color="auto" w:fill="F0F4FF"/>
            <w:vAlign w:val="center"/>
          </w:tcPr>
          <w:p>
            <w:r>
              <w:rPr>
                <w:sz w:val="18"/>
              </w:rPr>
              <w:t>Inhabited house count</w:t>
            </w:r>
          </w:p>
        </w:tc>
      </w:tr>
      <w:tr>
        <w:tc>
          <w:tcPr>
            <w:tcW w:type="dxa" w:w="2304"/>
            <w:shd w:val="clear" w:color="auto" w:fill="FFFFFF"/>
            <w:vAlign w:val="center"/>
          </w:tcPr>
          <w:p>
            <w:r>
              <w:rPr>
                <w:sz w:val="18"/>
              </w:rPr>
              <w:t>uninhabited</w:t>
            </w:r>
          </w:p>
        </w:tc>
        <w:tc>
          <w:tcPr>
            <w:tcW w:type="dxa" w:w="1728"/>
            <w:shd w:val="clear" w:color="auto" w:fill="FFFFFF"/>
            <w:vAlign w:val="center"/>
          </w:tcPr>
          <w:p>
            <w:r>
              <w:rPr>
                <w:sz w:val="18"/>
              </w:rPr>
              <w:t>INTEGER</w:t>
            </w:r>
          </w:p>
        </w:tc>
        <w:tc>
          <w:tcPr>
            <w:tcW w:type="dxa" w:w="5184"/>
            <w:shd w:val="clear" w:color="auto" w:fill="FFFFFF"/>
            <w:vAlign w:val="center"/>
          </w:tcPr>
          <w:p>
            <w:r>
              <w:rPr>
                <w:sz w:val="18"/>
              </w:rPr>
              <w:t>Uninhabited house count</w:t>
            </w:r>
          </w:p>
        </w:tc>
      </w:tr>
      <w:tr>
        <w:tc>
          <w:tcPr>
            <w:tcW w:type="dxa" w:w="2304"/>
            <w:shd w:val="clear" w:color="auto" w:fill="F0F4FF"/>
            <w:vAlign w:val="center"/>
          </w:tcPr>
          <w:p>
            <w:r>
              <w:rPr>
                <w:sz w:val="18"/>
              </w:rPr>
              <w:t>source</w:t>
            </w:r>
          </w:p>
        </w:tc>
        <w:tc>
          <w:tcPr>
            <w:tcW w:type="dxa" w:w="1728"/>
            <w:shd w:val="clear" w:color="auto" w:fill="F0F4FF"/>
            <w:vAlign w:val="center"/>
          </w:tcPr>
          <w:p>
            <w:r>
              <w:rPr>
                <w:sz w:val="18"/>
              </w:rPr>
              <w:t>TEXT</w:t>
            </w:r>
          </w:p>
        </w:tc>
        <w:tc>
          <w:tcPr>
            <w:tcW w:type="dxa" w:w="5184"/>
            <w:shd w:val="clear" w:color="auto" w:fill="F0F4FF"/>
            <w:vAlign w:val="center"/>
          </w:tcPr>
          <w:p>
            <w:r>
              <w:rPr>
                <w:sz w:val="18"/>
              </w:rPr>
              <w:t>'kg' (VRTI) or 'geojson' (estate survey)</w:t>
            </w:r>
          </w:p>
        </w:tc>
      </w:tr>
      <w:tr>
        <w:tc>
          <w:tcPr>
            <w:tcW w:type="dxa" w:w="2304"/>
            <w:shd w:val="clear" w:color="auto" w:fill="FFFFFF"/>
            <w:vAlign w:val="center"/>
          </w:tcPr>
          <w:p>
            <w:r>
              <w:rPr>
                <w:sz w:val="18"/>
              </w:rPr>
              <w:t>kg_uri</w:t>
            </w:r>
          </w:p>
        </w:tc>
        <w:tc>
          <w:tcPr>
            <w:tcW w:type="dxa" w:w="1728"/>
            <w:shd w:val="clear" w:color="auto" w:fill="FFFFFF"/>
            <w:vAlign w:val="center"/>
          </w:tcPr>
          <w:p>
            <w:r>
              <w:rPr>
                <w:sz w:val="18"/>
              </w:rPr>
              <w:t>TEXT</w:t>
            </w:r>
          </w:p>
        </w:tc>
        <w:tc>
          <w:tcPr>
            <w:tcW w:type="dxa" w:w="5184"/>
            <w:shd w:val="clear" w:color="auto" w:fill="FFFFFF"/>
            <w:vAlign w:val="center"/>
          </w:tcPr>
          <w:p>
            <w:r>
              <w:rPr>
                <w:sz w:val="18"/>
              </w:rPr>
              <w:t>VRTI Census KG URI</w:t>
            </w:r>
          </w:p>
        </w:tc>
      </w:tr>
    </w:tbl>
    <w:p/>
    <w:p>
      <w:pPr>
        <w:pStyle w:val="Heading2"/>
        <w:spacing w:before="200" w:after="80"/>
      </w:pPr>
      <w:r>
        <w:rPr>
          <w:b/>
          <w:color w:val="1D4ED8"/>
          <w:sz w:val="26"/>
        </w:rPr>
        <w:t>4.3 Table: clearances_record</w:t>
      </w:r>
    </w:p>
    <w:p>
      <w:pPr>
        <w:spacing w:before="40" w:after="80"/>
      </w:pPr>
      <w:r>
        <w:rPr>
          <w:sz w:val="21"/>
        </w:rPr>
        <w:t>Estate eviction clearance data per townland per year. 1,211 records covering the Famine period 1847–1856 across 122 townlands.</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1E3A5F"/>
          </w:tcPr>
          <w:p>
            <w:pPr>
              <w:jc w:val="left"/>
            </w:pPr>
            <w:r>
              <w:rPr>
                <w:b/>
                <w:color w:val="FFFFFF"/>
                <w:sz w:val="19"/>
              </w:rPr>
              <w:t>Column</w:t>
            </w:r>
          </w:p>
        </w:tc>
        <w:tc>
          <w:tcPr>
            <w:tcW w:type="dxa" w:w="1728"/>
            <w:shd w:val="clear" w:color="auto" w:fill="1E3A5F"/>
          </w:tcPr>
          <w:p>
            <w:pPr>
              <w:jc w:val="left"/>
            </w:pPr>
            <w:r>
              <w:rPr>
                <w:b/>
                <w:color w:val="FFFFFF"/>
                <w:sz w:val="19"/>
              </w:rPr>
              <w:t>Type</w:t>
            </w:r>
          </w:p>
        </w:tc>
        <w:tc>
          <w:tcPr>
            <w:tcW w:type="dxa" w:w="5184"/>
            <w:shd w:val="clear" w:color="auto" w:fill="1E3A5F"/>
          </w:tcPr>
          <w:p>
            <w:pPr>
              <w:jc w:val="left"/>
            </w:pPr>
            <w:r>
              <w:rPr>
                <w:b/>
                <w:color w:val="FFFFFF"/>
                <w:sz w:val="19"/>
              </w:rPr>
              <w:t>Purpose</w:t>
            </w:r>
          </w:p>
        </w:tc>
      </w:tr>
      <w:tr>
        <w:tc>
          <w:tcPr>
            <w:tcW w:type="dxa" w:w="2304"/>
            <w:shd w:val="clear" w:color="auto" w:fill="F0F4FF"/>
            <w:vAlign w:val="center"/>
          </w:tcPr>
          <w:p>
            <w:r>
              <w:rPr>
                <w:sz w:val="18"/>
              </w:rPr>
              <w:t>id</w:t>
            </w:r>
          </w:p>
        </w:tc>
        <w:tc>
          <w:tcPr>
            <w:tcW w:type="dxa" w:w="1728"/>
            <w:shd w:val="clear" w:color="auto" w:fill="F0F4FF"/>
            <w:vAlign w:val="center"/>
          </w:tcPr>
          <w:p>
            <w:r>
              <w:rPr>
                <w:sz w:val="18"/>
              </w:rPr>
              <w:t>INTEGER PK</w:t>
            </w:r>
          </w:p>
        </w:tc>
        <w:tc>
          <w:tcPr>
            <w:tcW w:type="dxa" w:w="5184"/>
            <w:shd w:val="clear" w:color="auto" w:fill="F0F4FF"/>
            <w:vAlign w:val="center"/>
          </w:tcPr>
          <w:p>
            <w:r>
              <w:rPr>
                <w:sz w:val="18"/>
              </w:rPr>
              <w:t>Auto-increment primary key</w:t>
            </w:r>
          </w:p>
        </w:tc>
      </w:tr>
      <w:tr>
        <w:tc>
          <w:tcPr>
            <w:tcW w:type="dxa" w:w="2304"/>
            <w:shd w:val="clear" w:color="auto" w:fill="FFFFFF"/>
            <w:vAlign w:val="center"/>
          </w:tcPr>
          <w:p>
            <w:r>
              <w:rPr>
                <w:sz w:val="18"/>
              </w:rPr>
              <w:t>townland_id</w:t>
            </w:r>
          </w:p>
        </w:tc>
        <w:tc>
          <w:tcPr>
            <w:tcW w:type="dxa" w:w="1728"/>
            <w:shd w:val="clear" w:color="auto" w:fill="FFFFFF"/>
            <w:vAlign w:val="center"/>
          </w:tcPr>
          <w:p>
            <w:r>
              <w:rPr>
                <w:sz w:val="18"/>
              </w:rPr>
              <w:t>INTEGER FK</w:t>
            </w:r>
          </w:p>
        </w:tc>
        <w:tc>
          <w:tcPr>
            <w:tcW w:type="dxa" w:w="5184"/>
            <w:shd w:val="clear" w:color="auto" w:fill="FFFFFF"/>
            <w:vAlign w:val="center"/>
          </w:tcPr>
          <w:p>
            <w:r>
              <w:rPr>
                <w:sz w:val="18"/>
              </w:rPr>
              <w:t>References townland(id)</w:t>
            </w:r>
          </w:p>
        </w:tc>
      </w:tr>
      <w:tr>
        <w:tc>
          <w:tcPr>
            <w:tcW w:type="dxa" w:w="2304"/>
            <w:shd w:val="clear" w:color="auto" w:fill="F0F4FF"/>
            <w:vAlign w:val="center"/>
          </w:tcPr>
          <w:p>
            <w:r>
              <w:rPr>
                <w:sz w:val="18"/>
              </w:rPr>
              <w:t>year</w:t>
            </w:r>
          </w:p>
        </w:tc>
        <w:tc>
          <w:tcPr>
            <w:tcW w:type="dxa" w:w="1728"/>
            <w:shd w:val="clear" w:color="auto" w:fill="F0F4FF"/>
            <w:vAlign w:val="center"/>
          </w:tcPr>
          <w:p>
            <w:r>
              <w:rPr>
                <w:sz w:val="18"/>
              </w:rPr>
              <w:t>INTEGER</w:t>
            </w:r>
          </w:p>
        </w:tc>
        <w:tc>
          <w:tcPr>
            <w:tcW w:type="dxa" w:w="5184"/>
            <w:shd w:val="clear" w:color="auto" w:fill="F0F4FF"/>
            <w:vAlign w:val="center"/>
          </w:tcPr>
          <w:p>
            <w:r>
              <w:rPr>
                <w:sz w:val="18"/>
              </w:rPr>
              <w:t>Clearance year (1847–1856)</w:t>
            </w:r>
          </w:p>
        </w:tc>
      </w:tr>
      <w:tr>
        <w:tc>
          <w:tcPr>
            <w:tcW w:type="dxa" w:w="2304"/>
            <w:shd w:val="clear" w:color="auto" w:fill="FFFFFF"/>
            <w:vAlign w:val="center"/>
          </w:tcPr>
          <w:p>
            <w:r>
              <w:rPr>
                <w:sz w:val="18"/>
              </w:rPr>
              <w:t>count</w:t>
            </w:r>
          </w:p>
        </w:tc>
        <w:tc>
          <w:tcPr>
            <w:tcW w:type="dxa" w:w="1728"/>
            <w:shd w:val="clear" w:color="auto" w:fill="FFFFFF"/>
            <w:vAlign w:val="center"/>
          </w:tcPr>
          <w:p>
            <w:r>
              <w:rPr>
                <w:sz w:val="18"/>
              </w:rPr>
              <w:t>INTEGER</w:t>
            </w:r>
          </w:p>
        </w:tc>
        <w:tc>
          <w:tcPr>
            <w:tcW w:type="dxa" w:w="5184"/>
            <w:shd w:val="clear" w:color="auto" w:fill="FFFFFF"/>
            <w:vAlign w:val="center"/>
          </w:tcPr>
          <w:p>
            <w:r>
              <w:rPr>
                <w:sz w:val="18"/>
              </w:rPr>
              <w:t>Number of households/persons cleared</w:t>
            </w:r>
          </w:p>
        </w:tc>
      </w:tr>
      <w:tr>
        <w:tc>
          <w:tcPr>
            <w:tcW w:type="dxa" w:w="2304"/>
            <w:shd w:val="clear" w:color="auto" w:fill="F0F4FF"/>
            <w:vAlign w:val="center"/>
          </w:tcPr>
          <w:p>
            <w:r>
              <w:rPr>
                <w:sz w:val="18"/>
              </w:rPr>
              <w:t>source</w:t>
            </w:r>
          </w:p>
        </w:tc>
        <w:tc>
          <w:tcPr>
            <w:tcW w:type="dxa" w:w="1728"/>
            <w:shd w:val="clear" w:color="auto" w:fill="F0F4FF"/>
            <w:vAlign w:val="center"/>
          </w:tcPr>
          <w:p>
            <w:r>
              <w:rPr>
                <w:sz w:val="18"/>
              </w:rPr>
              <w:t>TEXT</w:t>
            </w:r>
          </w:p>
        </w:tc>
        <w:tc>
          <w:tcPr>
            <w:tcW w:type="dxa" w:w="5184"/>
            <w:shd w:val="clear" w:color="auto" w:fill="F0F4FF"/>
            <w:vAlign w:val="center"/>
          </w:tcPr>
          <w:p>
            <w:r>
              <w:rPr>
                <w:sz w:val="18"/>
              </w:rPr>
              <w:t>Data source identifier</w:t>
            </w:r>
          </w:p>
        </w:tc>
      </w:tr>
    </w:tbl>
    <w:p/>
    <w:p>
      <w:pPr>
        <w:pStyle w:val="Heading2"/>
        <w:spacing w:before="200" w:after="80"/>
      </w:pPr>
      <w:r>
        <w:rPr>
          <w:b/>
          <w:color w:val="1D4ED8"/>
          <w:sz w:val="26"/>
        </w:rPr>
        <w:t>4.4 Table: refresh_state</w:t>
      </w:r>
    </w:p>
    <w:p>
      <w:pPr>
        <w:spacing w:before="40" w:after="80"/>
      </w:pPr>
      <w:r>
        <w:rPr>
          <w:sz w:val="21"/>
        </w:rPr>
        <w:t>Tracks data freshness for cache invalidation. One row per dataset (census, townlands). Enables the DB-first / KG-second caching strategy.</w:t>
      </w:r>
    </w:p>
    <w:p>
      <w:pPr>
        <w:pStyle w:val="Heading2"/>
        <w:spacing w:before="200" w:after="80"/>
      </w:pPr>
      <w:r>
        <w:rPr>
          <w:b/>
          <w:color w:val="1D4ED8"/>
          <w:sz w:val="26"/>
        </w:rPr>
        <w:t>4.5 Table: unified_record (runtime-seeded)</w:t>
      </w:r>
    </w:p>
    <w:p>
      <w:pPr>
        <w:spacing w:before="40" w:after="80"/>
      </w:pPr>
      <w:r>
        <w:rPr>
          <w:sz w:val="21"/>
        </w:rPr>
        <w:t>A denormalised view of all 13,707 estate records sourced from unified_processed.csv. Created as a temporary SQLite table at server startup by ask_service._ensure_unified_table_seeded(). Contains 60+ columns including record_id, forename, surname, townland, year, occupation, has_emigration_record (0/1), has_eviction_record (0/1), has_tenancy_record (0/1), holding_acres, family_size_estimate, rent_owed, chief_tenant_surname, is_widow, is_canada_destination, and many more.</w:t>
      </w:r>
    </w:p>
    <w:p>
      <w:pPr>
        <w:pStyle w:val="Heading2"/>
        <w:spacing w:before="200" w:after="80"/>
      </w:pPr>
      <w:r>
        <w:rPr>
          <w:b/>
          <w:color w:val="1D4ED8"/>
          <w:sz w:val="26"/>
        </w:rPr>
        <w:t>4.6 Performance Pragmas</w:t>
      </w:r>
    </w:p>
    <w:p>
      <w:pPr>
        <w:spacing w:before="40" w:after="80"/>
      </w:pPr>
      <w:r>
        <w:rPr>
          <w:sz w:val="21"/>
        </w:rPr>
        <w:t>Applied to every SQLite connection via extensions.get_db_conn():</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E3A5F"/>
          </w:tcPr>
          <w:p>
            <w:pPr>
              <w:jc w:val="left"/>
            </w:pPr>
            <w:r>
              <w:rPr>
                <w:b/>
                <w:color w:val="FFFFFF"/>
                <w:sz w:val="19"/>
              </w:rPr>
              <w:t>PRAGMA</w:t>
            </w:r>
          </w:p>
        </w:tc>
        <w:tc>
          <w:tcPr>
            <w:tcW w:type="dxa" w:w="2160"/>
            <w:shd w:val="clear" w:color="auto" w:fill="1E3A5F"/>
          </w:tcPr>
          <w:p>
            <w:pPr>
              <w:jc w:val="left"/>
            </w:pPr>
            <w:r>
              <w:rPr>
                <w:b/>
                <w:color w:val="FFFFFF"/>
                <w:sz w:val="19"/>
              </w:rPr>
              <w:t>Value</w:t>
            </w:r>
          </w:p>
        </w:tc>
        <w:tc>
          <w:tcPr>
            <w:tcW w:type="dxa" w:w="5040"/>
            <w:shd w:val="clear" w:color="auto" w:fill="1E3A5F"/>
          </w:tcPr>
          <w:p>
            <w:pPr>
              <w:jc w:val="left"/>
            </w:pPr>
            <w:r>
              <w:rPr>
                <w:b/>
                <w:color w:val="FFFFFF"/>
                <w:sz w:val="19"/>
              </w:rPr>
              <w:t>Benefit</w:t>
            </w:r>
          </w:p>
        </w:tc>
      </w:tr>
      <w:tr>
        <w:tc>
          <w:tcPr>
            <w:tcW w:type="dxa" w:w="2160"/>
            <w:shd w:val="clear" w:color="auto" w:fill="F0F4FF"/>
            <w:vAlign w:val="center"/>
          </w:tcPr>
          <w:p>
            <w:r>
              <w:rPr>
                <w:sz w:val="18"/>
              </w:rPr>
              <w:t>journal_mode</w:t>
            </w:r>
          </w:p>
        </w:tc>
        <w:tc>
          <w:tcPr>
            <w:tcW w:type="dxa" w:w="2160"/>
            <w:shd w:val="clear" w:color="auto" w:fill="F0F4FF"/>
            <w:vAlign w:val="center"/>
          </w:tcPr>
          <w:p>
            <w:r>
              <w:rPr>
                <w:sz w:val="18"/>
              </w:rPr>
              <w:t>WAL</w:t>
            </w:r>
          </w:p>
        </w:tc>
        <w:tc>
          <w:tcPr>
            <w:tcW w:type="dxa" w:w="5040"/>
            <w:shd w:val="clear" w:color="auto" w:fill="F0F4FF"/>
            <w:vAlign w:val="center"/>
          </w:tcPr>
          <w:p>
            <w:r>
              <w:rPr>
                <w:sz w:val="18"/>
              </w:rPr>
              <w:t>Write-Ahead Logging — concurrent reads during writes</w:t>
            </w:r>
          </w:p>
        </w:tc>
      </w:tr>
      <w:tr>
        <w:tc>
          <w:tcPr>
            <w:tcW w:type="dxa" w:w="2160"/>
            <w:shd w:val="clear" w:color="auto" w:fill="FFFFFF"/>
            <w:vAlign w:val="center"/>
          </w:tcPr>
          <w:p>
            <w:r>
              <w:rPr>
                <w:sz w:val="18"/>
              </w:rPr>
              <w:t>synchronous</w:t>
            </w:r>
          </w:p>
        </w:tc>
        <w:tc>
          <w:tcPr>
            <w:tcW w:type="dxa" w:w="2160"/>
            <w:shd w:val="clear" w:color="auto" w:fill="FFFFFF"/>
            <w:vAlign w:val="center"/>
          </w:tcPr>
          <w:p>
            <w:r>
              <w:rPr>
                <w:sz w:val="18"/>
              </w:rPr>
              <w:t>NORMAL</w:t>
            </w:r>
          </w:p>
        </w:tc>
        <w:tc>
          <w:tcPr>
            <w:tcW w:type="dxa" w:w="5040"/>
            <w:shd w:val="clear" w:color="auto" w:fill="FFFFFF"/>
            <w:vAlign w:val="center"/>
          </w:tcPr>
          <w:p>
            <w:r>
              <w:rPr>
                <w:sz w:val="18"/>
              </w:rPr>
              <w:t>Balanced durability with WAL (faster than FULL)</w:t>
            </w:r>
          </w:p>
        </w:tc>
      </w:tr>
      <w:tr>
        <w:tc>
          <w:tcPr>
            <w:tcW w:type="dxa" w:w="2160"/>
            <w:shd w:val="clear" w:color="auto" w:fill="F0F4FF"/>
            <w:vAlign w:val="center"/>
          </w:tcPr>
          <w:p>
            <w:r>
              <w:rPr>
                <w:sz w:val="18"/>
              </w:rPr>
              <w:t>cache_size</w:t>
            </w:r>
          </w:p>
        </w:tc>
        <w:tc>
          <w:tcPr>
            <w:tcW w:type="dxa" w:w="2160"/>
            <w:shd w:val="clear" w:color="auto" w:fill="F0F4FF"/>
            <w:vAlign w:val="center"/>
          </w:tcPr>
          <w:p>
            <w:r>
              <w:rPr>
                <w:sz w:val="18"/>
              </w:rPr>
              <w:t>-65536</w:t>
            </w:r>
          </w:p>
        </w:tc>
        <w:tc>
          <w:tcPr>
            <w:tcW w:type="dxa" w:w="5040"/>
            <w:shd w:val="clear" w:color="auto" w:fill="F0F4FF"/>
            <w:vAlign w:val="center"/>
          </w:tcPr>
          <w:p>
            <w:r>
              <w:rPr>
                <w:sz w:val="18"/>
              </w:rPr>
              <w:t>64 MB page cache — avoids repeated disk reads</w:t>
            </w:r>
          </w:p>
        </w:tc>
      </w:tr>
      <w:tr>
        <w:tc>
          <w:tcPr>
            <w:tcW w:type="dxa" w:w="2160"/>
            <w:shd w:val="clear" w:color="auto" w:fill="FFFFFF"/>
            <w:vAlign w:val="center"/>
          </w:tcPr>
          <w:p>
            <w:r>
              <w:rPr>
                <w:sz w:val="18"/>
              </w:rPr>
              <w:t>temp_store</w:t>
            </w:r>
          </w:p>
        </w:tc>
        <w:tc>
          <w:tcPr>
            <w:tcW w:type="dxa" w:w="2160"/>
            <w:shd w:val="clear" w:color="auto" w:fill="FFFFFF"/>
            <w:vAlign w:val="center"/>
          </w:tcPr>
          <w:p>
            <w:r>
              <w:rPr>
                <w:sz w:val="18"/>
              </w:rPr>
              <w:t>2</w:t>
            </w:r>
          </w:p>
        </w:tc>
        <w:tc>
          <w:tcPr>
            <w:tcW w:type="dxa" w:w="5040"/>
            <w:shd w:val="clear" w:color="auto" w:fill="FFFFFF"/>
            <w:vAlign w:val="center"/>
          </w:tcPr>
          <w:p>
            <w:r>
              <w:rPr>
                <w:sz w:val="18"/>
              </w:rPr>
              <w:t>In-memory temp tables — no temp file I/O</w:t>
            </w:r>
          </w:p>
        </w:tc>
      </w:tr>
      <w:tr>
        <w:tc>
          <w:tcPr>
            <w:tcW w:type="dxa" w:w="2160"/>
            <w:shd w:val="clear" w:color="auto" w:fill="F0F4FF"/>
            <w:vAlign w:val="center"/>
          </w:tcPr>
          <w:p>
            <w:r>
              <w:rPr>
                <w:sz w:val="18"/>
              </w:rPr>
              <w:t>mmap_size</w:t>
            </w:r>
          </w:p>
        </w:tc>
        <w:tc>
          <w:tcPr>
            <w:tcW w:type="dxa" w:w="2160"/>
            <w:shd w:val="clear" w:color="auto" w:fill="F0F4FF"/>
            <w:vAlign w:val="center"/>
          </w:tcPr>
          <w:p>
            <w:r>
              <w:rPr>
                <w:sz w:val="18"/>
              </w:rPr>
              <w:t>268435456</w:t>
            </w:r>
          </w:p>
        </w:tc>
        <w:tc>
          <w:tcPr>
            <w:tcW w:type="dxa" w:w="5040"/>
            <w:shd w:val="clear" w:color="auto" w:fill="F0F4FF"/>
            <w:vAlign w:val="center"/>
          </w:tcPr>
          <w:p>
            <w:r>
              <w:rPr>
                <w:sz w:val="18"/>
              </w:rPr>
              <w:t>256 MB memory-mapped I/O — OS-level page cache</w:t>
            </w:r>
          </w:p>
        </w:tc>
      </w:tr>
      <w:tr>
        <w:tc>
          <w:tcPr>
            <w:tcW w:type="dxa" w:w="2160"/>
            <w:shd w:val="clear" w:color="auto" w:fill="FFFFFF"/>
            <w:vAlign w:val="center"/>
          </w:tcPr>
          <w:p>
            <w:r>
              <w:rPr>
                <w:sz w:val="18"/>
              </w:rPr>
              <w:t>foreign_keys</w:t>
            </w:r>
          </w:p>
        </w:tc>
        <w:tc>
          <w:tcPr>
            <w:tcW w:type="dxa" w:w="2160"/>
            <w:shd w:val="clear" w:color="auto" w:fill="FFFFFF"/>
            <w:vAlign w:val="center"/>
          </w:tcPr>
          <w:p>
            <w:r>
              <w:rPr>
                <w:sz w:val="18"/>
              </w:rPr>
              <w:t>ON</w:t>
            </w:r>
          </w:p>
        </w:tc>
        <w:tc>
          <w:tcPr>
            <w:tcW w:type="dxa" w:w="5040"/>
            <w:shd w:val="clear" w:color="auto" w:fill="FFFFFF"/>
            <w:vAlign w:val="center"/>
          </w:tcPr>
          <w:p>
            <w:r>
              <w:rPr>
                <w:sz w:val="18"/>
              </w:rPr>
              <w:t>Referential integrity enforced</w:t>
            </w:r>
          </w:p>
        </w:tc>
      </w:tr>
    </w:tbl>
    <w:p/>
    <w:p>
      <w:r>
        <w:br w:type="page"/>
      </w:r>
    </w:p>
    <w:p>
      <w:pPr>
        <w:pStyle w:val="Heading1"/>
        <w:spacing w:before="280" w:after="80"/>
      </w:pPr>
      <w:r>
        <w:rPr>
          <w:b/>
          <w:color w:val="0F172A"/>
          <w:sz w:val="32"/>
        </w:rPr>
        <w:t>5. Data Ingestion Pipeline</w:t>
      </w:r>
    </w:p>
    <w:p>
      <w:pPr>
        <w:spacing w:before="40" w:after="80"/>
      </w:pPr>
      <w:r>
        <w:rPr>
          <w:sz w:val="21"/>
        </w:rPr>
        <w:t>Data flows from three primary sources into the SQLite database through dedicated ingest jobs. All ingest jobs are idempotent (safe to re-run) and update the refresh_state table on completion.</w:t>
      </w:r>
    </w:p>
    <w:p>
      <w:pPr>
        <w:pStyle w:val="Heading2"/>
        <w:spacing w:before="200" w:after="80"/>
      </w:pPr>
      <w:r>
        <w:rPr>
          <w:b/>
          <w:color w:val="1D4ED8"/>
          <w:sz w:val="26"/>
        </w:rPr>
        <w:t>5.1 Full Ingest (backend/jobs/full_ingest.py)</w:t>
      </w:r>
    </w:p>
    <w:p>
      <w:pPr>
        <w:spacing w:before="40" w:after="80"/>
      </w:pPr>
      <w:r>
        <w:rPr>
          <w:sz w:val="21"/>
        </w:rPr>
        <w:t>run_full_ingest() is the primary pipeline, combining the estate GeoJSON and VRTI KG:</w:t>
      </w:r>
    </w:p>
    <w:p>
      <w:pPr>
        <w:pStyle w:val="ListBullet"/>
        <w:spacing w:before="20" w:after="40"/>
      </w:pPr>
      <w:r>
        <w:rPr>
          <w:b/>
          <w:sz w:val="21"/>
        </w:rPr>
        <w:t>Stage 1 — Estate GeoJSON:</w:t>
      </w:r>
      <w:r>
        <w:rPr>
          <w:sz w:val="21"/>
        </w:rPr>
        <w:t xml:space="preserve"> Reads 152 townland features from frontend/static/data/townlands.json. Extracts canonical name, Irish name, estate TD_ID and GUID, area in sqm, population surveys for 1827/1839/1848/1850/1860/1868, and per-year clearances 1847–1856.</w:t>
      </w:r>
    </w:p>
    <w:p>
      <w:pPr>
        <w:pStyle w:val="ListBullet"/>
        <w:spacing w:before="20" w:after="40"/>
      </w:pPr>
      <w:r>
        <w:rPr>
          <w:b/>
          <w:sz w:val="21"/>
        </w:rPr>
        <w:t>Stage 2 — VRTI KG enrichment:</w:t>
      </w:r>
      <w:r>
        <w:rPr>
          <w:sz w:val="21"/>
        </w:rPr>
        <w:t xml:space="preserve"> For each townland, calls vrti_sparql.fetch_townlands() and fetch_census_records(). Retrieves WKT boundary geometry, centroid, civil parish, barony, county, OSM/OSI/VRTI IDs, images, links, and standard census 1841/1851/1861/1871/1881/1891.</w:t>
      </w:r>
    </w:p>
    <w:p>
      <w:pPr>
        <w:pStyle w:val="ListBullet"/>
        <w:spacing w:before="20" w:after="40"/>
      </w:pPr>
      <w:r>
        <w:rPr>
          <w:b/>
          <w:sz w:val="21"/>
        </w:rPr>
        <w:t>Stage 3 — Persistence:</w:t>
      </w:r>
      <w:r>
        <w:rPr>
          <w:sz w:val="21"/>
        </w:rPr>
        <w:t xml:space="preserve"> All data is upserted via the repository layer. refresh_state table is updated with last_synced_at timestamp and record_count.</w:t>
      </w:r>
    </w:p>
    <w:p>
      <w:pPr>
        <w:pStyle w:val="Heading2"/>
        <w:spacing w:before="200" w:after="80"/>
      </w:pPr>
      <w:r>
        <w:rPr>
          <w:b/>
          <w:color w:val="1D4ED8"/>
          <w:sz w:val="26"/>
        </w:rPr>
        <w:t>5.2 RDF Uplift (scripts/rdf_uplift.py)</w:t>
      </w:r>
    </w:p>
    <w:p>
      <w:pPr>
        <w:spacing w:before="40" w:after="80"/>
      </w:pPr>
      <w:r>
        <w:rPr>
          <w:sz w:val="21"/>
        </w:rPr>
        <w:t>Converts unified_processed.csv into RDF Turtle format and optionally loads it into GraphDB:</w:t>
      </w:r>
    </w:p>
    <w:p>
      <w:pPr>
        <w:pStyle w:val="ListBullet"/>
        <w:spacing w:before="20" w:after="40"/>
      </w:pPr>
      <w:r>
        <w:rPr>
          <w:sz w:val="21"/>
        </w:rPr>
        <w:t>Each estate record becomes a co:Person instance + linked co:Event instance</w:t>
      </w:r>
    </w:p>
    <w:p>
      <w:pPr>
        <w:pStyle w:val="ListBullet"/>
        <w:spacing w:before="20" w:after="40"/>
      </w:pPr>
      <w:r>
        <w:rPr>
          <w:sz w:val="21"/>
        </w:rPr>
        <w:t>Properties: schema:givenName, schema:familyName, co:townland, co:year, co:eventType, co:hasEvent</w:t>
      </w:r>
    </w:p>
    <w:p>
      <w:pPr>
        <w:pStyle w:val="ListBullet"/>
        <w:spacing w:before="20" w:after="40"/>
      </w:pPr>
      <w:r>
        <w:rPr>
          <w:sz w:val="21"/>
        </w:rPr>
        <w:t>Instance URIs: ex:person_{record_id} and ex:event_{record_id}</w:t>
      </w:r>
    </w:p>
    <w:p>
      <w:pPr>
        <w:pStyle w:val="ListBullet"/>
        <w:spacing w:before="20" w:after="40"/>
      </w:pPr>
      <w:r>
        <w:rPr>
          <w:sz w:val="21"/>
        </w:rPr>
        <w:t>Output: data/coolattin_sample.ttl (143,123 triples when fully loaded)</w:t>
      </w:r>
    </w:p>
    <w:p>
      <w:pPr>
        <w:spacing w:before="40" w:after="40"/>
        <w:ind w:left="432"/>
      </w:pPr>
      <w:r>
        <w:rPr>
          <w:rFonts w:ascii="Courier New" w:hAnsi="Courier New"/>
          <w:color w:val="1E40AF"/>
          <w:sz w:val="17"/>
        </w:rPr>
        <w:t>python3 scripts/rdf_uplift.py --import   # generate TTL + POST to GraphDB</w:t>
      </w:r>
    </w:p>
    <w:p>
      <w:pPr>
        <w:spacing w:before="40" w:after="40"/>
        <w:ind w:left="432"/>
      </w:pPr>
      <w:r>
        <w:rPr>
          <w:rFonts w:ascii="Courier New" w:hAnsi="Courier New"/>
          <w:color w:val="1E40AF"/>
          <w:sz w:val="17"/>
        </w:rPr>
        <w:t>python3 scripts/rdf_uplift.py --limit 500  # development sample</w:t>
      </w:r>
    </w:p>
    <w:p>
      <w:r>
        <w:br w:type="page"/>
      </w:r>
    </w:p>
    <w:p>
      <w:pPr>
        <w:pStyle w:val="Heading1"/>
        <w:spacing w:before="280" w:after="80"/>
      </w:pPr>
      <w:r>
        <w:rPr>
          <w:b/>
          <w:color w:val="0F172A"/>
          <w:sz w:val="32"/>
        </w:rPr>
        <w:t>6. Feature: Unified Estate Records Search</w:t>
      </w:r>
    </w:p>
    <w:p>
      <w:pPr>
        <w:spacing w:before="40" w:after="80"/>
      </w:pPr>
      <w:r>
        <w:rPr>
          <w:sz w:val="21"/>
        </w:rPr>
        <w:t>The primary search interface over all 13,707 estate records. Users can filter by surname, forename, townland, year, and estate. Results include all 60+ metadata fields.</w:t>
      </w:r>
    </w:p>
    <w:p>
      <w:pPr>
        <w:pStyle w:val="Heading2"/>
        <w:spacing w:before="200" w:after="80"/>
      </w:pPr>
      <w:r>
        <w:rPr>
          <w:b/>
          <w:color w:val="1D4ED8"/>
          <w:sz w:val="26"/>
        </w:rPr>
        <w:t>6.1 Implementation</w:t>
      </w:r>
    </w:p>
    <w:p>
      <w:pPr>
        <w:spacing w:before="40" w:after="80"/>
      </w:pPr>
      <w:r>
        <w:rPr>
          <w:sz w:val="21"/>
        </w:rPr>
        <w:t>unified_service.py loads unified_processed.csv once per process into a pandas DataFrame (_UNIFIED_CACHE). All subsequent searches operate entirely in memory, achieving sub-millisecond response times. Filtering uses pandas vectorised string operations:</w:t>
      </w:r>
    </w:p>
    <w:p>
      <w:pPr>
        <w:spacing w:before="40" w:after="40"/>
        <w:ind w:left="432"/>
      </w:pPr>
      <w:r>
        <w:rPr>
          <w:rFonts w:ascii="Courier New" w:hAnsi="Courier New"/>
          <w:color w:val="1E40AF"/>
          <w:sz w:val="17"/>
        </w:rPr>
        <w:t>mask &amp;= df['surname'].str.upper().str.contains(surname.upper())</w:t>
      </w:r>
    </w:p>
    <w:p>
      <w:pPr>
        <w:spacing w:before="40" w:after="40"/>
        <w:ind w:left="432"/>
      </w:pPr>
      <w:r>
        <w:rPr>
          <w:rFonts w:ascii="Courier New" w:hAnsi="Courier New"/>
          <w:color w:val="1E40AF"/>
          <w:sz w:val="17"/>
        </w:rPr>
        <w:t>mask &amp;= df['townland_norm'].str.contains(normalize(townland), na=False)</w:t>
      </w:r>
    </w:p>
    <w:p>
      <w:pPr>
        <w:pStyle w:val="Heading2"/>
        <w:spacing w:before="200" w:after="80"/>
      </w:pPr>
      <w:r>
        <w:rPr>
          <w:b/>
          <w:color w:val="1D4ED8"/>
          <w:sz w:val="26"/>
        </w:rPr>
        <w:t>6.2 Record Distribution</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160"/>
            <w:shd w:val="clear" w:color="auto" w:fill="1E3A5F"/>
          </w:tcPr>
          <w:p>
            <w:pPr>
              <w:jc w:val="left"/>
            </w:pPr>
            <w:r>
              <w:rPr>
                <w:b/>
                <w:color w:val="FFFFFF"/>
                <w:sz w:val="19"/>
              </w:rPr>
              <w:t>Event Type</w:t>
            </w:r>
          </w:p>
        </w:tc>
        <w:tc>
          <w:tcPr>
            <w:tcW w:type="dxa" w:w="1440"/>
            <w:shd w:val="clear" w:color="auto" w:fill="1E3A5F"/>
          </w:tcPr>
          <w:p>
            <w:pPr>
              <w:jc w:val="left"/>
            </w:pPr>
            <w:r>
              <w:rPr>
                <w:b/>
                <w:color w:val="FFFFFF"/>
                <w:sz w:val="19"/>
              </w:rPr>
              <w:t>Records</w:t>
            </w:r>
          </w:p>
        </w:tc>
        <w:tc>
          <w:tcPr>
            <w:tcW w:type="dxa" w:w="1728"/>
            <w:shd w:val="clear" w:color="auto" w:fill="1E3A5F"/>
          </w:tcPr>
          <w:p>
            <w:pPr>
              <w:jc w:val="left"/>
            </w:pPr>
            <w:r>
              <w:rPr>
                <w:b/>
                <w:color w:val="FFFFFF"/>
                <w:sz w:val="19"/>
              </w:rPr>
              <w:t>Percentage</w:t>
            </w:r>
          </w:p>
        </w:tc>
        <w:tc>
          <w:tcPr>
            <w:tcW w:type="dxa" w:w="4032"/>
            <w:shd w:val="clear" w:color="auto" w:fill="1E3A5F"/>
          </w:tcPr>
          <w:p>
            <w:pPr>
              <w:jc w:val="left"/>
            </w:pPr>
            <w:r>
              <w:rPr>
                <w:b/>
                <w:color w:val="FFFFFF"/>
                <w:sz w:val="19"/>
              </w:rPr>
              <w:t>Notes</w:t>
            </w:r>
          </w:p>
        </w:tc>
      </w:tr>
      <w:tr>
        <w:tc>
          <w:tcPr>
            <w:tcW w:type="dxa" w:w="2160"/>
            <w:shd w:val="clear" w:color="auto" w:fill="F0F4FF"/>
            <w:vAlign w:val="center"/>
          </w:tcPr>
          <w:p>
            <w:r>
              <w:rPr>
                <w:sz w:val="18"/>
              </w:rPr>
              <w:t>Emigration</w:t>
            </w:r>
          </w:p>
        </w:tc>
        <w:tc>
          <w:tcPr>
            <w:tcW w:type="dxa" w:w="1440"/>
            <w:shd w:val="clear" w:color="auto" w:fill="F0F4FF"/>
            <w:vAlign w:val="center"/>
          </w:tcPr>
          <w:p>
            <w:r>
              <w:rPr>
                <w:sz w:val="18"/>
              </w:rPr>
              <w:t>6,016</w:t>
            </w:r>
          </w:p>
        </w:tc>
        <w:tc>
          <w:tcPr>
            <w:tcW w:type="dxa" w:w="1728"/>
            <w:shd w:val="clear" w:color="auto" w:fill="F0F4FF"/>
            <w:vAlign w:val="center"/>
          </w:tcPr>
          <w:p>
            <w:r>
              <w:rPr>
                <w:sz w:val="18"/>
              </w:rPr>
              <w:t>43.9%</w:t>
            </w:r>
          </w:p>
        </w:tc>
        <w:tc>
          <w:tcPr>
            <w:tcW w:type="dxa" w:w="4032"/>
            <w:shd w:val="clear" w:color="auto" w:fill="F0F4FF"/>
            <w:vAlign w:val="center"/>
          </w:tcPr>
          <w:p>
            <w:r>
              <w:rPr>
                <w:sz w:val="18"/>
              </w:rPr>
              <w:t>Fitzwilliam-sponsored; mainly Quebec / Toronto</w:t>
            </w:r>
          </w:p>
        </w:tc>
      </w:tr>
      <w:tr>
        <w:tc>
          <w:tcPr>
            <w:tcW w:type="dxa" w:w="2160"/>
            <w:shd w:val="clear" w:color="auto" w:fill="FFFFFF"/>
            <w:vAlign w:val="center"/>
          </w:tcPr>
          <w:p>
            <w:r>
              <w:rPr>
                <w:sz w:val="18"/>
              </w:rPr>
              <w:t>Eviction</w:t>
            </w:r>
          </w:p>
        </w:tc>
        <w:tc>
          <w:tcPr>
            <w:tcW w:type="dxa" w:w="1440"/>
            <w:shd w:val="clear" w:color="auto" w:fill="FFFFFF"/>
            <w:vAlign w:val="center"/>
          </w:tcPr>
          <w:p>
            <w:r>
              <w:rPr>
                <w:sz w:val="18"/>
              </w:rPr>
              <w:t>4,108</w:t>
            </w:r>
          </w:p>
        </w:tc>
        <w:tc>
          <w:tcPr>
            <w:tcW w:type="dxa" w:w="1728"/>
            <w:shd w:val="clear" w:color="auto" w:fill="FFFFFF"/>
            <w:vAlign w:val="center"/>
          </w:tcPr>
          <w:p>
            <w:r>
              <w:rPr>
                <w:sz w:val="18"/>
              </w:rPr>
              <w:t>30.0%</w:t>
            </w:r>
          </w:p>
        </w:tc>
        <w:tc>
          <w:tcPr>
            <w:tcW w:type="dxa" w:w="4032"/>
            <w:shd w:val="clear" w:color="auto" w:fill="FFFFFF"/>
            <w:vAlign w:val="center"/>
          </w:tcPr>
          <w:p>
            <w:r>
              <w:rPr>
                <w:sz w:val="18"/>
              </w:rPr>
              <w:t>Court sessions and estate clearances</w:t>
            </w:r>
          </w:p>
        </w:tc>
      </w:tr>
      <w:tr>
        <w:tc>
          <w:tcPr>
            <w:tcW w:type="dxa" w:w="2160"/>
            <w:shd w:val="clear" w:color="auto" w:fill="F0F4FF"/>
            <w:vAlign w:val="center"/>
          </w:tcPr>
          <w:p>
            <w:r>
              <w:rPr>
                <w:sz w:val="18"/>
              </w:rPr>
              <w:t>Tenancy</w:t>
            </w:r>
          </w:p>
        </w:tc>
        <w:tc>
          <w:tcPr>
            <w:tcW w:type="dxa" w:w="1440"/>
            <w:shd w:val="clear" w:color="auto" w:fill="F0F4FF"/>
            <w:vAlign w:val="center"/>
          </w:tcPr>
          <w:p>
            <w:r>
              <w:rPr>
                <w:sz w:val="18"/>
              </w:rPr>
              <w:t>5,247</w:t>
            </w:r>
          </w:p>
        </w:tc>
        <w:tc>
          <w:tcPr>
            <w:tcW w:type="dxa" w:w="1728"/>
            <w:shd w:val="clear" w:color="auto" w:fill="F0F4FF"/>
            <w:vAlign w:val="center"/>
          </w:tcPr>
          <w:p>
            <w:r>
              <w:rPr>
                <w:sz w:val="18"/>
              </w:rPr>
              <w:t>38.3%</w:t>
            </w:r>
          </w:p>
        </w:tc>
        <w:tc>
          <w:tcPr>
            <w:tcW w:type="dxa" w:w="4032"/>
            <w:shd w:val="clear" w:color="auto" w:fill="F0F4FF"/>
            <w:vAlign w:val="center"/>
          </w:tcPr>
          <w:p>
            <w:r>
              <w:rPr>
                <w:sz w:val="18"/>
              </w:rPr>
              <w:t>Landholding relationships</w:t>
            </w:r>
          </w:p>
        </w:tc>
      </w:tr>
      <w:tr>
        <w:tc>
          <w:tcPr>
            <w:tcW w:type="dxa" w:w="2160"/>
            <w:shd w:val="clear" w:color="auto" w:fill="FFFFFF"/>
            <w:vAlign w:val="center"/>
          </w:tcPr>
          <w:p>
            <w:r>
              <w:rPr>
                <w:sz w:val="18"/>
              </w:rPr>
              <w:t>Total</w:t>
            </w:r>
          </w:p>
        </w:tc>
        <w:tc>
          <w:tcPr>
            <w:tcW w:type="dxa" w:w="1440"/>
            <w:shd w:val="clear" w:color="auto" w:fill="FFFFFF"/>
            <w:vAlign w:val="center"/>
          </w:tcPr>
          <w:p>
            <w:r>
              <w:rPr>
                <w:sz w:val="18"/>
              </w:rPr>
              <w:t>13,707</w:t>
            </w:r>
          </w:p>
        </w:tc>
        <w:tc>
          <w:tcPr>
            <w:tcW w:type="dxa" w:w="1728"/>
            <w:shd w:val="clear" w:color="auto" w:fill="FFFFFF"/>
            <w:vAlign w:val="center"/>
          </w:tcPr>
          <w:p>
            <w:r>
              <w:rPr>
                <w:sz w:val="18"/>
              </w:rPr>
              <w:t>—</w:t>
            </w:r>
          </w:p>
        </w:tc>
        <w:tc>
          <w:tcPr>
            <w:tcW w:type="dxa" w:w="4032"/>
            <w:shd w:val="clear" w:color="auto" w:fill="FFFFFF"/>
            <w:vAlign w:val="center"/>
          </w:tcPr>
          <w:p>
            <w:r>
              <w:rPr>
                <w:sz w:val="18"/>
              </w:rPr>
              <w:t>Some records carry multiple event flags</w:t>
            </w:r>
          </w:p>
        </w:tc>
      </w:tr>
    </w:tbl>
    <w:p/>
    <w:p>
      <w:pPr>
        <w:spacing w:before="40" w:after="80"/>
      </w:pPr>
      <w:r>
        <w:rPr>
          <w:sz w:val="21"/>
        </w:rPr>
        <w:t>Record years span 1841–1886, concentrated in 1847–1856 (Famine clearances peak). The dataset covers 516 unique townlands and 977 distinct surnames.</w:t>
      </w:r>
    </w:p>
    <w:p>
      <w:r>
        <w:br w:type="page"/>
      </w:r>
    </w:p>
    <w:p>
      <w:pPr>
        <w:pStyle w:val="Heading1"/>
        <w:spacing w:before="280" w:after="80"/>
      </w:pPr>
      <w:r>
        <w:rPr>
          <w:b/>
          <w:color w:val="0F172A"/>
          <w:sz w:val="32"/>
        </w:rPr>
        <w:t>7. Feature: Interactive Map</w:t>
      </w:r>
    </w:p>
    <w:p>
      <w:pPr>
        <w:spacing w:before="40" w:after="80"/>
      </w:pPr>
      <w:r>
        <w:rPr>
          <w:sz w:val="21"/>
        </w:rPr>
        <w:t>A Leaflet.js interactive map displaying all 152 estate townland boundaries from the GeoJSON, with colour-coded choropleth overlays showing census population, eviction intensity, or emigration rates. Clicking a townland opens a detail panel with all census years and clearances.</w:t>
      </w:r>
    </w:p>
    <w:p>
      <w:pPr>
        <w:pStyle w:val="Heading2"/>
        <w:spacing w:before="200" w:after="80"/>
      </w:pPr>
      <w:r>
        <w:rPr>
          <w:b/>
          <w:color w:val="1D4ED8"/>
          <w:sz w:val="26"/>
        </w:rPr>
        <w:t>7.1 Basemap Layers</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E3A5F"/>
          </w:tcPr>
          <w:p>
            <w:pPr>
              <w:jc w:val="left"/>
            </w:pPr>
            <w:r>
              <w:rPr>
                <w:b/>
                <w:color w:val="FFFFFF"/>
                <w:sz w:val="19"/>
              </w:rPr>
              <w:t>Layer</w:t>
            </w:r>
          </w:p>
        </w:tc>
        <w:tc>
          <w:tcPr>
            <w:tcW w:type="dxa" w:w="2880"/>
            <w:shd w:val="clear" w:color="auto" w:fill="1E3A5F"/>
          </w:tcPr>
          <w:p>
            <w:pPr>
              <w:jc w:val="left"/>
            </w:pPr>
            <w:r>
              <w:rPr>
                <w:b/>
                <w:color w:val="FFFFFF"/>
                <w:sz w:val="19"/>
              </w:rPr>
              <w:t>Source</w:t>
            </w:r>
          </w:p>
        </w:tc>
        <w:tc>
          <w:tcPr>
            <w:tcW w:type="dxa" w:w="4320"/>
            <w:shd w:val="clear" w:color="auto" w:fill="1E3A5F"/>
          </w:tcPr>
          <w:p>
            <w:pPr>
              <w:jc w:val="left"/>
            </w:pPr>
            <w:r>
              <w:rPr>
                <w:b/>
                <w:color w:val="FFFFFF"/>
                <w:sz w:val="19"/>
              </w:rPr>
              <w:t>Purpose</w:t>
            </w:r>
          </w:p>
        </w:tc>
      </w:tr>
      <w:tr>
        <w:tc>
          <w:tcPr>
            <w:tcW w:type="dxa" w:w="2160"/>
            <w:shd w:val="clear" w:color="auto" w:fill="F0F4FF"/>
            <w:vAlign w:val="center"/>
          </w:tcPr>
          <w:p>
            <w:r>
              <w:rPr>
                <w:sz w:val="18"/>
              </w:rPr>
              <w:t>Standard</w:t>
            </w:r>
          </w:p>
        </w:tc>
        <w:tc>
          <w:tcPr>
            <w:tcW w:type="dxa" w:w="2880"/>
            <w:shd w:val="clear" w:color="auto" w:fill="F0F4FF"/>
            <w:vAlign w:val="center"/>
          </w:tcPr>
          <w:p>
            <w:r>
              <w:rPr>
                <w:sz w:val="18"/>
              </w:rPr>
              <w:t>OpenStreetMap</w:t>
            </w:r>
          </w:p>
        </w:tc>
        <w:tc>
          <w:tcPr>
            <w:tcW w:type="dxa" w:w="4320"/>
            <w:shd w:val="clear" w:color="auto" w:fill="F0F4FF"/>
            <w:vAlign w:val="center"/>
          </w:tcPr>
          <w:p>
            <w:r>
              <w:rPr>
                <w:sz w:val="18"/>
              </w:rPr>
              <w:t>Default topographic map</w:t>
            </w:r>
          </w:p>
        </w:tc>
      </w:tr>
      <w:tr>
        <w:tc>
          <w:tcPr>
            <w:tcW w:type="dxa" w:w="2160"/>
            <w:shd w:val="clear" w:color="auto" w:fill="FFFFFF"/>
            <w:vAlign w:val="center"/>
          </w:tcPr>
          <w:p>
            <w:r>
              <w:rPr>
                <w:sz w:val="18"/>
              </w:rPr>
              <w:t>Satellite</w:t>
            </w:r>
          </w:p>
        </w:tc>
        <w:tc>
          <w:tcPr>
            <w:tcW w:type="dxa" w:w="2880"/>
            <w:shd w:val="clear" w:color="auto" w:fill="FFFFFF"/>
            <w:vAlign w:val="center"/>
          </w:tcPr>
          <w:p>
            <w:r>
              <w:rPr>
                <w:sz w:val="18"/>
              </w:rPr>
              <w:t>Esri World Imagery</w:t>
            </w:r>
          </w:p>
        </w:tc>
        <w:tc>
          <w:tcPr>
            <w:tcW w:type="dxa" w:w="4320"/>
            <w:shd w:val="clear" w:color="auto" w:fill="FFFFFF"/>
            <w:vAlign w:val="center"/>
          </w:tcPr>
          <w:p>
            <w:r>
              <w:rPr>
                <w:sz w:val="18"/>
              </w:rPr>
              <w:t>Aerial photography overlay</w:t>
            </w:r>
          </w:p>
        </w:tc>
      </w:tr>
      <w:tr>
        <w:tc>
          <w:tcPr>
            <w:tcW w:type="dxa" w:w="2160"/>
            <w:shd w:val="clear" w:color="auto" w:fill="F0F4FF"/>
            <w:vAlign w:val="center"/>
          </w:tcPr>
          <w:p>
            <w:r>
              <w:rPr>
                <w:sz w:val="18"/>
              </w:rPr>
              <w:t>Terrain</w:t>
            </w:r>
          </w:p>
        </w:tc>
        <w:tc>
          <w:tcPr>
            <w:tcW w:type="dxa" w:w="2880"/>
            <w:shd w:val="clear" w:color="auto" w:fill="F0F4FF"/>
            <w:vAlign w:val="center"/>
          </w:tcPr>
          <w:p>
            <w:r>
              <w:rPr>
                <w:sz w:val="18"/>
              </w:rPr>
              <w:t>OpenTopoMap</w:t>
            </w:r>
          </w:p>
        </w:tc>
        <w:tc>
          <w:tcPr>
            <w:tcW w:type="dxa" w:w="4320"/>
            <w:shd w:val="clear" w:color="auto" w:fill="F0F4FF"/>
            <w:vAlign w:val="center"/>
          </w:tcPr>
          <w:p>
            <w:r>
              <w:rPr>
                <w:sz w:val="18"/>
              </w:rPr>
              <w:t>Topographic contour map</w:t>
            </w:r>
          </w:p>
        </w:tc>
      </w:tr>
      <w:tr>
        <w:tc>
          <w:tcPr>
            <w:tcW w:type="dxa" w:w="2160"/>
            <w:shd w:val="clear" w:color="auto" w:fill="FFFFFF"/>
            <w:vAlign w:val="center"/>
          </w:tcPr>
          <w:p>
            <w:r>
              <w:rPr>
                <w:sz w:val="18"/>
              </w:rPr>
              <w:t>Historic OSM</w:t>
            </w:r>
          </w:p>
        </w:tc>
        <w:tc>
          <w:tcPr>
            <w:tcW w:type="dxa" w:w="2880"/>
            <w:shd w:val="clear" w:color="auto" w:fill="FFFFFF"/>
            <w:vAlign w:val="center"/>
          </w:tcPr>
          <w:p>
            <w:r>
              <w:rPr>
                <w:sz w:val="18"/>
              </w:rPr>
              <w:t>historical.openstreetmap.org</w:t>
            </w:r>
          </w:p>
        </w:tc>
        <w:tc>
          <w:tcPr>
            <w:tcW w:type="dxa" w:w="4320"/>
            <w:shd w:val="clear" w:color="auto" w:fill="FFFFFF"/>
            <w:vAlign w:val="center"/>
          </w:tcPr>
          <w:p>
            <w:r>
              <w:rPr>
                <w:sz w:val="18"/>
              </w:rPr>
              <w:t>19th-century historical map (optional)</w:t>
            </w:r>
          </w:p>
        </w:tc>
      </w:tr>
    </w:tbl>
    <w:p/>
    <w:p>
      <w:pPr>
        <w:pStyle w:val="Heading2"/>
        <w:spacing w:before="200" w:after="80"/>
      </w:pPr>
      <w:r>
        <w:rPr>
          <w:b/>
          <w:color w:val="1D4ED8"/>
          <w:sz w:val="26"/>
        </w:rPr>
        <w:t>7.2 Map Data</w:t>
      </w:r>
    </w:p>
    <w:p>
      <w:pPr>
        <w:pStyle w:val="ListBullet"/>
        <w:spacing w:before="20" w:after="40"/>
      </w:pPr>
      <w:r>
        <w:rPr>
          <w:sz w:val="21"/>
        </w:rPr>
        <w:t>GeoJSON boundaries: frontend/static/data/townlands.json (6.2 MB, 24h browser-cached)</w:t>
      </w:r>
    </w:p>
    <w:p>
      <w:pPr>
        <w:pStyle w:val="ListBullet"/>
        <w:spacing w:before="20" w:after="40"/>
      </w:pPr>
      <w:r>
        <w:rPr>
          <w:sz w:val="21"/>
        </w:rPr>
        <w:t>Centroids: GET /api/centroids → {townland_name: [lat, lon]} from townland table</w:t>
      </w:r>
    </w:p>
    <w:p>
      <w:pPr>
        <w:pStyle w:val="ListBullet"/>
        <w:spacing w:before="20" w:after="40"/>
      </w:pPr>
      <w:r>
        <w:rPr>
          <w:sz w:val="21"/>
        </w:rPr>
        <w:t>Choropleth colour: computed client-side from embedded population/clearances properties</w:t>
      </w:r>
    </w:p>
    <w:p>
      <w:r>
        <w:br w:type="page"/>
      </w:r>
    </w:p>
    <w:p>
      <w:pPr>
        <w:pStyle w:val="Heading1"/>
        <w:spacing w:before="280" w:after="80"/>
      </w:pPr>
      <w:r>
        <w:rPr>
          <w:b/>
          <w:color w:val="0F172A"/>
          <w:sz w:val="32"/>
        </w:rPr>
        <w:t>8. Feature: Census Explorer</w:t>
      </w:r>
    </w:p>
    <w:p>
      <w:pPr>
        <w:spacing w:before="40" w:after="80"/>
      </w:pPr>
      <w:r>
        <w:rPr>
          <w:sz w:val="21"/>
        </w:rPr>
        <w:t>The census explorer shows population data across twelve survey years (1827–1891). Users filter by year, townland, or barony to observe the dramatic population decline from pre-Famine to post-Famine years directly in the data.</w:t>
      </w:r>
    </w:p>
    <w:p>
      <w:pPr>
        <w:pStyle w:val="Heading2"/>
        <w:spacing w:before="200" w:after="80"/>
      </w:pPr>
      <w:r>
        <w:rPr>
          <w:b/>
          <w:color w:val="1D4ED8"/>
          <w:sz w:val="26"/>
        </w:rPr>
        <w:t>8.1 DB-First / KG-Second Caching</w:t>
      </w:r>
    </w:p>
    <w:p>
      <w:pPr>
        <w:spacing w:before="40" w:after="80"/>
      </w:pPr>
      <w:r>
        <w:rPr>
          <w:sz w:val="21"/>
        </w:rPr>
        <w:t>The canonical caching strategy used throughout the application:</w:t>
      </w:r>
    </w:p>
    <w:tbl>
      <w:tblPr>
        <w:tblStyle w:val="TableGrid"/>
        <w:tblW w:type="auto" w:w="0"/>
        <w:jc w:val="left"/>
        <w:tblLook w:firstColumn="1" w:firstRow="1" w:lastColumn="0" w:lastRow="0" w:noHBand="0" w:noVBand="1" w:val="04A0"/>
      </w:tblPr>
      <w:tblGrid>
        <w:gridCol w:w="3022"/>
        <w:gridCol w:w="3022"/>
        <w:gridCol w:w="3022"/>
      </w:tblGrid>
      <w:tr>
        <w:tc>
          <w:tcPr>
            <w:tcW w:type="dxa" w:w="3312"/>
            <w:shd w:val="clear" w:color="auto" w:fill="1E3A5F"/>
          </w:tcPr>
          <w:p>
            <w:pPr>
              <w:jc w:val="left"/>
            </w:pPr>
            <w:r>
              <w:rPr>
                <w:b/>
                <w:color w:val="FFFFFF"/>
                <w:sz w:val="19"/>
              </w:rPr>
              <w:t>Condition</w:t>
            </w:r>
          </w:p>
        </w:tc>
        <w:tc>
          <w:tcPr>
            <w:tcW w:type="dxa" w:w="3888"/>
            <w:shd w:val="clear" w:color="auto" w:fill="1E3A5F"/>
          </w:tcPr>
          <w:p>
            <w:pPr>
              <w:jc w:val="left"/>
            </w:pPr>
            <w:r>
              <w:rPr>
                <w:b/>
                <w:color w:val="FFFFFF"/>
                <w:sz w:val="19"/>
              </w:rPr>
              <w:t>Action</w:t>
            </w:r>
          </w:p>
        </w:tc>
        <w:tc>
          <w:tcPr>
            <w:tcW w:type="dxa" w:w="2160"/>
            <w:shd w:val="clear" w:color="auto" w:fill="1E3A5F"/>
          </w:tcPr>
          <w:p>
            <w:pPr>
              <w:jc w:val="left"/>
            </w:pPr>
            <w:r>
              <w:rPr>
                <w:b/>
                <w:color w:val="FFFFFF"/>
                <w:sz w:val="19"/>
              </w:rPr>
              <w:t>Response cache_status</w:t>
            </w:r>
          </w:p>
        </w:tc>
      </w:tr>
      <w:tr>
        <w:tc>
          <w:tcPr>
            <w:tcW w:type="dxa" w:w="3312"/>
            <w:shd w:val="clear" w:color="auto" w:fill="F0F4FF"/>
            <w:vAlign w:val="center"/>
          </w:tcPr>
          <w:p>
            <w:r>
              <w:rPr>
                <w:sz w:val="18"/>
              </w:rPr>
              <w:t>DB hit, data fresh (within TTL)</w:t>
            </w:r>
          </w:p>
        </w:tc>
        <w:tc>
          <w:tcPr>
            <w:tcW w:type="dxa" w:w="3888"/>
            <w:shd w:val="clear" w:color="auto" w:fill="F0F4FF"/>
            <w:vAlign w:val="center"/>
          </w:tcPr>
          <w:p>
            <w:r>
              <w:rPr>
                <w:sz w:val="18"/>
              </w:rPr>
              <w:t>Query SQLite, return immediately</w:t>
            </w:r>
          </w:p>
        </w:tc>
        <w:tc>
          <w:tcPr>
            <w:tcW w:type="dxa" w:w="2160"/>
            <w:shd w:val="clear" w:color="auto" w:fill="F0F4FF"/>
            <w:vAlign w:val="center"/>
          </w:tcPr>
          <w:p>
            <w:r>
              <w:rPr>
                <w:sz w:val="18"/>
              </w:rPr>
              <w:t>"hit"</w:t>
            </w:r>
          </w:p>
        </w:tc>
      </w:tr>
      <w:tr>
        <w:tc>
          <w:tcPr>
            <w:tcW w:type="dxa" w:w="3312"/>
            <w:shd w:val="clear" w:color="auto" w:fill="FFFFFF"/>
            <w:vAlign w:val="center"/>
          </w:tcPr>
          <w:p>
            <w:r>
              <w:rPr>
                <w:sz w:val="18"/>
              </w:rPr>
              <w:t>DB hit, data stale (TTL expired)</w:t>
            </w:r>
          </w:p>
        </w:tc>
        <w:tc>
          <w:tcPr>
            <w:tcW w:type="dxa" w:w="3888"/>
            <w:shd w:val="clear" w:color="auto" w:fill="FFFFFF"/>
            <w:vAlign w:val="center"/>
          </w:tcPr>
          <w:p>
            <w:r>
              <w:rPr>
                <w:sz w:val="18"/>
              </w:rPr>
              <w:t>Return DB copy + queue background KG refresh</w:t>
            </w:r>
          </w:p>
        </w:tc>
        <w:tc>
          <w:tcPr>
            <w:tcW w:type="dxa" w:w="2160"/>
            <w:shd w:val="clear" w:color="auto" w:fill="FFFFFF"/>
            <w:vAlign w:val="center"/>
          </w:tcPr>
          <w:p>
            <w:r>
              <w:rPr>
                <w:sz w:val="18"/>
              </w:rPr>
              <w:t>"stale_refresh"</w:t>
            </w:r>
          </w:p>
        </w:tc>
      </w:tr>
      <w:tr>
        <w:tc>
          <w:tcPr>
            <w:tcW w:type="dxa" w:w="3312"/>
            <w:shd w:val="clear" w:color="auto" w:fill="F0F4FF"/>
            <w:vAlign w:val="center"/>
          </w:tcPr>
          <w:p>
            <w:r>
              <w:rPr>
                <w:sz w:val="18"/>
              </w:rPr>
              <w:t>DB miss</w:t>
            </w:r>
          </w:p>
        </w:tc>
        <w:tc>
          <w:tcPr>
            <w:tcW w:type="dxa" w:w="3888"/>
            <w:shd w:val="clear" w:color="auto" w:fill="F0F4FF"/>
            <w:vAlign w:val="center"/>
          </w:tcPr>
          <w:p>
            <w:r>
              <w:rPr>
                <w:sz w:val="18"/>
              </w:rPr>
              <w:t>Query VRTI SPARQL → persist → generate Excel</w:t>
            </w:r>
          </w:p>
        </w:tc>
        <w:tc>
          <w:tcPr>
            <w:tcW w:type="dxa" w:w="2160"/>
            <w:shd w:val="clear" w:color="auto" w:fill="F0F4FF"/>
            <w:vAlign w:val="center"/>
          </w:tcPr>
          <w:p>
            <w:r>
              <w:rPr>
                <w:sz w:val="18"/>
              </w:rPr>
              <w:t>"miss"</w:t>
            </w:r>
          </w:p>
        </w:tc>
      </w:tr>
    </w:tbl>
    <w:p/>
    <w:p>
      <w:pPr>
        <w:spacing w:before="40" w:after="80"/>
      </w:pPr>
      <w:r>
        <w:rPr>
          <w:sz w:val="21"/>
        </w:rPr>
        <w:t>TTL: 7 days in development, 1 day in production (CENSUS_STALE_AFTER_DAYS config).</w:t>
      </w:r>
    </w:p>
    <w:p>
      <w:pPr>
        <w:pStyle w:val="Heading2"/>
        <w:spacing w:before="200" w:after="80"/>
      </w:pPr>
      <w:r>
        <w:rPr>
          <w:b/>
          <w:color w:val="1D4ED8"/>
          <w:sz w:val="26"/>
        </w:rPr>
        <w:t>8.2 Census Data Coverage</w:t>
      </w:r>
    </w:p>
    <w:tbl>
      <w:tblPr>
        <w:tblStyle w:val="TableGrid"/>
        <w:tblW w:type="auto" w:w="0"/>
        <w:jc w:val="left"/>
        <w:tblLook w:firstColumn="1" w:firstRow="1" w:lastColumn="0" w:lastRow="0" w:noHBand="0" w:noVBand="1" w:val="04A0"/>
      </w:tblPr>
      <w:tblGrid>
        <w:gridCol w:w="3022"/>
        <w:gridCol w:w="3022"/>
        <w:gridCol w:w="3022"/>
      </w:tblGrid>
      <w:tr>
        <w:tc>
          <w:tcPr>
            <w:tcW w:type="dxa" w:w="3600"/>
            <w:shd w:val="clear" w:color="auto" w:fill="1E3A5F"/>
          </w:tcPr>
          <w:p>
            <w:pPr>
              <w:jc w:val="left"/>
            </w:pPr>
            <w:r>
              <w:rPr>
                <w:b/>
                <w:color w:val="FFFFFF"/>
                <w:sz w:val="19"/>
              </w:rPr>
              <w:t>Year</w:t>
            </w:r>
          </w:p>
        </w:tc>
        <w:tc>
          <w:tcPr>
            <w:tcW w:type="dxa" w:w="2880"/>
            <w:shd w:val="clear" w:color="auto" w:fill="1E3A5F"/>
          </w:tcPr>
          <w:p>
            <w:pPr>
              <w:jc w:val="left"/>
            </w:pPr>
            <w:r>
              <w:rPr>
                <w:b/>
                <w:color w:val="FFFFFF"/>
                <w:sz w:val="19"/>
              </w:rPr>
              <w:t>Source</w:t>
            </w:r>
          </w:p>
        </w:tc>
        <w:tc>
          <w:tcPr>
            <w:tcW w:type="dxa" w:w="2880"/>
            <w:shd w:val="clear" w:color="auto" w:fill="1E3A5F"/>
          </w:tcPr>
          <w:p>
            <w:pPr>
              <w:jc w:val="left"/>
            </w:pPr>
            <w:r>
              <w:rPr>
                <w:b/>
                <w:color w:val="FFFFFF"/>
                <w:sz w:val="19"/>
              </w:rPr>
              <w:t>Notes</w:t>
            </w:r>
          </w:p>
        </w:tc>
      </w:tr>
      <w:tr>
        <w:tc>
          <w:tcPr>
            <w:tcW w:type="dxa" w:w="3600"/>
            <w:shd w:val="clear" w:color="auto" w:fill="F0F4FF"/>
            <w:vAlign w:val="center"/>
          </w:tcPr>
          <w:p>
            <w:r>
              <w:rPr>
                <w:sz w:val="18"/>
              </w:rPr>
              <w:t>1827, 1839, 1848, 1850, 1860, 1868</w:t>
            </w:r>
          </w:p>
        </w:tc>
        <w:tc>
          <w:tcPr>
            <w:tcW w:type="dxa" w:w="2880"/>
            <w:shd w:val="clear" w:color="auto" w:fill="F0F4FF"/>
            <w:vAlign w:val="center"/>
          </w:tcPr>
          <w:p>
            <w:r>
              <w:rPr>
                <w:sz w:val="18"/>
              </w:rPr>
              <w:t>Estate GeoJSON surveys</w:t>
            </w:r>
          </w:p>
        </w:tc>
        <w:tc>
          <w:tcPr>
            <w:tcW w:type="dxa" w:w="2880"/>
            <w:shd w:val="clear" w:color="auto" w:fill="F0F4FF"/>
            <w:vAlign w:val="center"/>
          </w:tcPr>
          <w:p>
            <w:r>
              <w:rPr>
                <w:sz w:val="18"/>
              </w:rPr>
              <w:t>Total population only (no gender split)</w:t>
            </w:r>
          </w:p>
        </w:tc>
      </w:tr>
      <w:tr>
        <w:tc>
          <w:tcPr>
            <w:tcW w:type="dxa" w:w="3600"/>
            <w:shd w:val="clear" w:color="auto" w:fill="FFFFFF"/>
            <w:vAlign w:val="center"/>
          </w:tcPr>
          <w:p>
            <w:r>
              <w:rPr>
                <w:sz w:val="18"/>
              </w:rPr>
              <w:t>1841, 1851, 1861, 1871, 1881, 1891</w:t>
            </w:r>
          </w:p>
        </w:tc>
        <w:tc>
          <w:tcPr>
            <w:tcW w:type="dxa" w:w="2880"/>
            <w:shd w:val="clear" w:color="auto" w:fill="FFFFFF"/>
            <w:vAlign w:val="center"/>
          </w:tcPr>
          <w:p>
            <w:r>
              <w:rPr>
                <w:sz w:val="18"/>
              </w:rPr>
              <w:t>VRTI Knowledge Graph (KG)</w:t>
            </w:r>
          </w:p>
        </w:tc>
        <w:tc>
          <w:tcPr>
            <w:tcW w:type="dxa" w:w="2880"/>
            <w:shd w:val="clear" w:color="auto" w:fill="FFFFFF"/>
            <w:vAlign w:val="center"/>
          </w:tcPr>
          <w:p>
            <w:r>
              <w:rPr>
                <w:sz w:val="18"/>
              </w:rPr>
              <w:t>Male + female + inhabited/uninhabited houses</w:t>
            </w:r>
          </w:p>
        </w:tc>
      </w:tr>
    </w:tbl>
    <w:p/>
    <w:p>
      <w:pPr>
        <w:spacing w:before="40" w:after="80"/>
      </w:pPr>
      <w:r>
        <w:rPr>
          <w:sz w:val="21"/>
        </w:rPr>
        <w:t>Total: 8,033 census records across 12 years and 1,319 townlands.</w:t>
      </w:r>
    </w:p>
    <w:p>
      <w:r>
        <w:br w:type="page"/>
      </w:r>
    </w:p>
    <w:p>
      <w:pPr>
        <w:pStyle w:val="Heading1"/>
        <w:spacing w:before="280" w:after="80"/>
      </w:pPr>
      <w:r>
        <w:rPr>
          <w:b/>
          <w:color w:val="0F172A"/>
          <w:sz w:val="32"/>
        </w:rPr>
        <w:t>9. Feature: Analytics Dashboard</w:t>
      </w:r>
    </w:p>
    <w:p>
      <w:pPr>
        <w:spacing w:before="40" w:after="80"/>
      </w:pPr>
      <w:r>
        <w:rPr>
          <w:sz w:val="21"/>
        </w:rPr>
        <w:t>A pluggable analytics dashboard showing KPIs and Chart.js visualisations for each dataset. The framework is designed for extensibility: adding a new dataset requires only creating a module file with a MODULE object — no registration step needed.</w:t>
      </w:r>
    </w:p>
    <w:p>
      <w:pPr>
        <w:pStyle w:val="Heading2"/>
        <w:spacing w:before="200" w:after="80"/>
      </w:pPr>
      <w:r>
        <w:rPr>
          <w:b/>
          <w:color w:val="1D4ED8"/>
          <w:sz w:val="26"/>
        </w:rPr>
        <w:t>9.1 AnalyticsModule Protocol</w:t>
      </w:r>
    </w:p>
    <w:p>
      <w:pPr>
        <w:spacing w:before="40" w:after="40"/>
        <w:ind w:left="432"/>
      </w:pPr>
      <w:r>
        <w:rPr>
          <w:rFonts w:ascii="Courier New" w:hAnsi="Courier New"/>
          <w:color w:val="1E40AF"/>
          <w:sz w:val="17"/>
        </w:rPr>
        <w:t>class AnalyticsModule(Protocol):</w:t>
      </w:r>
    </w:p>
    <w:p>
      <w:pPr>
        <w:spacing w:before="40" w:after="40"/>
        <w:ind w:left="432"/>
      </w:pPr>
      <w:r>
        <w:rPr>
          <w:rFonts w:ascii="Courier New" w:hAnsi="Courier New"/>
          <w:color w:val="1E40AF"/>
          <w:sz w:val="17"/>
        </w:rPr>
        <w:t xml:space="preserve">    dataset_id:   str</w:t>
      </w:r>
    </w:p>
    <w:p>
      <w:pPr>
        <w:spacing w:before="40" w:after="40"/>
        <w:ind w:left="432"/>
      </w:pPr>
      <w:r>
        <w:rPr>
          <w:rFonts w:ascii="Courier New" w:hAnsi="Courier New"/>
          <w:color w:val="1E40AF"/>
          <w:sz w:val="17"/>
        </w:rPr>
        <w:t xml:space="preserve">    dataset_name: str</w:t>
      </w:r>
    </w:p>
    <w:p>
      <w:pPr>
        <w:spacing w:before="40" w:after="40"/>
        <w:ind w:left="432"/>
      </w:pPr>
      <w:r>
        <w:rPr>
          <w:rFonts w:ascii="Courier New" w:hAnsi="Courier New"/>
          <w:color w:val="1E40AF"/>
          <w:sz w:val="17"/>
        </w:rPr>
        <w:t xml:space="preserve">    description:  str</w:t>
      </w:r>
    </w:p>
    <w:p>
      <w:pPr>
        <w:spacing w:before="40" w:after="40"/>
        <w:ind w:left="432"/>
      </w:pPr>
      <w:r>
        <w:rPr>
          <w:rFonts w:ascii="Courier New" w:hAnsi="Courier New"/>
          <w:color w:val="1E40AF"/>
          <w:sz w:val="17"/>
        </w:rPr>
        <w:t xml:space="preserve">    def compute(self) -&gt; AnalyticsResult: ...</w:t>
      </w:r>
    </w:p>
    <w:p>
      <w:pPr>
        <w:spacing w:before="40" w:after="80"/>
      </w:pPr>
      <w:r>
        <w:rPr>
          <w:sz w:val="21"/>
        </w:rPr>
        <w:t>analytics/registry.py auto-discovers all .py files in the analytics/ directory and collects those defining a MODULE attribute.</w:t>
      </w:r>
    </w:p>
    <w:p>
      <w:pPr>
        <w:pStyle w:val="Heading2"/>
        <w:spacing w:before="200" w:after="80"/>
      </w:pPr>
      <w:r>
        <w:rPr>
          <w:b/>
          <w:color w:val="1D4ED8"/>
          <w:sz w:val="26"/>
        </w:rPr>
        <w:t>9.2 Current Analytics Modules</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E3A5F"/>
          </w:tcPr>
          <w:p>
            <w:pPr>
              <w:jc w:val="left"/>
            </w:pPr>
            <w:r>
              <w:rPr>
                <w:b/>
                <w:color w:val="FFFFFF"/>
                <w:sz w:val="19"/>
              </w:rPr>
              <w:t>Module</w:t>
            </w:r>
          </w:p>
        </w:tc>
        <w:tc>
          <w:tcPr>
            <w:tcW w:type="dxa" w:w="2448"/>
            <w:shd w:val="clear" w:color="auto" w:fill="1E3A5F"/>
          </w:tcPr>
          <w:p>
            <w:pPr>
              <w:jc w:val="left"/>
            </w:pPr>
            <w:r>
              <w:rPr>
                <w:b/>
                <w:color w:val="FFFFFF"/>
                <w:sz w:val="19"/>
              </w:rPr>
              <w:t>Dataset ID</w:t>
            </w:r>
          </w:p>
        </w:tc>
        <w:tc>
          <w:tcPr>
            <w:tcW w:type="dxa" w:w="4752"/>
            <w:shd w:val="clear" w:color="auto" w:fill="1E3A5F"/>
          </w:tcPr>
          <w:p>
            <w:pPr>
              <w:jc w:val="left"/>
            </w:pPr>
            <w:r>
              <w:rPr>
                <w:b/>
                <w:color w:val="FFFFFF"/>
                <w:sz w:val="19"/>
              </w:rPr>
              <w:t>Key KPIs / Charts</w:t>
            </w:r>
          </w:p>
        </w:tc>
      </w:tr>
      <w:tr>
        <w:tc>
          <w:tcPr>
            <w:tcW w:type="dxa" w:w="2160"/>
            <w:shd w:val="clear" w:color="auto" w:fill="F0F4FF"/>
            <w:vAlign w:val="center"/>
          </w:tcPr>
          <w:p>
            <w:r>
              <w:rPr>
                <w:sz w:val="18"/>
              </w:rPr>
              <w:t>emigrations.py</w:t>
            </w:r>
          </w:p>
        </w:tc>
        <w:tc>
          <w:tcPr>
            <w:tcW w:type="dxa" w:w="2448"/>
            <w:shd w:val="clear" w:color="auto" w:fill="F0F4FF"/>
            <w:vAlign w:val="center"/>
          </w:tcPr>
          <w:p>
            <w:r>
              <w:rPr>
                <w:sz w:val="18"/>
              </w:rPr>
              <w:t>emigration_stats</w:t>
            </w:r>
          </w:p>
        </w:tc>
        <w:tc>
          <w:tcPr>
            <w:tcW w:type="dxa" w:w="4752"/>
            <w:shd w:val="clear" w:color="auto" w:fill="F0F4FF"/>
            <w:vAlign w:val="center"/>
          </w:tcPr>
          <w:p>
            <w:r>
              <w:rPr>
                <w:sz w:val="18"/>
              </w:rPr>
              <w:t>Total emigrants, year trend, top townlands, Canada vs other destinations</w:t>
            </w:r>
          </w:p>
        </w:tc>
      </w:tr>
      <w:tr>
        <w:tc>
          <w:tcPr>
            <w:tcW w:type="dxa" w:w="2160"/>
            <w:shd w:val="clear" w:color="auto" w:fill="FFFFFF"/>
            <w:vAlign w:val="center"/>
          </w:tcPr>
          <w:p>
            <w:r>
              <w:rPr>
                <w:sz w:val="18"/>
              </w:rPr>
              <w:t>evictions.py</w:t>
            </w:r>
          </w:p>
        </w:tc>
        <w:tc>
          <w:tcPr>
            <w:tcW w:type="dxa" w:w="2448"/>
            <w:shd w:val="clear" w:color="auto" w:fill="FFFFFF"/>
            <w:vAlign w:val="center"/>
          </w:tcPr>
          <w:p>
            <w:r>
              <w:rPr>
                <w:sz w:val="18"/>
              </w:rPr>
              <w:t>evictions_stats</w:t>
            </w:r>
          </w:p>
        </w:tc>
        <w:tc>
          <w:tcPr>
            <w:tcW w:type="dxa" w:w="4752"/>
            <w:shd w:val="clear" w:color="auto" w:fill="FFFFFF"/>
            <w:vAlign w:val="center"/>
          </w:tcPr>
          <w:p>
            <w:r>
              <w:rPr>
                <w:sz w:val="18"/>
              </w:rPr>
              <w:t>Total evictions, per-year trend, clearances breakdown, geographic distribution</w:t>
            </w:r>
          </w:p>
        </w:tc>
      </w:tr>
      <w:tr>
        <w:tc>
          <w:tcPr>
            <w:tcW w:type="dxa" w:w="2160"/>
            <w:shd w:val="clear" w:color="auto" w:fill="F0F4FF"/>
            <w:vAlign w:val="center"/>
          </w:tcPr>
          <w:p>
            <w:r>
              <w:rPr>
                <w:sz w:val="18"/>
              </w:rPr>
              <w:t>tenancies.py</w:t>
            </w:r>
          </w:p>
        </w:tc>
        <w:tc>
          <w:tcPr>
            <w:tcW w:type="dxa" w:w="2448"/>
            <w:shd w:val="clear" w:color="auto" w:fill="F0F4FF"/>
            <w:vAlign w:val="center"/>
          </w:tcPr>
          <w:p>
            <w:r>
              <w:rPr>
                <w:sz w:val="18"/>
              </w:rPr>
              <w:t>tenancy_stats</w:t>
            </w:r>
          </w:p>
        </w:tc>
        <w:tc>
          <w:tcPr>
            <w:tcW w:type="dxa" w:w="4752"/>
            <w:shd w:val="clear" w:color="auto" w:fill="F0F4FF"/>
            <w:vAlign w:val="center"/>
          </w:tcPr>
          <w:p>
            <w:r>
              <w:rPr>
                <w:sz w:val="18"/>
              </w:rPr>
              <w:t>Tenancy count, family size distribution, holding acres histogram</w:t>
            </w:r>
          </w:p>
        </w:tc>
      </w:tr>
      <w:tr>
        <w:tc>
          <w:tcPr>
            <w:tcW w:type="dxa" w:w="2160"/>
            <w:shd w:val="clear" w:color="auto" w:fill="FFFFFF"/>
            <w:vAlign w:val="center"/>
          </w:tcPr>
          <w:p>
            <w:r>
              <w:rPr>
                <w:sz w:val="18"/>
              </w:rPr>
              <w:t>townland_geo.py</w:t>
            </w:r>
          </w:p>
        </w:tc>
        <w:tc>
          <w:tcPr>
            <w:tcW w:type="dxa" w:w="2448"/>
            <w:shd w:val="clear" w:color="auto" w:fill="FFFFFF"/>
            <w:vAlign w:val="center"/>
          </w:tcPr>
          <w:p>
            <w:r>
              <w:rPr>
                <w:sz w:val="18"/>
              </w:rPr>
              <w:t>townland_geography</w:t>
            </w:r>
          </w:p>
        </w:tc>
        <w:tc>
          <w:tcPr>
            <w:tcW w:type="dxa" w:w="4752"/>
            <w:shd w:val="clear" w:color="auto" w:fill="FFFFFF"/>
            <w:vAlign w:val="center"/>
          </w:tcPr>
          <w:p>
            <w:r>
              <w:rPr>
                <w:sz w:val="18"/>
              </w:rPr>
              <w:t>Townland count, area distribution, parish breakdown</w:t>
            </w:r>
          </w:p>
        </w:tc>
      </w:tr>
      <w:tr>
        <w:tc>
          <w:tcPr>
            <w:tcW w:type="dxa" w:w="2160"/>
            <w:shd w:val="clear" w:color="auto" w:fill="F0F4FF"/>
            <w:vAlign w:val="center"/>
          </w:tcPr>
          <w:p>
            <w:r>
              <w:rPr>
                <w:sz w:val="18"/>
              </w:rPr>
              <w:t>unified.py</w:t>
            </w:r>
          </w:p>
        </w:tc>
        <w:tc>
          <w:tcPr>
            <w:tcW w:type="dxa" w:w="2448"/>
            <w:shd w:val="clear" w:color="auto" w:fill="F0F4FF"/>
            <w:vAlign w:val="center"/>
          </w:tcPr>
          <w:p>
            <w:r>
              <w:rPr>
                <w:sz w:val="18"/>
              </w:rPr>
              <w:t>unified_overview</w:t>
            </w:r>
          </w:p>
        </w:tc>
        <w:tc>
          <w:tcPr>
            <w:tcW w:type="dxa" w:w="4752"/>
            <w:shd w:val="clear" w:color="auto" w:fill="F0F4FF"/>
            <w:vAlign w:val="center"/>
          </w:tcPr>
          <w:p>
            <w:r>
              <w:rPr>
                <w:sz w:val="18"/>
              </w:rPr>
              <w:t>Total records, surname frequency top-10, field coverage metrics</w:t>
            </w:r>
          </w:p>
        </w:tc>
      </w:tr>
    </w:tbl>
    <w:p/>
    <w:p>
      <w:r>
        <w:br w:type="page"/>
      </w:r>
    </w:p>
    <w:p>
      <w:pPr>
        <w:pStyle w:val="Heading1"/>
        <w:spacing w:before="280" w:after="80"/>
      </w:pPr>
      <w:r>
        <w:rPr>
          <w:b/>
          <w:color w:val="0F172A"/>
          <w:sz w:val="32"/>
        </w:rPr>
        <w:t>10. Feature: Natural-Language Ask (LLM Q&amp;A)</w:t>
      </w:r>
    </w:p>
    <w:p>
      <w:pPr>
        <w:spacing w:before="40" w:after="80"/>
      </w:pPr>
      <w:r>
        <w:rPr>
          <w:sz w:val="21"/>
        </w:rPr>
        <w:t>The Ask page accepts a free-text historical research question, processes it through an 11-stage pipeline, and returns a precise, data-backed answer. The pipeline combines rule-based SQL template matching (fast path, no LLM) with LLM-generated SQL (slow path), VRTI and GraphDB enrichment, natural-language rewriting, and PDF report generation.</w:t>
      </w:r>
    </w:p>
    <w:p>
      <w:pPr>
        <w:pStyle w:val="Heading2"/>
        <w:spacing w:before="200" w:after="80"/>
      </w:pPr>
      <w:r>
        <w:rPr>
          <w:b/>
          <w:color w:val="1D4ED8"/>
          <w:sz w:val="26"/>
        </w:rPr>
        <w:t>10.1 Pipeline Stages (SSE Events)</w:t>
      </w:r>
    </w:p>
    <w:tbl>
      <w:tblPr>
        <w:tblStyle w:val="TableGrid"/>
        <w:tblW w:type="auto" w:w="0"/>
        <w:jc w:val="left"/>
        <w:tblLook w:firstColumn="1" w:firstRow="1" w:lastColumn="0" w:lastRow="0" w:noHBand="0" w:noVBand="1" w:val="04A0"/>
      </w:tblPr>
      <w:tblGrid>
        <w:gridCol w:w="3022"/>
        <w:gridCol w:w="3022"/>
        <w:gridCol w:w="3022"/>
      </w:tblGrid>
      <w:tr>
        <w:tc>
          <w:tcPr>
            <w:tcW w:type="dxa" w:w="720"/>
            <w:shd w:val="clear" w:color="auto" w:fill="1E3A5F"/>
          </w:tcPr>
          <w:p>
            <w:pPr>
              <w:jc w:val="left"/>
            </w:pPr>
            <w:r>
              <w:rPr>
                <w:b/>
                <w:color w:val="FFFFFF"/>
                <w:sz w:val="19"/>
              </w:rPr>
              <w:t>Stage</w:t>
            </w:r>
          </w:p>
        </w:tc>
        <w:tc>
          <w:tcPr>
            <w:tcW w:type="dxa" w:w="2880"/>
            <w:shd w:val="clear" w:color="auto" w:fill="1E3A5F"/>
          </w:tcPr>
          <w:p>
            <w:pPr>
              <w:jc w:val="left"/>
            </w:pPr>
            <w:r>
              <w:rPr>
                <w:b/>
                <w:color w:val="FFFFFF"/>
                <w:sz w:val="19"/>
              </w:rPr>
              <w:t>Event Type</w:t>
            </w:r>
          </w:p>
        </w:tc>
        <w:tc>
          <w:tcPr>
            <w:tcW w:type="dxa" w:w="5760"/>
            <w:shd w:val="clear" w:color="auto" w:fill="1E3A5F"/>
          </w:tcPr>
          <w:p>
            <w:pPr>
              <w:jc w:val="left"/>
            </w:pPr>
            <w:r>
              <w:rPr>
                <w:b/>
                <w:color w:val="FFFFFF"/>
                <w:sz w:val="19"/>
              </w:rPr>
              <w:t>Description</w:t>
            </w:r>
          </w:p>
        </w:tc>
      </w:tr>
      <w:tr>
        <w:tc>
          <w:tcPr>
            <w:tcW w:type="dxa" w:w="720"/>
            <w:shd w:val="clear" w:color="auto" w:fill="F0F4FF"/>
            <w:vAlign w:val="center"/>
          </w:tcPr>
          <w:p>
            <w:r>
              <w:rPr>
                <w:sz w:val="18"/>
              </w:rPr>
              <w:t>1</w:t>
            </w:r>
          </w:p>
        </w:tc>
        <w:tc>
          <w:tcPr>
            <w:tcW w:type="dxa" w:w="2880"/>
            <w:shd w:val="clear" w:color="auto" w:fill="F0F4FF"/>
            <w:vAlign w:val="center"/>
          </w:tcPr>
          <w:p>
            <w:r>
              <w:rPr>
                <w:sz w:val="18"/>
              </w:rPr>
              <w:t>initializing</w:t>
            </w:r>
          </w:p>
        </w:tc>
        <w:tc>
          <w:tcPr>
            <w:tcW w:type="dxa" w:w="5760"/>
            <w:shd w:val="clear" w:color="auto" w:fill="F0F4FF"/>
            <w:vAlign w:val="center"/>
          </w:tcPr>
          <w:p>
            <w:r>
              <w:rPr>
                <w:sz w:val="18"/>
              </w:rPr>
              <w:t>Pipeline starts</w:t>
            </w:r>
          </w:p>
        </w:tc>
      </w:tr>
      <w:tr>
        <w:tc>
          <w:tcPr>
            <w:tcW w:type="dxa" w:w="720"/>
            <w:shd w:val="clear" w:color="auto" w:fill="FFFFFF"/>
            <w:vAlign w:val="center"/>
          </w:tcPr>
          <w:p>
            <w:r>
              <w:rPr>
                <w:sz w:val="18"/>
              </w:rPr>
              <w:t>2</w:t>
            </w:r>
          </w:p>
        </w:tc>
        <w:tc>
          <w:tcPr>
            <w:tcW w:type="dxa" w:w="2880"/>
            <w:shd w:val="clear" w:color="auto" w:fill="FFFFFF"/>
            <w:vAlign w:val="center"/>
          </w:tcPr>
          <w:p>
            <w:r>
              <w:rPr>
                <w:sz w:val="18"/>
              </w:rPr>
              <w:t>loading_context</w:t>
            </w:r>
          </w:p>
        </w:tc>
        <w:tc>
          <w:tcPr>
            <w:tcW w:type="dxa" w:w="5760"/>
            <w:shd w:val="clear" w:color="auto" w:fill="FFFFFF"/>
            <w:vAlign w:val="center"/>
          </w:tcPr>
          <w:p>
            <w:r>
              <w:rPr>
                <w:sz w:val="18"/>
              </w:rPr>
              <w:t>Seed unified_record + heritage tables from CSV/GeoJSON</w:t>
            </w:r>
          </w:p>
        </w:tc>
      </w:tr>
      <w:tr>
        <w:tc>
          <w:tcPr>
            <w:tcW w:type="dxa" w:w="720"/>
            <w:shd w:val="clear" w:color="auto" w:fill="F0F4FF"/>
            <w:vAlign w:val="center"/>
          </w:tcPr>
          <w:p>
            <w:r>
              <w:rPr>
                <w:sz w:val="18"/>
              </w:rPr>
              <w:t>3</w:t>
            </w:r>
          </w:p>
        </w:tc>
        <w:tc>
          <w:tcPr>
            <w:tcW w:type="dxa" w:w="2880"/>
            <w:shd w:val="clear" w:color="auto" w:fill="F0F4FF"/>
            <w:vAlign w:val="center"/>
          </w:tcPr>
          <w:p>
            <w:r>
              <w:rPr>
                <w:sz w:val="18"/>
              </w:rPr>
              <w:t>running_template_match</w:t>
            </w:r>
          </w:p>
        </w:tc>
        <w:tc>
          <w:tcPr>
            <w:tcW w:type="dxa" w:w="5760"/>
            <w:shd w:val="clear" w:color="auto" w:fill="F0F4FF"/>
            <w:vAlign w:val="center"/>
          </w:tcPr>
          <w:p>
            <w:r>
              <w:rPr>
                <w:sz w:val="18"/>
              </w:rPr>
              <w:t>Keyword-scored SQL template search (100+ templates)</w:t>
            </w:r>
          </w:p>
        </w:tc>
      </w:tr>
      <w:tr>
        <w:tc>
          <w:tcPr>
            <w:tcW w:type="dxa" w:w="720"/>
            <w:shd w:val="clear" w:color="auto" w:fill="FFFFFF"/>
            <w:vAlign w:val="center"/>
          </w:tcPr>
          <w:p>
            <w:r>
              <w:rPr>
                <w:sz w:val="18"/>
              </w:rPr>
              <w:t>4</w:t>
            </w:r>
          </w:p>
        </w:tc>
        <w:tc>
          <w:tcPr>
            <w:tcW w:type="dxa" w:w="2880"/>
            <w:shd w:val="clear" w:color="auto" w:fill="FFFFFF"/>
            <w:vAlign w:val="center"/>
          </w:tcPr>
          <w:p>
            <w:r>
              <w:rPr>
                <w:sz w:val="18"/>
              </w:rPr>
              <w:t>townland_resolution</w:t>
            </w:r>
          </w:p>
        </w:tc>
        <w:tc>
          <w:tcPr>
            <w:tcW w:type="dxa" w:w="5760"/>
            <w:shd w:val="clear" w:color="auto" w:fill="FFFFFF"/>
            <w:vAlign w:val="center"/>
          </w:tcPr>
          <w:p>
            <w:r>
              <w:rPr>
                <w:sz w:val="18"/>
              </w:rPr>
              <w:t>Exact → fuzzy → alias → 'did you mean?' matching</w:t>
            </w:r>
          </w:p>
        </w:tc>
      </w:tr>
      <w:tr>
        <w:tc>
          <w:tcPr>
            <w:tcW w:type="dxa" w:w="720"/>
            <w:shd w:val="clear" w:color="auto" w:fill="F0F4FF"/>
            <w:vAlign w:val="center"/>
          </w:tcPr>
          <w:p>
            <w:r>
              <w:rPr>
                <w:sz w:val="18"/>
              </w:rPr>
              <w:t>5</w:t>
            </w:r>
          </w:p>
        </w:tc>
        <w:tc>
          <w:tcPr>
            <w:tcW w:type="dxa" w:w="2880"/>
            <w:shd w:val="clear" w:color="auto" w:fill="F0F4FF"/>
            <w:vAlign w:val="center"/>
          </w:tcPr>
          <w:p>
            <w:r>
              <w:rPr>
                <w:sz w:val="18"/>
              </w:rPr>
              <w:t>contacting_llm</w:t>
            </w:r>
          </w:p>
        </w:tc>
        <w:tc>
          <w:tcPr>
            <w:tcW w:type="dxa" w:w="5760"/>
            <w:shd w:val="clear" w:color="auto" w:fill="F0F4FF"/>
            <w:vAlign w:val="center"/>
          </w:tcPr>
          <w:p>
            <w:r>
              <w:rPr>
                <w:sz w:val="18"/>
              </w:rPr>
              <w:t>Triggered only if no template matched</w:t>
            </w:r>
          </w:p>
        </w:tc>
      </w:tr>
      <w:tr>
        <w:tc>
          <w:tcPr>
            <w:tcW w:type="dxa" w:w="720"/>
            <w:shd w:val="clear" w:color="auto" w:fill="FFFFFF"/>
            <w:vAlign w:val="center"/>
          </w:tcPr>
          <w:p>
            <w:r>
              <w:rPr>
                <w:sz w:val="18"/>
              </w:rPr>
              <w:t>6</w:t>
            </w:r>
          </w:p>
        </w:tc>
        <w:tc>
          <w:tcPr>
            <w:tcW w:type="dxa" w:w="2880"/>
            <w:shd w:val="clear" w:color="auto" w:fill="FFFFFF"/>
            <w:vAlign w:val="center"/>
          </w:tcPr>
          <w:p>
            <w:r>
              <w:rPr>
                <w:sz w:val="18"/>
              </w:rPr>
              <w:t>framing_query</w:t>
            </w:r>
          </w:p>
        </w:tc>
        <w:tc>
          <w:tcPr>
            <w:tcW w:type="dxa" w:w="5760"/>
            <w:shd w:val="clear" w:color="auto" w:fill="FFFFFF"/>
            <w:vAlign w:val="center"/>
          </w:tcPr>
          <w:p>
            <w:r>
              <w:rPr>
                <w:sz w:val="18"/>
              </w:rPr>
              <w:t>LLM generating parameterised SQL</w:t>
            </w:r>
          </w:p>
        </w:tc>
      </w:tr>
      <w:tr>
        <w:tc>
          <w:tcPr>
            <w:tcW w:type="dxa" w:w="720"/>
            <w:shd w:val="clear" w:color="auto" w:fill="F0F4FF"/>
            <w:vAlign w:val="center"/>
          </w:tcPr>
          <w:p>
            <w:r>
              <w:rPr>
                <w:sz w:val="18"/>
              </w:rPr>
              <w:t>7</w:t>
            </w:r>
          </w:p>
        </w:tc>
        <w:tc>
          <w:tcPr>
            <w:tcW w:type="dxa" w:w="2880"/>
            <w:shd w:val="clear" w:color="auto" w:fill="F0F4FF"/>
            <w:vAlign w:val="center"/>
          </w:tcPr>
          <w:p>
            <w:r>
              <w:rPr>
                <w:sz w:val="18"/>
              </w:rPr>
              <w:t>querying_database</w:t>
            </w:r>
          </w:p>
        </w:tc>
        <w:tc>
          <w:tcPr>
            <w:tcW w:type="dxa" w:w="5760"/>
            <w:shd w:val="clear" w:color="auto" w:fill="F0F4FF"/>
            <w:vAlign w:val="center"/>
          </w:tcPr>
          <w:p>
            <w:r>
              <w:rPr>
                <w:sz w:val="18"/>
              </w:rPr>
              <w:t>Execute validated SQL against SQLite</w:t>
            </w:r>
          </w:p>
        </w:tc>
      </w:tr>
      <w:tr>
        <w:tc>
          <w:tcPr>
            <w:tcW w:type="dxa" w:w="720"/>
            <w:shd w:val="clear" w:color="auto" w:fill="FFFFFF"/>
            <w:vAlign w:val="center"/>
          </w:tcPr>
          <w:p>
            <w:r>
              <w:rPr>
                <w:sz w:val="18"/>
              </w:rPr>
              <w:t>8</w:t>
            </w:r>
          </w:p>
        </w:tc>
        <w:tc>
          <w:tcPr>
            <w:tcW w:type="dxa" w:w="2880"/>
            <w:shd w:val="clear" w:color="auto" w:fill="FFFFFF"/>
            <w:vAlign w:val="center"/>
          </w:tcPr>
          <w:p>
            <w:r>
              <w:rPr>
                <w:sz w:val="18"/>
              </w:rPr>
              <w:t>querying_vrti_graph</w:t>
            </w:r>
          </w:p>
        </w:tc>
        <w:tc>
          <w:tcPr>
            <w:tcW w:type="dxa" w:w="5760"/>
            <w:shd w:val="clear" w:color="auto" w:fill="FFFFFF"/>
            <w:vAlign w:val="center"/>
          </w:tcPr>
          <w:p>
            <w:r>
              <w:rPr>
                <w:sz w:val="18"/>
              </w:rPr>
              <w:t>VRTI SPARQL enrichment (parallel with DB query)</w:t>
            </w:r>
          </w:p>
        </w:tc>
      </w:tr>
      <w:tr>
        <w:tc>
          <w:tcPr>
            <w:tcW w:type="dxa" w:w="720"/>
            <w:shd w:val="clear" w:color="auto" w:fill="F0F4FF"/>
            <w:vAlign w:val="center"/>
          </w:tcPr>
          <w:p>
            <w:r>
              <w:rPr>
                <w:sz w:val="18"/>
              </w:rPr>
              <w:t>9</w:t>
            </w:r>
          </w:p>
        </w:tc>
        <w:tc>
          <w:tcPr>
            <w:tcW w:type="dxa" w:w="2880"/>
            <w:shd w:val="clear" w:color="auto" w:fill="F0F4FF"/>
            <w:vAlign w:val="center"/>
          </w:tcPr>
          <w:p>
            <w:r>
              <w:rPr>
                <w:sz w:val="18"/>
              </w:rPr>
              <w:t>querying_graphdb</w:t>
            </w:r>
          </w:p>
        </w:tc>
        <w:tc>
          <w:tcPr>
            <w:tcW w:type="dxa" w:w="5760"/>
            <w:shd w:val="clear" w:color="auto" w:fill="F0F4FF"/>
            <w:vAlign w:val="center"/>
          </w:tcPr>
          <w:p>
            <w:r>
              <w:rPr>
                <w:sz w:val="18"/>
              </w:rPr>
              <w:t>GraphDB SPARQL (if enabled) for SQL vs SPARQL comparison</w:t>
            </w:r>
          </w:p>
        </w:tc>
      </w:tr>
      <w:tr>
        <w:tc>
          <w:tcPr>
            <w:tcW w:type="dxa" w:w="720"/>
            <w:shd w:val="clear" w:color="auto" w:fill="FFFFFF"/>
            <w:vAlign w:val="center"/>
          </w:tcPr>
          <w:p>
            <w:r>
              <w:rPr>
                <w:sz w:val="18"/>
              </w:rPr>
              <w:t>10</w:t>
            </w:r>
          </w:p>
        </w:tc>
        <w:tc>
          <w:tcPr>
            <w:tcW w:type="dxa" w:w="2880"/>
            <w:shd w:val="clear" w:color="auto" w:fill="FFFFFF"/>
            <w:vAlign w:val="center"/>
          </w:tcPr>
          <w:p>
            <w:r>
              <w:rPr>
                <w:sz w:val="18"/>
              </w:rPr>
              <w:t>preparing_output</w:t>
            </w:r>
          </w:p>
        </w:tc>
        <w:tc>
          <w:tcPr>
            <w:tcW w:type="dxa" w:w="5760"/>
            <w:shd w:val="clear" w:color="auto" w:fill="FFFFFF"/>
            <w:vAlign w:val="center"/>
          </w:tcPr>
          <w:p>
            <w:r>
              <w:rPr>
                <w:sz w:val="18"/>
              </w:rPr>
              <w:t>LLM rewrite to natural language + PDF generation</w:t>
            </w:r>
          </w:p>
        </w:tc>
      </w:tr>
      <w:tr>
        <w:tc>
          <w:tcPr>
            <w:tcW w:type="dxa" w:w="720"/>
            <w:shd w:val="clear" w:color="auto" w:fill="F0F4FF"/>
            <w:vAlign w:val="center"/>
          </w:tcPr>
          <w:p>
            <w:r>
              <w:rPr>
                <w:sz w:val="18"/>
              </w:rPr>
              <w:t>11</w:t>
            </w:r>
          </w:p>
        </w:tc>
        <w:tc>
          <w:tcPr>
            <w:tcW w:type="dxa" w:w="2880"/>
            <w:shd w:val="clear" w:color="auto" w:fill="F0F4FF"/>
            <w:vAlign w:val="center"/>
          </w:tcPr>
          <w:p>
            <w:r>
              <w:rPr>
                <w:sz w:val="18"/>
              </w:rPr>
              <w:t>complete</w:t>
            </w:r>
          </w:p>
        </w:tc>
        <w:tc>
          <w:tcPr>
            <w:tcW w:type="dxa" w:w="5760"/>
            <w:shd w:val="clear" w:color="auto" w:fill="F0F4FF"/>
            <w:vAlign w:val="center"/>
          </w:tcPr>
          <w:p>
            <w:r>
              <w:rPr>
                <w:sz w:val="18"/>
              </w:rPr>
              <w:t>Final result JSON emitted</w:t>
            </w:r>
          </w:p>
        </w:tc>
      </w:tr>
    </w:tbl>
    <w:p/>
    <w:p>
      <w:pPr>
        <w:pStyle w:val="Heading2"/>
        <w:spacing w:before="200" w:after="80"/>
      </w:pPr>
      <w:r>
        <w:rPr>
          <w:b/>
          <w:color w:val="1D4ED8"/>
          <w:sz w:val="26"/>
        </w:rPr>
        <w:t>10.2 Template Matching (Fast Path)</w:t>
      </w:r>
    </w:p>
    <w:p>
      <w:pPr>
        <w:spacing w:before="40" w:after="80"/>
      </w:pPr>
      <w:r>
        <w:rPr>
          <w:sz w:val="21"/>
        </w:rPr>
        <w:t>The most impactful performance optimisation: 100+ pre-verified SQL templates matched by keyword scoring using difflib.SequenceMatcher. Response time without LLM: &lt; 100ms. Response time with LLM: 3–15 seconds. Template matching succeeds for approximately 60% of common research questions.</w:t>
      </w:r>
    </w:p>
    <w:p>
      <w:pPr>
        <w:spacing w:before="40" w:after="80"/>
      </w:pPr>
      <w:r>
        <w:rPr>
          <w:sz w:val="21"/>
        </w:rPr>
        <w:t>15 Verified Analysis Templates handle high-confidence research queries and include chart_hint metadata (bar, line, doughnut) for frontend visualisation: tenant_land_gender_average, widows_with_children_proportion, emigration_population_townland_trend, clearances_eviction_comparison, etc.</w:t>
      </w:r>
    </w:p>
    <w:p>
      <w:pPr>
        <w:pStyle w:val="Heading2"/>
        <w:spacing w:before="200" w:after="80"/>
      </w:pPr>
      <w:r>
        <w:rPr>
          <w:b/>
          <w:color w:val="1D4ED8"/>
          <w:sz w:val="26"/>
        </w:rPr>
        <w:t>10.3 Townland Resolution</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E3A5F"/>
          </w:tcPr>
          <w:p>
            <w:pPr>
              <w:jc w:val="left"/>
            </w:pPr>
            <w:r>
              <w:rPr>
                <w:b/>
                <w:color w:val="FFFFFF"/>
                <w:sz w:val="19"/>
              </w:rPr>
              <w:t>Step</w:t>
            </w:r>
          </w:p>
        </w:tc>
        <w:tc>
          <w:tcPr>
            <w:tcW w:type="dxa" w:w="5040"/>
            <w:shd w:val="clear" w:color="auto" w:fill="1E3A5F"/>
          </w:tcPr>
          <w:p>
            <w:pPr>
              <w:jc w:val="left"/>
            </w:pPr>
            <w:r>
              <w:rPr>
                <w:b/>
                <w:color w:val="FFFFFF"/>
                <w:sz w:val="19"/>
              </w:rPr>
              <w:t>Method</w:t>
            </w:r>
          </w:p>
        </w:tc>
        <w:tc>
          <w:tcPr>
            <w:tcW w:type="dxa" w:w="1728"/>
            <w:shd w:val="clear" w:color="auto" w:fill="1E3A5F"/>
          </w:tcPr>
          <w:p>
            <w:pPr>
              <w:jc w:val="left"/>
            </w:pPr>
            <w:r>
              <w:rPr>
                <w:b/>
                <w:color w:val="FFFFFF"/>
                <w:sz w:val="19"/>
              </w:rPr>
              <w:t>Threshold</w:t>
            </w:r>
          </w:p>
        </w:tc>
      </w:tr>
      <w:tr>
        <w:tc>
          <w:tcPr>
            <w:tcW w:type="dxa" w:w="2592"/>
            <w:shd w:val="clear" w:color="auto" w:fill="F0F4FF"/>
            <w:vAlign w:val="center"/>
          </w:tcPr>
          <w:p>
            <w:r>
              <w:rPr>
                <w:sz w:val="18"/>
              </w:rPr>
              <w:t>1 — Exact match</w:t>
            </w:r>
          </w:p>
        </w:tc>
        <w:tc>
          <w:tcPr>
            <w:tcW w:type="dxa" w:w="5040"/>
            <w:shd w:val="clear" w:color="auto" w:fill="F0F4FF"/>
            <w:vAlign w:val="center"/>
          </w:tcPr>
          <w:p>
            <w:r>
              <w:rPr>
                <w:sz w:val="18"/>
              </w:rPr>
              <w:t>UPPER(name) = UPPER(input) in SQLite townland table</w:t>
            </w:r>
          </w:p>
        </w:tc>
        <w:tc>
          <w:tcPr>
            <w:tcW w:type="dxa" w:w="1728"/>
            <w:shd w:val="clear" w:color="auto" w:fill="F0F4FF"/>
            <w:vAlign w:val="center"/>
          </w:tcPr>
          <w:p>
            <w:r>
              <w:rPr>
                <w:sz w:val="18"/>
              </w:rPr>
              <w:t>—</w:t>
            </w:r>
          </w:p>
        </w:tc>
      </w:tr>
      <w:tr>
        <w:tc>
          <w:tcPr>
            <w:tcW w:type="dxa" w:w="2592"/>
            <w:shd w:val="clear" w:color="auto" w:fill="FFFFFF"/>
            <w:vAlign w:val="center"/>
          </w:tcPr>
          <w:p>
            <w:r>
              <w:rPr>
                <w:sz w:val="18"/>
              </w:rPr>
              <w:t>2 — Fuzzy match</w:t>
            </w:r>
          </w:p>
        </w:tc>
        <w:tc>
          <w:tcPr>
            <w:tcW w:type="dxa" w:w="5040"/>
            <w:shd w:val="clear" w:color="auto" w:fill="FFFFFF"/>
            <w:vAlign w:val="center"/>
          </w:tcPr>
          <w:p>
            <w:r>
              <w:rPr>
                <w:sz w:val="18"/>
              </w:rPr>
              <w:t>difflib.SequenceMatcher ratio</w:t>
            </w:r>
          </w:p>
        </w:tc>
        <w:tc>
          <w:tcPr>
            <w:tcW w:type="dxa" w:w="1728"/>
            <w:shd w:val="clear" w:color="auto" w:fill="FFFFFF"/>
            <w:vAlign w:val="center"/>
          </w:tcPr>
          <w:p>
            <w:r>
              <w:rPr>
                <w:sz w:val="18"/>
              </w:rPr>
              <w:t>≥ 0.72</w:t>
            </w:r>
          </w:p>
        </w:tc>
      </w:tr>
      <w:tr>
        <w:tc>
          <w:tcPr>
            <w:tcW w:type="dxa" w:w="2592"/>
            <w:shd w:val="clear" w:color="auto" w:fill="F0F4FF"/>
            <w:vAlign w:val="center"/>
          </w:tcPr>
          <w:p>
            <w:r>
              <w:rPr>
                <w:sz w:val="18"/>
              </w:rPr>
              <w:t>3 — Alias lookup</w:t>
            </w:r>
          </w:p>
        </w:tc>
        <w:tc>
          <w:tcPr>
            <w:tcW w:type="dxa" w:w="5040"/>
            <w:shd w:val="clear" w:color="auto" w:fill="F0F4FF"/>
            <w:vAlign w:val="center"/>
          </w:tcPr>
          <w:p>
            <w:r>
              <w:rPr>
                <w:sz w:val="18"/>
              </w:rPr>
              <w:t>townland_aliases.json maps variant spellings to canonical</w:t>
            </w:r>
          </w:p>
        </w:tc>
        <w:tc>
          <w:tcPr>
            <w:tcW w:type="dxa" w:w="1728"/>
            <w:shd w:val="clear" w:color="auto" w:fill="F0F4FF"/>
            <w:vAlign w:val="center"/>
          </w:tcPr>
          <w:p>
            <w:r>
              <w:rPr>
                <w:sz w:val="18"/>
              </w:rPr>
              <w:t>—</w:t>
            </w:r>
          </w:p>
        </w:tc>
      </w:tr>
    </w:tbl>
    <w:p/>
    <w:p>
      <w:pPr>
        <w:spacing w:before="40" w:after="80"/>
      </w:pPr>
      <w:r>
        <w:rPr>
          <w:sz w:val="21"/>
        </w:rPr>
        <w:t>If confidence &lt; 0.85, a 'did you mean?' suggestion is added. If no match found, alternative townland suggestions are returned.</w:t>
      </w:r>
    </w:p>
    <w:p>
      <w:pPr>
        <w:pStyle w:val="Heading2"/>
        <w:spacing w:before="200" w:after="80"/>
      </w:pPr>
      <w:r>
        <w:rPr>
          <w:b/>
          <w:color w:val="1D4ED8"/>
          <w:sz w:val="26"/>
        </w:rPr>
        <w:t>10.4 LLM SQL Generation</w:t>
      </w:r>
    </w:p>
    <w:p>
      <w:pPr>
        <w:spacing w:before="40" w:after="80"/>
      </w:pPr>
      <w:r>
        <w:rPr>
          <w:sz w:val="21"/>
        </w:rPr>
        <w:t>The SQL generation prompt includes:</w:t>
      </w:r>
    </w:p>
    <w:p>
      <w:pPr>
        <w:pStyle w:val="ListBullet"/>
        <w:spacing w:before="20" w:after="40"/>
      </w:pPr>
      <w:r>
        <w:rPr>
          <w:sz w:val="21"/>
        </w:rPr>
        <w:t>Live SQLite schema with row counts and sampled categorical values</w:t>
      </w:r>
    </w:p>
    <w:p>
      <w:pPr>
        <w:pStyle w:val="ListBullet"/>
        <w:spacing w:before="20" w:after="40"/>
      </w:pPr>
      <w:r>
        <w:rPr>
          <w:sz w:val="21"/>
        </w:rPr>
        <w:t>Previously approved queries from ask_query_memory (semantic similarity ranking)</w:t>
      </w:r>
    </w:p>
    <w:p>
      <w:pPr>
        <w:pStyle w:val="ListBullet"/>
        <w:spacing w:before="20" w:after="40"/>
      </w:pPr>
      <w:r>
        <w:rPr>
          <w:sz w:val="21"/>
        </w:rPr>
        <w:t>Mandatory rules: COUNT(DISTINCT record_id), NEVER GROUP_CONCAT, LIMIT 50 for person lists</w:t>
      </w:r>
    </w:p>
    <w:p>
      <w:pPr>
        <w:pStyle w:val="ListBullet"/>
        <w:spacing w:before="20" w:after="40"/>
      </w:pPr>
      <w:r>
        <w:rPr>
          <w:sz w:val="21"/>
        </w:rPr>
        <w:t>FORBIDDEN properties list preventing LLM from confusing SQLite columns with RDF predicates</w:t>
      </w:r>
    </w:p>
    <w:p>
      <w:pPr>
        <w:spacing w:before="40" w:after="80"/>
      </w:pPr>
      <w:r>
        <w:rPr>
          <w:sz w:val="21"/>
        </w:rPr>
        <w:t>LLM provider fallback chain (ASK_LLM_PROVIDER=auto):</w:t>
      </w:r>
    </w:p>
    <w:p>
      <w:pPr>
        <w:pStyle w:val="ListBullet"/>
        <w:spacing w:before="20" w:after="40"/>
      </w:pPr>
      <w:r>
        <w:rPr>
          <w:sz w:val="21"/>
        </w:rPr>
        <w:t>1. OpenRouter (primary) — preferred model (gpt-oss-20b:free)</w:t>
      </w:r>
    </w:p>
    <w:p>
      <w:pPr>
        <w:pStyle w:val="ListBullet"/>
        <w:spacing w:before="20" w:after="40"/>
      </w:pPr>
      <w:r>
        <w:rPr>
          <w:sz w:val="21"/>
        </w:rPr>
        <w:t>2. 13 additional free OpenRouter models tried in sequence on failure</w:t>
      </w:r>
    </w:p>
    <w:p>
      <w:pPr>
        <w:pStyle w:val="ListBullet"/>
        <w:spacing w:before="20" w:after="40"/>
      </w:pPr>
      <w:r>
        <w:rPr>
          <w:sz w:val="21"/>
        </w:rPr>
        <w:t>3. Ollama local instance (final fallback)</w:t>
      </w:r>
    </w:p>
    <w:p>
      <w:pPr>
        <w:pStyle w:val="Heading2"/>
        <w:spacing w:before="200" w:after="80"/>
      </w:pPr>
      <w:r>
        <w:rPr>
          <w:b/>
          <w:color w:val="1D4ED8"/>
          <w:sz w:val="26"/>
        </w:rPr>
        <w:t>10.5 SQL Safety Guardrail</w:t>
      </w:r>
    </w:p>
    <w:p>
      <w:pPr>
        <w:spacing w:before="40" w:after="80"/>
      </w:pPr>
      <w:r>
        <w:rPr>
          <w:sz w:val="21"/>
        </w:rPr>
        <w:t>Before any LLM-generated SQL is executed, a strict regex rejects all write operations:</w:t>
      </w:r>
    </w:p>
    <w:p>
      <w:pPr>
        <w:spacing w:before="40" w:after="40"/>
        <w:ind w:left="432"/>
      </w:pPr>
      <w:r>
        <w:rPr>
          <w:rFonts w:ascii="Courier New" w:hAnsi="Courier New"/>
          <w:color w:val="1E40AF"/>
          <w:sz w:val="17"/>
        </w:rPr>
        <w:t>FORBIDDEN = re.compile(r'\b(INSERT|UPDATE|DELETE|DROP|ALTER|CREATE|REPLACE</w:t>
      </w:r>
    </w:p>
    <w:p>
      <w:pPr>
        <w:spacing w:before="40" w:after="40"/>
        <w:ind w:left="432"/>
      </w:pPr>
      <w:r>
        <w:rPr>
          <w:rFonts w:ascii="Courier New" w:hAnsi="Courier New"/>
          <w:color w:val="1E40AF"/>
          <w:sz w:val="17"/>
        </w:rPr>
        <w:t xml:space="preserve">                        |TRUNCATE|PRAGMA(?!table_info)|ATTACH|DETACH)\b', re.I)</w:t>
      </w:r>
    </w:p>
    <w:p>
      <w:pPr>
        <w:spacing w:before="40" w:after="80"/>
      </w:pPr>
      <w:r>
        <w:rPr>
          <w:sz w:val="21"/>
        </w:rPr>
        <w:t>Only SELECT statements and CTEs (WITH … SELECT) pass this guardrail.</w:t>
      </w:r>
    </w:p>
    <w:p>
      <w:pPr>
        <w:pStyle w:val="Heading2"/>
        <w:spacing w:before="200" w:after="80"/>
      </w:pPr>
      <w:r>
        <w:rPr>
          <w:b/>
          <w:color w:val="1D4ED8"/>
          <w:sz w:val="26"/>
        </w:rPr>
        <w:t>10.6 LLM Answer Rewriting</w:t>
      </w:r>
    </w:p>
    <w:p>
      <w:pPr>
        <w:spacing w:before="40" w:after="80"/>
      </w:pPr>
      <w:r>
        <w:rPr>
          <w:sz w:val="21"/>
        </w:rPr>
        <w:t>_generate_rephrased_answer() rewrites the raw SQL result into 1–3 sentences of plain English. The prompt enforces: use only supplied data, keep all numbers identical to the actual result, for results with &gt;10 rows state the count and give 1–2 examples (do not enumerate all). Individual cell values are pre-truncated to 300 characters before being sent to the LLM (_build_llm_data_context._truncate_row()), preventing prompt inflation.</w:t>
      </w:r>
    </w:p>
    <w:p>
      <w:pPr>
        <w:pStyle w:val="Heading2"/>
        <w:spacing w:before="200" w:after="80"/>
      </w:pPr>
      <w:r>
        <w:rPr>
          <w:b/>
          <w:color w:val="1D4ED8"/>
          <w:sz w:val="26"/>
        </w:rPr>
        <w:t>10.7 Query Memory (Learning from Feedback)</w:t>
      </w:r>
    </w:p>
    <w:p>
      <w:pPr>
        <w:spacing w:before="40" w:after="80"/>
      </w:pPr>
      <w:r>
        <w:rPr>
          <w:sz w:val="21"/>
        </w:rPr>
        <w:t>Users rate answers with thumbs-up/down via POST /api/ask/feedback. Approved queries are stored in ask_query_memory with SQL text, result summary, and confidence score. _find_similar_approved_queries() uses trigram + SequenceMatcher hybrid scoring to find previously approved queries matching the current question. These are injected into the LLM prompt as examples, improving accuracy over time.</w:t>
      </w:r>
    </w:p>
    <w:p>
      <w:pPr>
        <w:pStyle w:val="Heading2"/>
        <w:spacing w:before="200" w:after="80"/>
      </w:pPr>
      <w:r>
        <w:rPr>
          <w:b/>
          <w:color w:val="1D4ED8"/>
          <w:sz w:val="26"/>
        </w:rPr>
        <w:t>10.8 GraphDB SPARQL Comparison (D8 Prototype)</w:t>
      </w:r>
    </w:p>
    <w:p>
      <w:pPr>
        <w:spacing w:before="40" w:after="80"/>
      </w:pPr>
      <w:r>
        <w:rPr>
          <w:sz w:val="21"/>
        </w:rPr>
        <w:t>When GRAPHDB_ENABLED=true, the pipeline also generates and executes the equivalent SPARQL query against the local GraphDB instance. SPARQL generation uses three steps:</w:t>
      </w:r>
    </w:p>
    <w:p>
      <w:pPr>
        <w:pStyle w:val="ListBullet"/>
        <w:spacing w:before="20" w:after="40"/>
      </w:pPr>
      <w:r>
        <w:rPr>
          <w:b/>
          <w:sz w:val="21"/>
        </w:rPr>
        <w:t>Step 1:</w:t>
      </w:r>
      <w:r>
        <w:rPr>
          <w:sz w:val="21"/>
        </w:rPr>
        <w:t xml:space="preserve"> Rule-based template matching (_match_sparql_template()) — 15 common patterns with verified SPARQL</w:t>
      </w:r>
    </w:p>
    <w:p>
      <w:pPr>
        <w:pStyle w:val="ListBullet"/>
        <w:spacing w:before="20" w:after="40"/>
      </w:pPr>
      <w:r>
        <w:rPr>
          <w:b/>
          <w:sz w:val="21"/>
        </w:rPr>
        <w:t>Step 2:</w:t>
      </w:r>
      <w:r>
        <w:rPr>
          <w:sz w:val="21"/>
        </w:rPr>
        <w:t xml:space="preserve"> LLM generation with ontology schema + FORBIDDEN properties list</w:t>
      </w:r>
    </w:p>
    <w:p>
      <w:pPr>
        <w:pStyle w:val="ListBullet"/>
        <w:spacing w:before="20" w:after="40"/>
      </w:pPr>
      <w:r>
        <w:rPr>
          <w:b/>
          <w:sz w:val="21"/>
        </w:rPr>
        <w:t>Step 3:</w:t>
      </w:r>
      <w:r>
        <w:rPr>
          <w:sz w:val="21"/>
        </w:rPr>
        <w:t xml:space="preserve"> Post-validation (_sparql_uses_forbidden_props()) — fallback if banned properties detected</w:t>
      </w:r>
    </w:p>
    <w:p>
      <w:pPr>
        <w:spacing w:before="40" w:after="80"/>
      </w:pPr>
      <w:r>
        <w:rPr>
          <w:sz w:val="21"/>
        </w:rPr>
        <w:t>If SQLite and GraphDB return different values, _explain_result_mismatch() calls the LLM with both queries and results to generate an academic explanation of the discrepancy (closed-world vs open-world semantics, NULL handling, schema modelling differences).</w:t>
      </w:r>
    </w:p>
    <w:p>
      <w:r>
        <w:br w:type="page"/>
      </w:r>
    </w:p>
    <w:p>
      <w:pPr>
        <w:pStyle w:val="Heading1"/>
        <w:spacing w:before="280" w:after="80"/>
      </w:pPr>
      <w:r>
        <w:rPr>
          <w:b/>
          <w:color w:val="0F172A"/>
          <w:sz w:val="32"/>
        </w:rPr>
        <w:t>11. Feature: Knowledge Graph Visualiser</w:t>
      </w:r>
    </w:p>
    <w:p>
      <w:pPr>
        <w:spacing w:before="40" w:after="80"/>
      </w:pPr>
      <w:r>
        <w:rPr>
          <w:sz w:val="21"/>
        </w:rPr>
        <w:t>An interactive D3.js v7 force-directed graph visualising the entire Coolattin Estate database as a knowledge graph. The graph represents all 13,707 estate records aggregated across 516 townlands, grouped under 20 civil parishes, connected to 3 event hubs (Emigration, Eviction, Tenancy) and 2 data hubs (Census Records, Clearances).</w:t>
      </w:r>
    </w:p>
    <w:p>
      <w:pPr>
        <w:pStyle w:val="Heading2"/>
        <w:spacing w:before="200" w:after="80"/>
      </w:pPr>
      <w:r>
        <w:rPr>
          <w:b/>
          <w:color w:val="1D4ED8"/>
          <w:sz w:val="26"/>
        </w:rPr>
        <w:t>11.1 Graph Statistics</w:t>
      </w:r>
    </w:p>
    <w:tbl>
      <w:tblPr>
        <w:tblStyle w:val="TableGrid"/>
        <w:tblW w:type="auto" w:w="0"/>
        <w:jc w:val="left"/>
        <w:tblLook w:firstColumn="1" w:firstRow="1" w:lastColumn="0" w:lastRow="0" w:noHBand="0" w:noVBand="1" w:val="04A0"/>
      </w:tblPr>
      <w:tblGrid>
        <w:gridCol w:w="4533"/>
        <w:gridCol w:w="4533"/>
      </w:tblGrid>
      <w:tr>
        <w:tc>
          <w:tcPr>
            <w:tcW w:type="dxa" w:w="4320"/>
            <w:shd w:val="clear" w:color="auto" w:fill="1E3A5F"/>
          </w:tcPr>
          <w:p>
            <w:pPr>
              <w:jc w:val="left"/>
            </w:pPr>
            <w:r>
              <w:rPr>
                <w:b/>
                <w:color w:val="FFFFFF"/>
                <w:sz w:val="19"/>
              </w:rPr>
              <w:t>Metric</w:t>
            </w:r>
          </w:p>
        </w:tc>
        <w:tc>
          <w:tcPr>
            <w:tcW w:type="dxa" w:w="5040"/>
            <w:shd w:val="clear" w:color="auto" w:fill="1E3A5F"/>
          </w:tcPr>
          <w:p>
            <w:pPr>
              <w:jc w:val="left"/>
            </w:pPr>
            <w:r>
              <w:rPr>
                <w:b/>
                <w:color w:val="FFFFFF"/>
                <w:sz w:val="19"/>
              </w:rPr>
              <w:t>Value</w:t>
            </w:r>
          </w:p>
        </w:tc>
      </w:tr>
      <w:tr>
        <w:tc>
          <w:tcPr>
            <w:tcW w:type="dxa" w:w="4320"/>
            <w:shd w:val="clear" w:color="auto" w:fill="F0F4FF"/>
            <w:vAlign w:val="center"/>
          </w:tcPr>
          <w:p>
            <w:r>
              <w:rPr>
                <w:sz w:val="18"/>
              </w:rPr>
              <w:t>Total nodes</w:t>
            </w:r>
          </w:p>
        </w:tc>
        <w:tc>
          <w:tcPr>
            <w:tcW w:type="dxa" w:w="5040"/>
            <w:shd w:val="clear" w:color="auto" w:fill="F0F4FF"/>
            <w:vAlign w:val="center"/>
          </w:tcPr>
          <w:p>
            <w:r>
              <w:rPr>
                <w:sz w:val="18"/>
              </w:rPr>
              <w:t>541</w:t>
            </w:r>
          </w:p>
        </w:tc>
      </w:tr>
      <w:tr>
        <w:tc>
          <w:tcPr>
            <w:tcW w:type="dxa" w:w="4320"/>
            <w:shd w:val="clear" w:color="auto" w:fill="FFFFFF"/>
            <w:vAlign w:val="center"/>
          </w:tcPr>
          <w:p>
            <w:r>
              <w:rPr>
                <w:sz w:val="18"/>
              </w:rPr>
              <w:t>Total edges</w:t>
            </w:r>
          </w:p>
        </w:tc>
        <w:tc>
          <w:tcPr>
            <w:tcW w:type="dxa" w:w="5040"/>
            <w:shd w:val="clear" w:color="auto" w:fill="FFFFFF"/>
            <w:vAlign w:val="center"/>
          </w:tcPr>
          <w:p>
            <w:r>
              <w:rPr>
                <w:sz w:val="18"/>
              </w:rPr>
              <w:t>1,254</w:t>
            </w:r>
          </w:p>
        </w:tc>
      </w:tr>
      <w:tr>
        <w:tc>
          <w:tcPr>
            <w:tcW w:type="dxa" w:w="4320"/>
            <w:shd w:val="clear" w:color="auto" w:fill="F0F4FF"/>
            <w:vAlign w:val="center"/>
          </w:tcPr>
          <w:p>
            <w:r>
              <w:rPr>
                <w:sz w:val="18"/>
              </w:rPr>
              <w:t>Event hub nodes</w:t>
            </w:r>
          </w:p>
        </w:tc>
        <w:tc>
          <w:tcPr>
            <w:tcW w:type="dxa" w:w="5040"/>
            <w:shd w:val="clear" w:color="auto" w:fill="F0F4FF"/>
            <w:vAlign w:val="center"/>
          </w:tcPr>
          <w:p>
            <w:r>
              <w:rPr>
                <w:sz w:val="18"/>
              </w:rPr>
              <w:t>3 (Emigration, Eviction, Tenancy)</w:t>
            </w:r>
          </w:p>
        </w:tc>
      </w:tr>
      <w:tr>
        <w:tc>
          <w:tcPr>
            <w:tcW w:type="dxa" w:w="4320"/>
            <w:shd w:val="clear" w:color="auto" w:fill="FFFFFF"/>
            <w:vAlign w:val="center"/>
          </w:tcPr>
          <w:p>
            <w:r>
              <w:rPr>
                <w:sz w:val="18"/>
              </w:rPr>
              <w:t>Data hub nodes</w:t>
            </w:r>
          </w:p>
        </w:tc>
        <w:tc>
          <w:tcPr>
            <w:tcW w:type="dxa" w:w="5040"/>
            <w:shd w:val="clear" w:color="auto" w:fill="FFFFFF"/>
            <w:vAlign w:val="center"/>
          </w:tcPr>
          <w:p>
            <w:r>
              <w:rPr>
                <w:sz w:val="18"/>
              </w:rPr>
              <w:t>2 (Census Records, Clearances)</w:t>
            </w:r>
          </w:p>
        </w:tc>
      </w:tr>
      <w:tr>
        <w:tc>
          <w:tcPr>
            <w:tcW w:type="dxa" w:w="4320"/>
            <w:shd w:val="clear" w:color="auto" w:fill="F0F4FF"/>
            <w:vAlign w:val="center"/>
          </w:tcPr>
          <w:p>
            <w:r>
              <w:rPr>
                <w:sz w:val="18"/>
              </w:rPr>
              <w:t>Parish nodes</w:t>
            </w:r>
          </w:p>
        </w:tc>
        <w:tc>
          <w:tcPr>
            <w:tcW w:type="dxa" w:w="5040"/>
            <w:shd w:val="clear" w:color="auto" w:fill="F0F4FF"/>
            <w:vAlign w:val="center"/>
          </w:tcPr>
          <w:p>
            <w:r>
              <w:rPr>
                <w:sz w:val="18"/>
              </w:rPr>
              <w:t>20</w:t>
            </w:r>
          </w:p>
        </w:tc>
      </w:tr>
      <w:tr>
        <w:tc>
          <w:tcPr>
            <w:tcW w:type="dxa" w:w="4320"/>
            <w:shd w:val="clear" w:color="auto" w:fill="FFFFFF"/>
            <w:vAlign w:val="center"/>
          </w:tcPr>
          <w:p>
            <w:r>
              <w:rPr>
                <w:sz w:val="18"/>
              </w:rPr>
              <w:t>Townland nodes</w:t>
            </w:r>
          </w:p>
        </w:tc>
        <w:tc>
          <w:tcPr>
            <w:tcW w:type="dxa" w:w="5040"/>
            <w:shd w:val="clear" w:color="auto" w:fill="FFFFFF"/>
            <w:vAlign w:val="center"/>
          </w:tcPr>
          <w:p>
            <w:r>
              <w:rPr>
                <w:sz w:val="18"/>
              </w:rPr>
              <w:t>516</w:t>
            </w:r>
          </w:p>
        </w:tc>
      </w:tr>
      <w:tr>
        <w:tc>
          <w:tcPr>
            <w:tcW w:type="dxa" w:w="4320"/>
            <w:shd w:val="clear" w:color="auto" w:fill="F0F4FF"/>
            <w:vAlign w:val="center"/>
          </w:tcPr>
          <w:p>
            <w:r>
              <w:rPr>
                <w:sz w:val="18"/>
              </w:rPr>
              <w:t>parish_townland edges</w:t>
            </w:r>
          </w:p>
        </w:tc>
        <w:tc>
          <w:tcPr>
            <w:tcW w:type="dxa" w:w="5040"/>
            <w:shd w:val="clear" w:color="auto" w:fill="F0F4FF"/>
            <w:vAlign w:val="center"/>
          </w:tcPr>
          <w:p>
            <w:r>
              <w:rPr>
                <w:sz w:val="18"/>
              </w:rPr>
              <w:t>178</w:t>
            </w:r>
          </w:p>
        </w:tc>
      </w:tr>
      <w:tr>
        <w:tc>
          <w:tcPr>
            <w:tcW w:type="dxa" w:w="4320"/>
            <w:shd w:val="clear" w:color="auto" w:fill="FFFFFF"/>
            <w:vAlign w:val="center"/>
          </w:tcPr>
          <w:p>
            <w:r>
              <w:rPr>
                <w:sz w:val="18"/>
              </w:rPr>
              <w:t>townland_event edges</w:t>
            </w:r>
          </w:p>
        </w:tc>
        <w:tc>
          <w:tcPr>
            <w:tcW w:type="dxa" w:w="5040"/>
            <w:shd w:val="clear" w:color="auto" w:fill="FFFFFF"/>
            <w:vAlign w:val="center"/>
          </w:tcPr>
          <w:p>
            <w:r>
              <w:rPr>
                <w:sz w:val="18"/>
              </w:rPr>
              <w:t>820</w:t>
            </w:r>
          </w:p>
        </w:tc>
      </w:tr>
      <w:tr>
        <w:tc>
          <w:tcPr>
            <w:tcW w:type="dxa" w:w="4320"/>
            <w:shd w:val="clear" w:color="auto" w:fill="F0F4FF"/>
            <w:vAlign w:val="center"/>
          </w:tcPr>
          <w:p>
            <w:r>
              <w:rPr>
                <w:sz w:val="18"/>
              </w:rPr>
              <w:t>townland_census edges</w:t>
            </w:r>
          </w:p>
        </w:tc>
        <w:tc>
          <w:tcPr>
            <w:tcW w:type="dxa" w:w="5040"/>
            <w:shd w:val="clear" w:color="auto" w:fill="F0F4FF"/>
            <w:vAlign w:val="center"/>
          </w:tcPr>
          <w:p>
            <w:r>
              <w:rPr>
                <w:sz w:val="18"/>
              </w:rPr>
              <w:t>147</w:t>
            </w:r>
          </w:p>
        </w:tc>
      </w:tr>
      <w:tr>
        <w:tc>
          <w:tcPr>
            <w:tcW w:type="dxa" w:w="4320"/>
            <w:shd w:val="clear" w:color="auto" w:fill="FFFFFF"/>
            <w:vAlign w:val="center"/>
          </w:tcPr>
          <w:p>
            <w:r>
              <w:rPr>
                <w:sz w:val="18"/>
              </w:rPr>
              <w:t>townland_clearances edges</w:t>
            </w:r>
          </w:p>
        </w:tc>
        <w:tc>
          <w:tcPr>
            <w:tcW w:type="dxa" w:w="5040"/>
            <w:shd w:val="clear" w:color="auto" w:fill="FFFFFF"/>
            <w:vAlign w:val="center"/>
          </w:tcPr>
          <w:p>
            <w:r>
              <w:rPr>
                <w:sz w:val="18"/>
              </w:rPr>
              <w:t>109</w:t>
            </w:r>
          </w:p>
        </w:tc>
      </w:tr>
    </w:tbl>
    <w:p/>
    <w:p>
      <w:pPr>
        <w:pStyle w:val="Heading2"/>
        <w:spacing w:before="200" w:after="80"/>
      </w:pPr>
      <w:r>
        <w:rPr>
          <w:b/>
          <w:color w:val="1D4ED8"/>
          <w:sz w:val="26"/>
        </w:rPr>
        <w:t>11.2 Node Types and Visual Encoding</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2880"/>
            <w:shd w:val="clear" w:color="auto" w:fill="1E3A5F"/>
          </w:tcPr>
          <w:p>
            <w:pPr>
              <w:jc w:val="left"/>
            </w:pPr>
            <w:r>
              <w:rPr>
                <w:b/>
                <w:color w:val="FFFFFF"/>
                <w:sz w:val="19"/>
              </w:rPr>
              <w:t>Node Type</w:t>
            </w:r>
          </w:p>
        </w:tc>
        <w:tc>
          <w:tcPr>
            <w:tcW w:type="dxa" w:w="1008"/>
            <w:shd w:val="clear" w:color="auto" w:fill="1E3A5F"/>
          </w:tcPr>
          <w:p>
            <w:pPr>
              <w:jc w:val="left"/>
            </w:pPr>
            <w:r>
              <w:rPr>
                <w:b/>
                <w:color w:val="FFFFFF"/>
                <w:sz w:val="19"/>
              </w:rPr>
              <w:t>Count</w:t>
            </w:r>
          </w:p>
        </w:tc>
        <w:tc>
          <w:tcPr>
            <w:tcW w:type="dxa" w:w="2592"/>
            <w:shd w:val="clear" w:color="auto" w:fill="1E3A5F"/>
          </w:tcPr>
          <w:p>
            <w:pPr>
              <w:jc w:val="left"/>
            </w:pPr>
            <w:r>
              <w:rPr>
                <w:b/>
                <w:color w:val="FFFFFF"/>
                <w:sz w:val="19"/>
              </w:rPr>
              <w:t>Colour</w:t>
            </w:r>
          </w:p>
        </w:tc>
        <w:tc>
          <w:tcPr>
            <w:tcW w:type="dxa" w:w="1152"/>
            <w:shd w:val="clear" w:color="auto" w:fill="1E3A5F"/>
          </w:tcPr>
          <w:p>
            <w:pPr>
              <w:jc w:val="left"/>
            </w:pPr>
            <w:r>
              <w:rPr>
                <w:b/>
                <w:color w:val="FFFFFF"/>
                <w:sz w:val="19"/>
              </w:rPr>
              <w:t>Size</w:t>
            </w:r>
          </w:p>
        </w:tc>
        <w:tc>
          <w:tcPr>
            <w:tcW w:type="dxa" w:w="2592"/>
            <w:shd w:val="clear" w:color="auto" w:fill="1E3A5F"/>
          </w:tcPr>
          <w:p>
            <w:pPr>
              <w:jc w:val="left"/>
            </w:pPr>
            <w:r>
              <w:rPr>
                <w:b/>
                <w:color w:val="FFFFFF"/>
                <w:sz w:val="19"/>
              </w:rPr>
              <w:t>Fixed Position</w:t>
            </w:r>
          </w:p>
        </w:tc>
      </w:tr>
      <w:tr>
        <w:tc>
          <w:tcPr>
            <w:tcW w:type="dxa" w:w="2880"/>
            <w:shd w:val="clear" w:color="auto" w:fill="F0F4FF"/>
            <w:vAlign w:val="center"/>
          </w:tcPr>
          <w:p>
            <w:r>
              <w:rPr>
                <w:sz w:val="18"/>
              </w:rPr>
              <w:t>EventHub — Emigration</w:t>
            </w:r>
          </w:p>
        </w:tc>
        <w:tc>
          <w:tcPr>
            <w:tcW w:type="dxa" w:w="1008"/>
            <w:shd w:val="clear" w:color="auto" w:fill="F0F4FF"/>
            <w:vAlign w:val="center"/>
          </w:tcPr>
          <w:p>
            <w:r>
              <w:rPr>
                <w:sz w:val="18"/>
              </w:rPr>
              <w:t>1</w:t>
            </w:r>
          </w:p>
        </w:tc>
        <w:tc>
          <w:tcPr>
            <w:tcW w:type="dxa" w:w="2592"/>
            <w:shd w:val="clear" w:color="auto" w:fill="F0F4FF"/>
            <w:vAlign w:val="center"/>
          </w:tcPr>
          <w:p>
            <w:r>
              <w:rPr>
                <w:sz w:val="18"/>
              </w:rPr>
              <w:t>#16a34a (green)</w:t>
            </w:r>
          </w:p>
        </w:tc>
        <w:tc>
          <w:tcPr>
            <w:tcW w:type="dxa" w:w="1152"/>
            <w:shd w:val="clear" w:color="auto" w:fill="F0F4FF"/>
            <w:vAlign w:val="center"/>
          </w:tcPr>
          <w:p>
            <w:r>
              <w:rPr>
                <w:sz w:val="18"/>
              </w:rPr>
              <w:t>22px</w:t>
            </w:r>
          </w:p>
        </w:tc>
        <w:tc>
          <w:tcPr>
            <w:tcW w:type="dxa" w:w="2592"/>
            <w:shd w:val="clear" w:color="auto" w:fill="F0F4FF"/>
            <w:vAlign w:val="center"/>
          </w:tcPr>
          <w:p>
            <w:r>
              <w:rPr>
                <w:sz w:val="18"/>
              </w:rPr>
              <w:t>Top-left (12%, 18%)</w:t>
            </w:r>
          </w:p>
        </w:tc>
      </w:tr>
      <w:tr>
        <w:tc>
          <w:tcPr>
            <w:tcW w:type="dxa" w:w="2880"/>
            <w:shd w:val="clear" w:color="auto" w:fill="FFFFFF"/>
            <w:vAlign w:val="center"/>
          </w:tcPr>
          <w:p>
            <w:r>
              <w:rPr>
                <w:sz w:val="18"/>
              </w:rPr>
              <w:t>EventHub — Eviction</w:t>
            </w:r>
          </w:p>
        </w:tc>
        <w:tc>
          <w:tcPr>
            <w:tcW w:type="dxa" w:w="1008"/>
            <w:shd w:val="clear" w:color="auto" w:fill="FFFFFF"/>
            <w:vAlign w:val="center"/>
          </w:tcPr>
          <w:p>
            <w:r>
              <w:rPr>
                <w:sz w:val="18"/>
              </w:rPr>
              <w:t>1</w:t>
            </w:r>
          </w:p>
        </w:tc>
        <w:tc>
          <w:tcPr>
            <w:tcW w:type="dxa" w:w="2592"/>
            <w:shd w:val="clear" w:color="auto" w:fill="FFFFFF"/>
            <w:vAlign w:val="center"/>
          </w:tcPr>
          <w:p>
            <w:r>
              <w:rPr>
                <w:sz w:val="18"/>
              </w:rPr>
              <w:t>#dc2626 (red)</w:t>
            </w:r>
          </w:p>
        </w:tc>
        <w:tc>
          <w:tcPr>
            <w:tcW w:type="dxa" w:w="1152"/>
            <w:shd w:val="clear" w:color="auto" w:fill="FFFFFF"/>
            <w:vAlign w:val="center"/>
          </w:tcPr>
          <w:p>
            <w:r>
              <w:rPr>
                <w:sz w:val="18"/>
              </w:rPr>
              <w:t>22px</w:t>
            </w:r>
          </w:p>
        </w:tc>
        <w:tc>
          <w:tcPr>
            <w:tcW w:type="dxa" w:w="2592"/>
            <w:shd w:val="clear" w:color="auto" w:fill="FFFFFF"/>
            <w:vAlign w:val="center"/>
          </w:tcPr>
          <w:p>
            <w:r>
              <w:rPr>
                <w:sz w:val="18"/>
              </w:rPr>
              <w:t>Top-right (88%, 18%)</w:t>
            </w:r>
          </w:p>
        </w:tc>
      </w:tr>
      <w:tr>
        <w:tc>
          <w:tcPr>
            <w:tcW w:type="dxa" w:w="2880"/>
            <w:shd w:val="clear" w:color="auto" w:fill="F0F4FF"/>
            <w:vAlign w:val="center"/>
          </w:tcPr>
          <w:p>
            <w:r>
              <w:rPr>
                <w:sz w:val="18"/>
              </w:rPr>
              <w:t>EventHub — Tenancy</w:t>
            </w:r>
          </w:p>
        </w:tc>
        <w:tc>
          <w:tcPr>
            <w:tcW w:type="dxa" w:w="1008"/>
            <w:shd w:val="clear" w:color="auto" w:fill="F0F4FF"/>
            <w:vAlign w:val="center"/>
          </w:tcPr>
          <w:p>
            <w:r>
              <w:rPr>
                <w:sz w:val="18"/>
              </w:rPr>
              <w:t>1</w:t>
            </w:r>
          </w:p>
        </w:tc>
        <w:tc>
          <w:tcPr>
            <w:tcW w:type="dxa" w:w="2592"/>
            <w:shd w:val="clear" w:color="auto" w:fill="F0F4FF"/>
            <w:vAlign w:val="center"/>
          </w:tcPr>
          <w:p>
            <w:r>
              <w:rPr>
                <w:sz w:val="18"/>
              </w:rPr>
              <w:t>#2563eb (blue)</w:t>
            </w:r>
          </w:p>
        </w:tc>
        <w:tc>
          <w:tcPr>
            <w:tcW w:type="dxa" w:w="1152"/>
            <w:shd w:val="clear" w:color="auto" w:fill="F0F4FF"/>
            <w:vAlign w:val="center"/>
          </w:tcPr>
          <w:p>
            <w:r>
              <w:rPr>
                <w:sz w:val="18"/>
              </w:rPr>
              <w:t>22px</w:t>
            </w:r>
          </w:p>
        </w:tc>
        <w:tc>
          <w:tcPr>
            <w:tcW w:type="dxa" w:w="2592"/>
            <w:shd w:val="clear" w:color="auto" w:fill="F0F4FF"/>
            <w:vAlign w:val="center"/>
          </w:tcPr>
          <w:p>
            <w:r>
              <w:rPr>
                <w:sz w:val="18"/>
              </w:rPr>
              <w:t>Bottom-centre (50%, 88%)</w:t>
            </w:r>
          </w:p>
        </w:tc>
      </w:tr>
      <w:tr>
        <w:tc>
          <w:tcPr>
            <w:tcW w:type="dxa" w:w="2880"/>
            <w:shd w:val="clear" w:color="auto" w:fill="FFFFFF"/>
            <w:vAlign w:val="center"/>
          </w:tcPr>
          <w:p>
            <w:r>
              <w:rPr>
                <w:sz w:val="18"/>
              </w:rPr>
              <w:t>DataHub — Census</w:t>
            </w:r>
          </w:p>
        </w:tc>
        <w:tc>
          <w:tcPr>
            <w:tcW w:type="dxa" w:w="1008"/>
            <w:shd w:val="clear" w:color="auto" w:fill="FFFFFF"/>
            <w:vAlign w:val="center"/>
          </w:tcPr>
          <w:p>
            <w:r>
              <w:rPr>
                <w:sz w:val="18"/>
              </w:rPr>
              <w:t>1</w:t>
            </w:r>
          </w:p>
        </w:tc>
        <w:tc>
          <w:tcPr>
            <w:tcW w:type="dxa" w:w="2592"/>
            <w:shd w:val="clear" w:color="auto" w:fill="FFFFFF"/>
            <w:vAlign w:val="center"/>
          </w:tcPr>
          <w:p>
            <w:r>
              <w:rPr>
                <w:sz w:val="18"/>
              </w:rPr>
              <w:t>#0891b2 (teal)</w:t>
            </w:r>
          </w:p>
        </w:tc>
        <w:tc>
          <w:tcPr>
            <w:tcW w:type="dxa" w:w="1152"/>
            <w:shd w:val="clear" w:color="auto" w:fill="FFFFFF"/>
            <w:vAlign w:val="center"/>
          </w:tcPr>
          <w:p>
            <w:r>
              <w:rPr>
                <w:sz w:val="18"/>
              </w:rPr>
              <w:t>18px</w:t>
            </w:r>
          </w:p>
        </w:tc>
        <w:tc>
          <w:tcPr>
            <w:tcW w:type="dxa" w:w="2592"/>
            <w:shd w:val="clear" w:color="auto" w:fill="FFFFFF"/>
            <w:vAlign w:val="center"/>
          </w:tcPr>
          <w:p>
            <w:r>
              <w:rPr>
                <w:sz w:val="18"/>
              </w:rPr>
              <w:t>Bottom-left (12%, 82%)</w:t>
            </w:r>
          </w:p>
        </w:tc>
      </w:tr>
      <w:tr>
        <w:tc>
          <w:tcPr>
            <w:tcW w:type="dxa" w:w="2880"/>
            <w:shd w:val="clear" w:color="auto" w:fill="F0F4FF"/>
            <w:vAlign w:val="center"/>
          </w:tcPr>
          <w:p>
            <w:r>
              <w:rPr>
                <w:sz w:val="18"/>
              </w:rPr>
              <w:t>DataHub — Clearances</w:t>
            </w:r>
          </w:p>
        </w:tc>
        <w:tc>
          <w:tcPr>
            <w:tcW w:type="dxa" w:w="1008"/>
            <w:shd w:val="clear" w:color="auto" w:fill="F0F4FF"/>
            <w:vAlign w:val="center"/>
          </w:tcPr>
          <w:p>
            <w:r>
              <w:rPr>
                <w:sz w:val="18"/>
              </w:rPr>
              <w:t>1</w:t>
            </w:r>
          </w:p>
        </w:tc>
        <w:tc>
          <w:tcPr>
            <w:tcW w:type="dxa" w:w="2592"/>
            <w:shd w:val="clear" w:color="auto" w:fill="F0F4FF"/>
            <w:vAlign w:val="center"/>
          </w:tcPr>
          <w:p>
            <w:r>
              <w:rPr>
                <w:sz w:val="18"/>
              </w:rPr>
              <w:t>#9333ea (purple)</w:t>
            </w:r>
          </w:p>
        </w:tc>
        <w:tc>
          <w:tcPr>
            <w:tcW w:type="dxa" w:w="1152"/>
            <w:shd w:val="clear" w:color="auto" w:fill="F0F4FF"/>
            <w:vAlign w:val="center"/>
          </w:tcPr>
          <w:p>
            <w:r>
              <w:rPr>
                <w:sz w:val="18"/>
              </w:rPr>
              <w:t>18px</w:t>
            </w:r>
          </w:p>
        </w:tc>
        <w:tc>
          <w:tcPr>
            <w:tcW w:type="dxa" w:w="2592"/>
            <w:shd w:val="clear" w:color="auto" w:fill="F0F4FF"/>
            <w:vAlign w:val="center"/>
          </w:tcPr>
          <w:p>
            <w:r>
              <w:rPr>
                <w:sz w:val="18"/>
              </w:rPr>
              <w:t>Bottom-right (88%, 82%)</w:t>
            </w:r>
          </w:p>
        </w:tc>
      </w:tr>
      <w:tr>
        <w:tc>
          <w:tcPr>
            <w:tcW w:type="dxa" w:w="2880"/>
            <w:shd w:val="clear" w:color="auto" w:fill="FFFFFF"/>
            <w:vAlign w:val="center"/>
          </w:tcPr>
          <w:p>
            <w:r>
              <w:rPr>
                <w:sz w:val="18"/>
              </w:rPr>
              <w:t>Parish</w:t>
            </w:r>
          </w:p>
        </w:tc>
        <w:tc>
          <w:tcPr>
            <w:tcW w:type="dxa" w:w="1008"/>
            <w:shd w:val="clear" w:color="auto" w:fill="FFFFFF"/>
            <w:vAlign w:val="center"/>
          </w:tcPr>
          <w:p>
            <w:r>
              <w:rPr>
                <w:sz w:val="18"/>
              </w:rPr>
              <w:t>20</w:t>
            </w:r>
          </w:p>
        </w:tc>
        <w:tc>
          <w:tcPr>
            <w:tcW w:type="dxa" w:w="2592"/>
            <w:shd w:val="clear" w:color="auto" w:fill="FFFFFF"/>
            <w:vAlign w:val="center"/>
          </w:tcPr>
          <w:p>
            <w:r>
              <w:rPr>
                <w:sz w:val="18"/>
              </w:rPr>
              <w:t>#7c3aed (violet)</w:t>
            </w:r>
          </w:p>
        </w:tc>
        <w:tc>
          <w:tcPr>
            <w:tcW w:type="dxa" w:w="1152"/>
            <w:shd w:val="clear" w:color="auto" w:fill="FFFFFF"/>
            <w:vAlign w:val="center"/>
          </w:tcPr>
          <w:p>
            <w:r>
              <w:rPr>
                <w:sz w:val="18"/>
              </w:rPr>
              <w:t>16px</w:t>
            </w:r>
          </w:p>
        </w:tc>
        <w:tc>
          <w:tcPr>
            <w:tcW w:type="dxa" w:w="2592"/>
            <w:shd w:val="clear" w:color="auto" w:fill="FFFFFF"/>
            <w:vAlign w:val="center"/>
          </w:tcPr>
          <w:p>
            <w:r>
              <w:rPr>
                <w:sz w:val="18"/>
              </w:rPr>
              <w:t>Float (D3 simulation)</w:t>
            </w:r>
          </w:p>
        </w:tc>
      </w:tr>
      <w:tr>
        <w:tc>
          <w:tcPr>
            <w:tcW w:type="dxa" w:w="2880"/>
            <w:shd w:val="clear" w:color="auto" w:fill="F0F4FF"/>
            <w:vAlign w:val="center"/>
          </w:tcPr>
          <w:p>
            <w:r>
              <w:rPr>
                <w:sz w:val="18"/>
              </w:rPr>
              <w:t>Townland — emigration</w:t>
            </w:r>
          </w:p>
        </w:tc>
        <w:tc>
          <w:tcPr>
            <w:tcW w:type="dxa" w:w="1008"/>
            <w:shd w:val="clear" w:color="auto" w:fill="F0F4FF"/>
            <w:vAlign w:val="center"/>
          </w:tcPr>
          <w:p>
            <w:r>
              <w:rPr>
                <w:sz w:val="18"/>
              </w:rPr>
              <w:t>N</w:t>
            </w:r>
          </w:p>
        </w:tc>
        <w:tc>
          <w:tcPr>
            <w:tcW w:type="dxa" w:w="2592"/>
            <w:shd w:val="clear" w:color="auto" w:fill="F0F4FF"/>
            <w:vAlign w:val="center"/>
          </w:tcPr>
          <w:p>
            <w:r>
              <w:rPr>
                <w:sz w:val="18"/>
              </w:rPr>
              <w:t>#15803d (dark green)</w:t>
            </w:r>
          </w:p>
        </w:tc>
        <w:tc>
          <w:tcPr>
            <w:tcW w:type="dxa" w:w="1152"/>
            <w:shd w:val="clear" w:color="auto" w:fill="F0F4FF"/>
            <w:vAlign w:val="center"/>
          </w:tcPr>
          <w:p>
            <w:r>
              <w:rPr>
                <w:sz w:val="18"/>
              </w:rPr>
              <w:t>8–22px</w:t>
            </w:r>
          </w:p>
        </w:tc>
        <w:tc>
          <w:tcPr>
            <w:tcW w:type="dxa" w:w="2592"/>
            <w:shd w:val="clear" w:color="auto" w:fill="F0F4FF"/>
            <w:vAlign w:val="center"/>
          </w:tcPr>
          <w:p>
            <w:r>
              <w:rPr>
                <w:sz w:val="18"/>
              </w:rPr>
              <w:t>Float</w:t>
            </w:r>
          </w:p>
        </w:tc>
      </w:tr>
      <w:tr>
        <w:tc>
          <w:tcPr>
            <w:tcW w:type="dxa" w:w="2880"/>
            <w:shd w:val="clear" w:color="auto" w:fill="FFFFFF"/>
            <w:vAlign w:val="center"/>
          </w:tcPr>
          <w:p>
            <w:r>
              <w:rPr>
                <w:sz w:val="18"/>
              </w:rPr>
              <w:t>Townland — eviction</w:t>
            </w:r>
          </w:p>
        </w:tc>
        <w:tc>
          <w:tcPr>
            <w:tcW w:type="dxa" w:w="1008"/>
            <w:shd w:val="clear" w:color="auto" w:fill="FFFFFF"/>
            <w:vAlign w:val="center"/>
          </w:tcPr>
          <w:p>
            <w:r>
              <w:rPr>
                <w:sz w:val="18"/>
              </w:rPr>
              <w:t>N</w:t>
            </w:r>
          </w:p>
        </w:tc>
        <w:tc>
          <w:tcPr>
            <w:tcW w:type="dxa" w:w="2592"/>
            <w:shd w:val="clear" w:color="auto" w:fill="FFFFFF"/>
            <w:vAlign w:val="center"/>
          </w:tcPr>
          <w:p>
            <w:r>
              <w:rPr>
                <w:sz w:val="18"/>
              </w:rPr>
              <w:t>#b91c1c (dark red)</w:t>
            </w:r>
          </w:p>
        </w:tc>
        <w:tc>
          <w:tcPr>
            <w:tcW w:type="dxa" w:w="1152"/>
            <w:shd w:val="clear" w:color="auto" w:fill="FFFFFF"/>
            <w:vAlign w:val="center"/>
          </w:tcPr>
          <w:p>
            <w:r>
              <w:rPr>
                <w:sz w:val="18"/>
              </w:rPr>
              <w:t>8–22px</w:t>
            </w:r>
          </w:p>
        </w:tc>
        <w:tc>
          <w:tcPr>
            <w:tcW w:type="dxa" w:w="2592"/>
            <w:shd w:val="clear" w:color="auto" w:fill="FFFFFF"/>
            <w:vAlign w:val="center"/>
          </w:tcPr>
          <w:p>
            <w:r>
              <w:rPr>
                <w:sz w:val="18"/>
              </w:rPr>
              <w:t>Float</w:t>
            </w:r>
          </w:p>
        </w:tc>
      </w:tr>
      <w:tr>
        <w:tc>
          <w:tcPr>
            <w:tcW w:type="dxa" w:w="2880"/>
            <w:shd w:val="clear" w:color="auto" w:fill="F0F4FF"/>
            <w:vAlign w:val="center"/>
          </w:tcPr>
          <w:p>
            <w:r>
              <w:rPr>
                <w:sz w:val="18"/>
              </w:rPr>
              <w:t>Townland — tenancy</w:t>
            </w:r>
          </w:p>
        </w:tc>
        <w:tc>
          <w:tcPr>
            <w:tcW w:type="dxa" w:w="1008"/>
            <w:shd w:val="clear" w:color="auto" w:fill="F0F4FF"/>
            <w:vAlign w:val="center"/>
          </w:tcPr>
          <w:p>
            <w:r>
              <w:rPr>
                <w:sz w:val="18"/>
              </w:rPr>
              <w:t>N</w:t>
            </w:r>
          </w:p>
        </w:tc>
        <w:tc>
          <w:tcPr>
            <w:tcW w:type="dxa" w:w="2592"/>
            <w:shd w:val="clear" w:color="auto" w:fill="F0F4FF"/>
            <w:vAlign w:val="center"/>
          </w:tcPr>
          <w:p>
            <w:r>
              <w:rPr>
                <w:sz w:val="18"/>
              </w:rPr>
              <w:t>#1d4ed8 (dark blue)</w:t>
            </w:r>
          </w:p>
        </w:tc>
        <w:tc>
          <w:tcPr>
            <w:tcW w:type="dxa" w:w="1152"/>
            <w:shd w:val="clear" w:color="auto" w:fill="F0F4FF"/>
            <w:vAlign w:val="center"/>
          </w:tcPr>
          <w:p>
            <w:r>
              <w:rPr>
                <w:sz w:val="18"/>
              </w:rPr>
              <w:t>8–22px</w:t>
            </w:r>
          </w:p>
        </w:tc>
        <w:tc>
          <w:tcPr>
            <w:tcW w:type="dxa" w:w="2592"/>
            <w:shd w:val="clear" w:color="auto" w:fill="F0F4FF"/>
            <w:vAlign w:val="center"/>
          </w:tcPr>
          <w:p>
            <w:r>
              <w:rPr>
                <w:sz w:val="18"/>
              </w:rPr>
              <w:t>Float</w:t>
            </w:r>
          </w:p>
        </w:tc>
      </w:tr>
    </w:tbl>
    <w:p/>
    <w:p>
      <w:pPr>
        <w:spacing w:before="40" w:after="80"/>
      </w:pPr>
      <w:r>
        <w:rPr>
          <w:sz w:val="21"/>
        </w:rPr>
        <w:t>Townland node size is scaled by total record count: size = min(8 + total_records / 30, 22). Carnew (550 records) renders at maximum size 22; small townlands (≤ 10 records) at size 8.</w:t>
      </w:r>
    </w:p>
    <w:p>
      <w:pPr>
        <w:pStyle w:val="Heading2"/>
        <w:spacing w:before="200" w:after="80"/>
      </w:pPr>
      <w:r>
        <w:rPr>
          <w:b/>
          <w:color w:val="1D4ED8"/>
          <w:sz w:val="26"/>
        </w:rPr>
        <w:t>11.3 D3 Force Simulation Parameters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160"/>
            <w:shd w:val="clear" w:color="auto" w:fill="1E3A5F"/>
          </w:tcPr>
          <w:p>
            <w:pPr>
              <w:jc w:val="left"/>
            </w:pPr>
            <w:r>
              <w:rPr>
                <w:b/>
                <w:color w:val="FFFFFF"/>
                <w:sz w:val="19"/>
              </w:rPr>
              <w:t>Force</w:t>
            </w:r>
          </w:p>
        </w:tc>
        <w:tc>
          <w:tcPr>
            <w:tcW w:type="dxa" w:w="3168"/>
            <w:shd w:val="clear" w:color="auto" w:fill="1E3A5F"/>
          </w:tcPr>
          <w:p>
            <w:pPr>
              <w:jc w:val="left"/>
            </w:pPr>
            <w:r>
              <w:rPr>
                <w:b/>
                <w:color w:val="FFFFFF"/>
                <w:sz w:val="19"/>
              </w:rPr>
              <w:t>Parameter</w:t>
            </w:r>
          </w:p>
        </w:tc>
        <w:tc>
          <w:tcPr>
            <w:tcW w:type="dxa" w:w="1296"/>
            <w:shd w:val="clear" w:color="auto" w:fill="1E3A5F"/>
          </w:tcPr>
          <w:p>
            <w:pPr>
              <w:jc w:val="left"/>
            </w:pPr>
            <w:r>
              <w:rPr>
                <w:b/>
                <w:color w:val="FFFFFF"/>
                <w:sz w:val="19"/>
              </w:rPr>
              <w:t>Value</w:t>
            </w:r>
          </w:p>
        </w:tc>
        <w:tc>
          <w:tcPr>
            <w:tcW w:type="dxa" w:w="2880"/>
            <w:shd w:val="clear" w:color="auto" w:fill="1E3A5F"/>
          </w:tcPr>
          <w:p>
            <w:pPr>
              <w:jc w:val="left"/>
            </w:pPr>
            <w:r>
              <w:rPr>
                <w:b/>
                <w:color w:val="FFFFFF"/>
                <w:sz w:val="19"/>
              </w:rPr>
              <w:t>Effect</w:t>
            </w:r>
          </w:p>
        </w:tc>
      </w:tr>
      <w:tr>
        <w:tc>
          <w:tcPr>
            <w:tcW w:type="dxa" w:w="2160"/>
            <w:shd w:val="clear" w:color="auto" w:fill="F0F4FF"/>
            <w:vAlign w:val="center"/>
          </w:tcPr>
          <w:p>
            <w:r>
              <w:rPr>
                <w:sz w:val="18"/>
              </w:rPr>
              <w:t>forceLink</w:t>
            </w:r>
          </w:p>
        </w:tc>
        <w:tc>
          <w:tcPr>
            <w:tcW w:type="dxa" w:w="3168"/>
            <w:shd w:val="clear" w:color="auto" w:fill="F0F4FF"/>
            <w:vAlign w:val="center"/>
          </w:tcPr>
          <w:p>
            <w:r>
              <w:rPr>
                <w:sz w:val="18"/>
              </w:rPr>
              <w:t>distance — parish_townland</w:t>
            </w:r>
          </w:p>
        </w:tc>
        <w:tc>
          <w:tcPr>
            <w:tcW w:type="dxa" w:w="1296"/>
            <w:shd w:val="clear" w:color="auto" w:fill="F0F4FF"/>
            <w:vAlign w:val="center"/>
          </w:tcPr>
          <w:p>
            <w:r>
              <w:rPr>
                <w:sz w:val="18"/>
              </w:rPr>
              <w:t>55px</w:t>
            </w:r>
          </w:p>
        </w:tc>
        <w:tc>
          <w:tcPr>
            <w:tcW w:type="dxa" w:w="2880"/>
            <w:shd w:val="clear" w:color="auto" w:fill="F0F4FF"/>
            <w:vAlign w:val="center"/>
          </w:tcPr>
          <w:p>
            <w:r>
              <w:rPr>
                <w:sz w:val="18"/>
              </w:rPr>
              <w:t>Parishes cluster close to their townlands</w:t>
            </w:r>
          </w:p>
        </w:tc>
      </w:tr>
      <w:tr>
        <w:tc>
          <w:tcPr>
            <w:tcW w:type="dxa" w:w="2160"/>
            <w:shd w:val="clear" w:color="auto" w:fill="FFFFFF"/>
            <w:vAlign w:val="center"/>
          </w:tcPr>
          <w:p>
            <w:r>
              <w:rPr>
                <w:sz w:val="18"/>
              </w:rPr>
              <w:t>forceLink</w:t>
            </w:r>
          </w:p>
        </w:tc>
        <w:tc>
          <w:tcPr>
            <w:tcW w:type="dxa" w:w="3168"/>
            <w:shd w:val="clear" w:color="auto" w:fill="FFFFFF"/>
            <w:vAlign w:val="center"/>
          </w:tcPr>
          <w:p>
            <w:r>
              <w:rPr>
                <w:sz w:val="18"/>
              </w:rPr>
              <w:t>distance — townland_event</w:t>
            </w:r>
          </w:p>
        </w:tc>
        <w:tc>
          <w:tcPr>
            <w:tcW w:type="dxa" w:w="1296"/>
            <w:shd w:val="clear" w:color="auto" w:fill="FFFFFF"/>
            <w:vAlign w:val="center"/>
          </w:tcPr>
          <w:p>
            <w:r>
              <w:rPr>
                <w:sz w:val="18"/>
              </w:rPr>
              <w:t>110px</w:t>
            </w:r>
          </w:p>
        </w:tc>
        <w:tc>
          <w:tcPr>
            <w:tcW w:type="dxa" w:w="2880"/>
            <w:shd w:val="clear" w:color="auto" w:fill="FFFFFF"/>
            <w:vAlign w:val="center"/>
          </w:tcPr>
          <w:p>
            <w:r>
              <w:rPr>
                <w:sz w:val="18"/>
              </w:rPr>
              <w:t>Townlands pulled toward event hubs</w:t>
            </w:r>
          </w:p>
        </w:tc>
      </w:tr>
      <w:tr>
        <w:tc>
          <w:tcPr>
            <w:tcW w:type="dxa" w:w="2160"/>
            <w:shd w:val="clear" w:color="auto" w:fill="F0F4FF"/>
            <w:vAlign w:val="center"/>
          </w:tcPr>
          <w:p>
            <w:r>
              <w:rPr>
                <w:sz w:val="18"/>
              </w:rPr>
              <w:t>forceLink</w:t>
            </w:r>
          </w:p>
        </w:tc>
        <w:tc>
          <w:tcPr>
            <w:tcW w:type="dxa" w:w="3168"/>
            <w:shd w:val="clear" w:color="auto" w:fill="F0F4FF"/>
            <w:vAlign w:val="center"/>
          </w:tcPr>
          <w:p>
            <w:r>
              <w:rPr>
                <w:sz w:val="18"/>
              </w:rPr>
              <w:t>strength — parish_townland</w:t>
            </w:r>
          </w:p>
        </w:tc>
        <w:tc>
          <w:tcPr>
            <w:tcW w:type="dxa" w:w="1296"/>
            <w:shd w:val="clear" w:color="auto" w:fill="F0F4FF"/>
            <w:vAlign w:val="center"/>
          </w:tcPr>
          <w:p>
            <w:r>
              <w:rPr>
                <w:sz w:val="18"/>
              </w:rPr>
              <w:t>0.55</w:t>
            </w:r>
          </w:p>
        </w:tc>
        <w:tc>
          <w:tcPr>
            <w:tcW w:type="dxa" w:w="2880"/>
            <w:shd w:val="clear" w:color="auto" w:fill="F0F4FF"/>
            <w:vAlign w:val="center"/>
          </w:tcPr>
          <w:p>
            <w:r>
              <w:rPr>
                <w:sz w:val="18"/>
              </w:rPr>
              <w:t>Strong grouping of parish clusters</w:t>
            </w:r>
          </w:p>
        </w:tc>
      </w:tr>
      <w:tr>
        <w:tc>
          <w:tcPr>
            <w:tcW w:type="dxa" w:w="2160"/>
            <w:shd w:val="clear" w:color="auto" w:fill="FFFFFF"/>
            <w:vAlign w:val="center"/>
          </w:tcPr>
          <w:p>
            <w:r>
              <w:rPr>
                <w:sz w:val="18"/>
              </w:rPr>
              <w:t>forceLink</w:t>
            </w:r>
          </w:p>
        </w:tc>
        <w:tc>
          <w:tcPr>
            <w:tcW w:type="dxa" w:w="3168"/>
            <w:shd w:val="clear" w:color="auto" w:fill="FFFFFF"/>
            <w:vAlign w:val="center"/>
          </w:tcPr>
          <w:p>
            <w:r>
              <w:rPr>
                <w:sz w:val="18"/>
              </w:rPr>
              <w:t>strength — townland_event</w:t>
            </w:r>
          </w:p>
        </w:tc>
        <w:tc>
          <w:tcPr>
            <w:tcW w:type="dxa" w:w="1296"/>
            <w:shd w:val="clear" w:color="auto" w:fill="FFFFFF"/>
            <w:vAlign w:val="center"/>
          </w:tcPr>
          <w:p>
            <w:r>
              <w:rPr>
                <w:sz w:val="18"/>
              </w:rPr>
              <w:t>0.25</w:t>
            </w:r>
          </w:p>
        </w:tc>
        <w:tc>
          <w:tcPr>
            <w:tcW w:type="dxa" w:w="2880"/>
            <w:shd w:val="clear" w:color="auto" w:fill="FFFFFF"/>
            <w:vAlign w:val="center"/>
          </w:tcPr>
          <w:p>
            <w:r>
              <w:rPr>
                <w:sz w:val="18"/>
              </w:rPr>
              <w:t>Moderate pull toward hubs</w:t>
            </w:r>
          </w:p>
        </w:tc>
      </w:tr>
      <w:tr>
        <w:tc>
          <w:tcPr>
            <w:tcW w:type="dxa" w:w="2160"/>
            <w:shd w:val="clear" w:color="auto" w:fill="F0F4FF"/>
            <w:vAlign w:val="center"/>
          </w:tcPr>
          <w:p>
            <w:r>
              <w:rPr>
                <w:sz w:val="18"/>
              </w:rPr>
              <w:t>forceManyBody</w:t>
            </w:r>
          </w:p>
        </w:tc>
        <w:tc>
          <w:tcPr>
            <w:tcW w:type="dxa" w:w="3168"/>
            <w:shd w:val="clear" w:color="auto" w:fill="F0F4FF"/>
            <w:vAlign w:val="center"/>
          </w:tcPr>
          <w:p>
            <w:r>
              <w:rPr>
                <w:sz w:val="18"/>
              </w:rPr>
              <w:t>strength — EventHub</w:t>
            </w:r>
          </w:p>
        </w:tc>
        <w:tc>
          <w:tcPr>
            <w:tcW w:type="dxa" w:w="1296"/>
            <w:shd w:val="clear" w:color="auto" w:fill="F0F4FF"/>
            <w:vAlign w:val="center"/>
          </w:tcPr>
          <w:p>
            <w:r>
              <w:rPr>
                <w:sz w:val="18"/>
              </w:rPr>
              <w:t>-900</w:t>
            </w:r>
          </w:p>
        </w:tc>
        <w:tc>
          <w:tcPr>
            <w:tcW w:type="dxa" w:w="2880"/>
            <w:shd w:val="clear" w:color="auto" w:fill="F0F4FF"/>
            <w:vAlign w:val="center"/>
          </w:tcPr>
          <w:p>
            <w:r>
              <w:rPr>
                <w:sz w:val="18"/>
              </w:rPr>
              <w:t>Strong hub repulsion keeps hubs apart</w:t>
            </w:r>
          </w:p>
        </w:tc>
      </w:tr>
      <w:tr>
        <w:tc>
          <w:tcPr>
            <w:tcW w:type="dxa" w:w="2160"/>
            <w:shd w:val="clear" w:color="auto" w:fill="FFFFFF"/>
            <w:vAlign w:val="center"/>
          </w:tcPr>
          <w:p>
            <w:r>
              <w:rPr>
                <w:sz w:val="18"/>
              </w:rPr>
              <w:t>forceManyBody</w:t>
            </w:r>
          </w:p>
        </w:tc>
        <w:tc>
          <w:tcPr>
            <w:tcW w:type="dxa" w:w="3168"/>
            <w:shd w:val="clear" w:color="auto" w:fill="FFFFFF"/>
            <w:vAlign w:val="center"/>
          </w:tcPr>
          <w:p>
            <w:r>
              <w:rPr>
                <w:sz w:val="18"/>
              </w:rPr>
              <w:t>strength — Parish</w:t>
            </w:r>
          </w:p>
        </w:tc>
        <w:tc>
          <w:tcPr>
            <w:tcW w:type="dxa" w:w="1296"/>
            <w:shd w:val="clear" w:color="auto" w:fill="FFFFFF"/>
            <w:vAlign w:val="center"/>
          </w:tcPr>
          <w:p>
            <w:r>
              <w:rPr>
                <w:sz w:val="18"/>
              </w:rPr>
              <w:t>-350</w:t>
            </w:r>
          </w:p>
        </w:tc>
        <w:tc>
          <w:tcPr>
            <w:tcW w:type="dxa" w:w="2880"/>
            <w:shd w:val="clear" w:color="auto" w:fill="FFFFFF"/>
            <w:vAlign w:val="center"/>
          </w:tcPr>
          <w:p>
            <w:r>
              <w:rPr>
                <w:sz w:val="18"/>
              </w:rPr>
              <w:t>Moderate parish separation</w:t>
            </w:r>
          </w:p>
        </w:tc>
      </w:tr>
      <w:tr>
        <w:tc>
          <w:tcPr>
            <w:tcW w:type="dxa" w:w="2160"/>
            <w:shd w:val="clear" w:color="auto" w:fill="F0F4FF"/>
            <w:vAlign w:val="center"/>
          </w:tcPr>
          <w:p>
            <w:r>
              <w:rPr>
                <w:sz w:val="18"/>
              </w:rPr>
              <w:t>forceManyBody</w:t>
            </w:r>
          </w:p>
        </w:tc>
        <w:tc>
          <w:tcPr>
            <w:tcW w:type="dxa" w:w="3168"/>
            <w:shd w:val="clear" w:color="auto" w:fill="F0F4FF"/>
            <w:vAlign w:val="center"/>
          </w:tcPr>
          <w:p>
            <w:r>
              <w:rPr>
                <w:sz w:val="18"/>
              </w:rPr>
              <w:t>strength — Townland</w:t>
            </w:r>
          </w:p>
        </w:tc>
        <w:tc>
          <w:tcPr>
            <w:tcW w:type="dxa" w:w="1296"/>
            <w:shd w:val="clear" w:color="auto" w:fill="F0F4FF"/>
            <w:vAlign w:val="center"/>
          </w:tcPr>
          <w:p>
            <w:r>
              <w:rPr>
                <w:sz w:val="18"/>
              </w:rPr>
              <w:t>-45</w:t>
            </w:r>
          </w:p>
        </w:tc>
        <w:tc>
          <w:tcPr>
            <w:tcW w:type="dxa" w:w="2880"/>
            <w:shd w:val="clear" w:color="auto" w:fill="F0F4FF"/>
            <w:vAlign w:val="center"/>
          </w:tcPr>
          <w:p>
            <w:r>
              <w:rPr>
                <w:sz w:val="18"/>
              </w:rPr>
              <w:t>Mild townland spread</w:t>
            </w:r>
          </w:p>
        </w:tc>
      </w:tr>
      <w:tr>
        <w:tc>
          <w:tcPr>
            <w:tcW w:type="dxa" w:w="2160"/>
            <w:shd w:val="clear" w:color="auto" w:fill="FFFFFF"/>
            <w:vAlign w:val="center"/>
          </w:tcPr>
          <w:p>
            <w:r>
              <w:rPr>
                <w:sz w:val="18"/>
              </w:rPr>
              <w:t>alphaDecay</w:t>
            </w:r>
          </w:p>
        </w:tc>
        <w:tc>
          <w:tcPr>
            <w:tcW w:type="dxa" w:w="3168"/>
            <w:shd w:val="clear" w:color="auto" w:fill="FFFFFF"/>
            <w:vAlign w:val="center"/>
          </w:tcPr>
          <w:p>
            <w:r>
              <w:rPr>
                <w:sz w:val="18"/>
              </w:rPr>
              <w:t>—</w:t>
            </w:r>
          </w:p>
        </w:tc>
        <w:tc>
          <w:tcPr>
            <w:tcW w:type="dxa" w:w="1296"/>
            <w:shd w:val="clear" w:color="auto" w:fill="FFFFFF"/>
            <w:vAlign w:val="center"/>
          </w:tcPr>
          <w:p>
            <w:r>
              <w:rPr>
                <w:sz w:val="18"/>
              </w:rPr>
              <w:t>0.022</w:t>
            </w:r>
          </w:p>
        </w:tc>
        <w:tc>
          <w:tcPr>
            <w:tcW w:type="dxa" w:w="2880"/>
            <w:shd w:val="clear" w:color="auto" w:fill="FFFFFF"/>
            <w:vAlign w:val="center"/>
          </w:tcPr>
          <w:p>
            <w:r>
              <w:rPr>
                <w:sz w:val="18"/>
              </w:rPr>
              <w:t>Longer settle time for cleaner layout</w:t>
            </w:r>
          </w:p>
        </w:tc>
      </w:tr>
    </w:tbl>
    <w:p/>
    <w:p>
      <w:pPr>
        <w:pStyle w:val="Heading2"/>
        <w:spacing w:before="200" w:after="80"/>
      </w:pPr>
      <w:r>
        <w:rPr>
          <w:b/>
          <w:color w:val="1D4ED8"/>
          <w:sz w:val="26"/>
        </w:rPr>
        <w:t>11.4 Backend Graph Builder</w:t>
      </w:r>
    </w:p>
    <w:p>
      <w:pPr>
        <w:spacing w:before="40" w:after="80"/>
      </w:pPr>
      <w:r>
        <w:rPr>
          <w:sz w:val="21"/>
        </w:rPr>
        <w:t>kg_service._build_graph_inner() builds the graph from four SQLite queries and caches the result in a process-level singleton (_GRAPH_CACHE):</w:t>
      </w:r>
    </w:p>
    <w:p>
      <w:pPr>
        <w:pStyle w:val="ListBullet"/>
        <w:spacing w:before="20" w:after="40"/>
      </w:pPr>
      <w:r>
        <w:rPr>
          <w:sz w:val="21"/>
        </w:rPr>
        <w:t>Aggregated stats per townland: GROUP BY townland with SUM(has_*_record) counts</w:t>
      </w:r>
    </w:p>
    <w:p>
      <w:pPr>
        <w:pStyle w:val="ListBullet"/>
        <w:spacing w:before="20" w:after="40"/>
      </w:pPr>
      <w:r>
        <w:rPr>
          <w:sz w:val="21"/>
        </w:rPr>
        <w:t>Parish mapping from unified_record.parish (most common clean value per townland)</w:t>
      </w:r>
    </w:p>
    <w:p>
      <w:pPr>
        <w:pStyle w:val="ListBullet"/>
        <w:spacing w:before="20" w:after="40"/>
      </w:pPr>
      <w:r>
        <w:rPr>
          <w:sz w:val="21"/>
        </w:rPr>
        <w:t>Fallback enrichment from townland reference table (UPPER key lookup)</w:t>
      </w:r>
    </w:p>
    <w:p>
      <w:pPr>
        <w:pStyle w:val="ListBullet"/>
        <w:spacing w:before="20" w:after="40"/>
      </w:pPr>
      <w:r>
        <w:rPr>
          <w:sz w:val="21"/>
        </w:rPr>
        <w:t>Census/clearances membership: SELECT DISTINCT townland_id from each table</w:t>
      </w:r>
    </w:p>
    <w:p>
      <w:pPr>
        <w:pStyle w:val="Heading2"/>
        <w:spacing w:before="200" w:after="80"/>
      </w:pPr>
      <w:r>
        <w:rPr>
          <w:b/>
          <w:color w:val="1D4ED8"/>
          <w:sz w:val="26"/>
        </w:rPr>
        <w:t>11.5 On-Demand Person Drill-Down</w:t>
      </w:r>
    </w:p>
    <w:p>
      <w:pPr>
        <w:spacing w:before="40" w:after="80"/>
      </w:pPr>
      <w:r>
        <w:rPr>
          <w:sz w:val="21"/>
        </w:rPr>
        <w:t>Clicking any Townland node triggers an async fetch to GET /api/kg/townland/&lt;name&gt;. kg_service.get_townland_persons() returns up to 50 persons with name, year, event type, and occupation. The detail panel shows aggregated stats, parish/barony/county, and a scrollable person list with event-type colour badges.</w:t>
      </w:r>
    </w:p>
    <w:p>
      <w:pPr>
        <w:pStyle w:val="Heading2"/>
        <w:spacing w:before="200" w:after="80"/>
      </w:pPr>
      <w:r>
        <w:rPr>
          <w:b/>
          <w:color w:val="1D4ED8"/>
          <w:sz w:val="26"/>
        </w:rPr>
        <w:t>11.6 Client-Side Search</w:t>
      </w:r>
    </w:p>
    <w:p>
      <w:pPr>
        <w:spacing w:before="40" w:after="80"/>
      </w:pPr>
      <w:r>
        <w:rPr>
          <w:sz w:val="21"/>
        </w:rPr>
        <w:t>The search box filters nodes client-side across label, civil_parish, barony, county, dominant_event, and type fields. Matching nodes are highlighted (opacity=1, gold stroke, slightly enlarged); non-matching nodes fade to opacity 0.06. Connected edges of matching nodes increase to stroke-opacity 0.55; others drop to 0.03.</w:t>
      </w:r>
    </w:p>
    <w:p>
      <w:r>
        <w:br w:type="page"/>
      </w:r>
    </w:p>
    <w:p>
      <w:pPr>
        <w:pStyle w:val="Heading1"/>
        <w:spacing w:before="280" w:after="80"/>
      </w:pPr>
      <w:r>
        <w:rPr>
          <w:b/>
          <w:color w:val="0F172A"/>
          <w:sz w:val="32"/>
        </w:rPr>
        <w:t>12. Feature: GraphDB SPARQL Integration</w:t>
      </w:r>
    </w:p>
    <w:p>
      <w:pPr>
        <w:pStyle w:val="Heading2"/>
        <w:spacing w:before="200" w:after="80"/>
      </w:pPr>
      <w:r>
        <w:rPr>
          <w:b/>
          <w:color w:val="1D4ED8"/>
          <w:sz w:val="26"/>
        </w:rPr>
        <w:t>12.1 RDF Ontology</w:t>
      </w:r>
    </w:p>
    <w:p>
      <w:pPr>
        <w:spacing w:before="40" w:after="80"/>
      </w:pPr>
      <w:r>
        <w:rPr>
          <w:sz w:val="21"/>
        </w:rPr>
        <w:t>The Coolattin estate data uses a custom ontology with the following namespaces:</w:t>
      </w:r>
    </w:p>
    <w:tbl>
      <w:tblPr>
        <w:tblStyle w:val="TableGrid"/>
        <w:tblW w:type="auto" w:w="0"/>
        <w:jc w:val="left"/>
        <w:tblLook w:firstColumn="1" w:firstRow="1" w:lastColumn="0" w:lastRow="0" w:noHBand="0" w:noVBand="1" w:val="04A0"/>
      </w:tblPr>
      <w:tblGrid>
        <w:gridCol w:w="3022"/>
        <w:gridCol w:w="3022"/>
        <w:gridCol w:w="3022"/>
      </w:tblGrid>
      <w:tr>
        <w:tc>
          <w:tcPr>
            <w:tcW w:type="dxa" w:w="1296"/>
            <w:shd w:val="clear" w:color="auto" w:fill="1E3A5F"/>
          </w:tcPr>
          <w:p>
            <w:pPr>
              <w:jc w:val="left"/>
            </w:pPr>
            <w:r>
              <w:rPr>
                <w:b/>
                <w:color w:val="FFFFFF"/>
                <w:sz w:val="19"/>
              </w:rPr>
              <w:t>Prefix</w:t>
            </w:r>
          </w:p>
        </w:tc>
        <w:tc>
          <w:tcPr>
            <w:tcW w:type="dxa" w:w="4032"/>
            <w:shd w:val="clear" w:color="auto" w:fill="1E3A5F"/>
          </w:tcPr>
          <w:p>
            <w:pPr>
              <w:jc w:val="left"/>
            </w:pPr>
            <w:r>
              <w:rPr>
                <w:b/>
                <w:color w:val="FFFFFF"/>
                <w:sz w:val="19"/>
              </w:rPr>
              <w:t>Namespace URI</w:t>
            </w:r>
          </w:p>
        </w:tc>
        <w:tc>
          <w:tcPr>
            <w:tcW w:type="dxa" w:w="4032"/>
            <w:shd w:val="clear" w:color="auto" w:fill="1E3A5F"/>
          </w:tcPr>
          <w:p>
            <w:pPr>
              <w:jc w:val="left"/>
            </w:pPr>
            <w:r>
              <w:rPr>
                <w:b/>
                <w:color w:val="FFFFFF"/>
                <w:sz w:val="19"/>
              </w:rPr>
              <w:t>Purpose</w:t>
            </w:r>
          </w:p>
        </w:tc>
      </w:tr>
      <w:tr>
        <w:tc>
          <w:tcPr>
            <w:tcW w:type="dxa" w:w="1296"/>
            <w:shd w:val="clear" w:color="auto" w:fill="F0F4FF"/>
            <w:vAlign w:val="center"/>
          </w:tcPr>
          <w:p>
            <w:r>
              <w:rPr>
                <w:sz w:val="18"/>
              </w:rPr>
              <w:t>co:</w:t>
            </w:r>
          </w:p>
        </w:tc>
        <w:tc>
          <w:tcPr>
            <w:tcW w:type="dxa" w:w="4032"/>
            <w:shd w:val="clear" w:color="auto" w:fill="F0F4FF"/>
            <w:vAlign w:val="center"/>
          </w:tcPr>
          <w:p>
            <w:r>
              <w:rPr>
                <w:sz w:val="18"/>
              </w:rPr>
              <w:t>https://coolattin.ie/ontology#</w:t>
            </w:r>
          </w:p>
        </w:tc>
        <w:tc>
          <w:tcPr>
            <w:tcW w:type="dxa" w:w="4032"/>
            <w:shd w:val="clear" w:color="auto" w:fill="F0F4FF"/>
            <w:vAlign w:val="center"/>
          </w:tcPr>
          <w:p>
            <w:r>
              <w:rPr>
                <w:sz w:val="18"/>
              </w:rPr>
              <w:t>Coolattin domain ontology (Person, Event, properties)</w:t>
            </w:r>
          </w:p>
        </w:tc>
      </w:tr>
      <w:tr>
        <w:tc>
          <w:tcPr>
            <w:tcW w:type="dxa" w:w="1296"/>
            <w:shd w:val="clear" w:color="auto" w:fill="FFFFFF"/>
            <w:vAlign w:val="center"/>
          </w:tcPr>
          <w:p>
            <w:r>
              <w:rPr>
                <w:sz w:val="18"/>
              </w:rPr>
              <w:t>ex:</w:t>
            </w:r>
          </w:p>
        </w:tc>
        <w:tc>
          <w:tcPr>
            <w:tcW w:type="dxa" w:w="4032"/>
            <w:shd w:val="clear" w:color="auto" w:fill="FFFFFF"/>
            <w:vAlign w:val="center"/>
          </w:tcPr>
          <w:p>
            <w:r>
              <w:rPr>
                <w:sz w:val="18"/>
              </w:rPr>
              <w:t>https://coolattin.ie/resource/</w:t>
            </w:r>
          </w:p>
        </w:tc>
        <w:tc>
          <w:tcPr>
            <w:tcW w:type="dxa" w:w="4032"/>
            <w:shd w:val="clear" w:color="auto" w:fill="FFFFFF"/>
            <w:vAlign w:val="center"/>
          </w:tcPr>
          <w:p>
            <w:r>
              <w:rPr>
                <w:sz w:val="18"/>
              </w:rPr>
              <w:t>Instance URIs (ex:person_1234, ex:event_1234)</w:t>
            </w:r>
          </w:p>
        </w:tc>
      </w:tr>
      <w:tr>
        <w:tc>
          <w:tcPr>
            <w:tcW w:type="dxa" w:w="1296"/>
            <w:shd w:val="clear" w:color="auto" w:fill="F0F4FF"/>
            <w:vAlign w:val="center"/>
          </w:tcPr>
          <w:p>
            <w:r>
              <w:rPr>
                <w:sz w:val="18"/>
              </w:rPr>
              <w:t>schema:</w:t>
            </w:r>
          </w:p>
        </w:tc>
        <w:tc>
          <w:tcPr>
            <w:tcW w:type="dxa" w:w="4032"/>
            <w:shd w:val="clear" w:color="auto" w:fill="F0F4FF"/>
            <w:vAlign w:val="center"/>
          </w:tcPr>
          <w:p>
            <w:r>
              <w:rPr>
                <w:sz w:val="18"/>
              </w:rPr>
              <w:t>https://schema.org/</w:t>
            </w:r>
          </w:p>
        </w:tc>
        <w:tc>
          <w:tcPr>
            <w:tcW w:type="dxa" w:w="4032"/>
            <w:shd w:val="clear" w:color="auto" w:fill="F0F4FF"/>
            <w:vAlign w:val="center"/>
          </w:tcPr>
          <w:p>
            <w:r>
              <w:rPr>
                <w:sz w:val="18"/>
              </w:rPr>
              <w:t>Standard vocabulary (givenName, familyName)</w:t>
            </w:r>
          </w:p>
        </w:tc>
      </w:tr>
      <w:tr>
        <w:tc>
          <w:tcPr>
            <w:tcW w:type="dxa" w:w="1296"/>
            <w:shd w:val="clear" w:color="auto" w:fill="FFFFFF"/>
            <w:vAlign w:val="center"/>
          </w:tcPr>
          <w:p>
            <w:r>
              <w:rPr>
                <w:sz w:val="18"/>
              </w:rPr>
              <w:t>xsd:</w:t>
            </w:r>
          </w:p>
        </w:tc>
        <w:tc>
          <w:tcPr>
            <w:tcW w:type="dxa" w:w="4032"/>
            <w:shd w:val="clear" w:color="auto" w:fill="FFFFFF"/>
            <w:vAlign w:val="center"/>
          </w:tcPr>
          <w:p>
            <w:r>
              <w:rPr>
                <w:sz w:val="18"/>
              </w:rPr>
              <w:t>http://www.w3.org/2001/XMLSchema#</w:t>
            </w:r>
          </w:p>
        </w:tc>
        <w:tc>
          <w:tcPr>
            <w:tcW w:type="dxa" w:w="4032"/>
            <w:shd w:val="clear" w:color="auto" w:fill="FFFFFF"/>
            <w:vAlign w:val="center"/>
          </w:tcPr>
          <w:p>
            <w:r>
              <w:rPr>
                <w:sz w:val="18"/>
              </w:rPr>
              <w:t>Data types (integer, string)</w:t>
            </w:r>
          </w:p>
        </w:tc>
      </w:tr>
    </w:tbl>
    <w:p/>
    <w:p>
      <w:pPr>
        <w:spacing w:before="40" w:after="80"/>
      </w:pPr>
      <w:r>
        <w:rPr>
          <w:sz w:val="21"/>
        </w:rPr>
        <w:t>Classes: co:Person, co:Event</w:t>
      </w:r>
    </w:p>
    <w:p>
      <w:pPr>
        <w:spacing w:before="40" w:after="80"/>
      </w:pPr>
      <w:r>
        <w:rPr>
          <w:sz w:val="21"/>
        </w:rPr>
        <w:t>Key properties: schema:givenName, schema:familyName, co:townland, co:estate, co:hasEvent, co:eventType, co:year</w:t>
      </w:r>
    </w:p>
    <w:p>
      <w:pPr>
        <w:pStyle w:val="Heading2"/>
        <w:spacing w:before="200" w:after="80"/>
      </w:pPr>
      <w:r>
        <w:rPr>
          <w:b/>
          <w:color w:val="1D4ED8"/>
          <w:sz w:val="26"/>
        </w:rPr>
        <w:t>12.2 GraphDB Client (graphdb_sparql.py)</w:t>
      </w:r>
    </w:p>
    <w:p>
      <w:pPr>
        <w:spacing w:before="40" w:after="80"/>
      </w:pPr>
      <w:r>
        <w:rPr>
          <w:sz w:val="21"/>
        </w:rPr>
        <w:t>The sole module that communicates with GraphDB. All queries use POST (not GET) per SPARQL 1.1 Protocol §2.1.3 — this instance stalls indefinitely on GET requests:</w:t>
      </w:r>
    </w:p>
    <w:p>
      <w:pPr>
        <w:spacing w:before="40" w:after="40"/>
        <w:ind w:left="432"/>
      </w:pPr>
      <w:r>
        <w:rPr>
          <w:rFonts w:ascii="Courier New" w:hAnsi="Courier New"/>
          <w:color w:val="1E40AF"/>
          <w:sz w:val="17"/>
        </w:rPr>
        <w:t>resp = requests.post(endpoint,</w:t>
      </w:r>
    </w:p>
    <w:p>
      <w:pPr>
        <w:spacing w:before="40" w:after="40"/>
        <w:ind w:left="432"/>
      </w:pPr>
      <w:r>
        <w:rPr>
          <w:rFonts w:ascii="Courier New" w:hAnsi="Courier New"/>
          <w:color w:val="1E40AF"/>
          <w:sz w:val="17"/>
        </w:rPr>
        <w:t xml:space="preserve">    data={'query': full_query},</w:t>
      </w:r>
    </w:p>
    <w:p>
      <w:pPr>
        <w:spacing w:before="40" w:after="40"/>
        <w:ind w:left="432"/>
      </w:pPr>
      <w:r>
        <w:rPr>
          <w:rFonts w:ascii="Courier New" w:hAnsi="Courier New"/>
          <w:color w:val="1E40AF"/>
          <w:sz w:val="17"/>
        </w:rPr>
        <w:t xml:space="preserve">    headers={'Accept': 'application/sparql-results+json',</w:t>
      </w:r>
    </w:p>
    <w:p>
      <w:pPr>
        <w:spacing w:before="40" w:after="40"/>
        <w:ind w:left="432"/>
      </w:pPr>
      <w:r>
        <w:rPr>
          <w:rFonts w:ascii="Courier New" w:hAnsi="Courier New"/>
          <w:color w:val="1E40AF"/>
          <w:sz w:val="17"/>
        </w:rPr>
        <w:t xml:space="preserve">             'Content-Type': 'application/x-www-form-urlencoded'})</w:t>
      </w:r>
    </w:p>
    <w:p>
      <w:pPr>
        <w:spacing w:before="40" w:after="80"/>
      </w:pPr>
      <w:r>
        <w:rPr>
          <w:sz w:val="21"/>
        </w:rPr>
        <w:t>probe() and triple_count() use the GraphDB REST /size endpoint (returns plain-text integer instantly) rather than a SPARQL query. All calls wrap exceptions and return ([], []) on failure — the application degrades gracefully when GraphDB is unavailable.</w:t>
      </w:r>
    </w:p>
    <w:p>
      <w:pPr>
        <w:pStyle w:val="Heading2"/>
        <w:spacing w:before="200" w:after="80"/>
      </w:pPr>
      <w:r>
        <w:rPr>
          <w:b/>
          <w:color w:val="1D4ED8"/>
          <w:sz w:val="26"/>
        </w:rPr>
        <w:t>12.3 Comparison Scenarios</w:t>
      </w:r>
    </w:p>
    <w:tbl>
      <w:tblPr>
        <w:tblStyle w:val="TableGrid"/>
        <w:tblW w:type="auto" w:w="0"/>
        <w:jc w:val="left"/>
        <w:tblLook w:firstColumn="1" w:firstRow="1" w:lastColumn="0" w:lastRow="0" w:noHBand="0" w:noVBand="1" w:val="04A0"/>
      </w:tblPr>
      <w:tblGrid>
        <w:gridCol w:w="3022"/>
        <w:gridCol w:w="3022"/>
        <w:gridCol w:w="3022"/>
      </w:tblGrid>
      <w:tr>
        <w:tc>
          <w:tcPr>
            <w:tcW w:type="dxa" w:w="2448"/>
            <w:shd w:val="clear" w:color="auto" w:fill="1E3A5F"/>
          </w:tcPr>
          <w:p>
            <w:pPr>
              <w:jc w:val="left"/>
            </w:pPr>
            <w:r>
              <w:rPr>
                <w:b/>
                <w:color w:val="FFFFFF"/>
                <w:sz w:val="19"/>
              </w:rPr>
              <w:t>Scenario ID</w:t>
            </w:r>
          </w:p>
        </w:tc>
        <w:tc>
          <w:tcPr>
            <w:tcW w:type="dxa" w:w="2880"/>
            <w:shd w:val="clear" w:color="auto" w:fill="1E3A5F"/>
          </w:tcPr>
          <w:p>
            <w:pPr>
              <w:jc w:val="left"/>
            </w:pPr>
            <w:r>
              <w:rPr>
                <w:b/>
                <w:color w:val="FFFFFF"/>
                <w:sz w:val="19"/>
              </w:rPr>
              <w:t>Description</w:t>
            </w:r>
          </w:p>
        </w:tc>
        <w:tc>
          <w:tcPr>
            <w:tcW w:type="dxa" w:w="4032"/>
            <w:shd w:val="clear" w:color="auto" w:fill="1E3A5F"/>
          </w:tcPr>
          <w:p>
            <w:pPr>
              <w:jc w:val="left"/>
            </w:pPr>
            <w:r>
              <w:rPr>
                <w:b/>
                <w:color w:val="FFFFFF"/>
                <w:sz w:val="19"/>
              </w:rPr>
              <w:t>Key Semantic Difference</w:t>
            </w:r>
          </w:p>
        </w:tc>
      </w:tr>
      <w:tr>
        <w:tc>
          <w:tcPr>
            <w:tcW w:type="dxa" w:w="2448"/>
            <w:shd w:val="clear" w:color="auto" w:fill="F0F4FF"/>
            <w:vAlign w:val="center"/>
          </w:tcPr>
          <w:p>
            <w:r>
              <w:rPr>
                <w:sz w:val="18"/>
              </w:rPr>
              <w:t>emigration_count_by_townland</w:t>
            </w:r>
          </w:p>
        </w:tc>
        <w:tc>
          <w:tcPr>
            <w:tcW w:type="dxa" w:w="2880"/>
            <w:shd w:val="clear" w:color="auto" w:fill="F0F4FF"/>
            <w:vAlign w:val="center"/>
          </w:tcPr>
          <w:p>
            <w:r>
              <w:rPr>
                <w:sz w:val="18"/>
              </w:rPr>
              <w:t>Emigrants grouped by townland</w:t>
            </w:r>
          </w:p>
        </w:tc>
        <w:tc>
          <w:tcPr>
            <w:tcW w:type="dxa" w:w="4032"/>
            <w:shd w:val="clear" w:color="auto" w:fill="F0F4FF"/>
            <w:vAlign w:val="center"/>
          </w:tcPr>
          <w:p>
            <w:r>
              <w:rPr>
                <w:sz w:val="18"/>
              </w:rPr>
              <w:t>SQL NULLs excluded by WHERE clause; SPARQL naturally excludes unbound ?townland</w:t>
            </w:r>
          </w:p>
        </w:tc>
      </w:tr>
      <w:tr>
        <w:tc>
          <w:tcPr>
            <w:tcW w:type="dxa" w:w="2448"/>
            <w:shd w:val="clear" w:color="auto" w:fill="FFFFFF"/>
            <w:vAlign w:val="center"/>
          </w:tcPr>
          <w:p>
            <w:r>
              <w:rPr>
                <w:sz w:val="18"/>
              </w:rPr>
              <w:t>eviction_count_by_year</w:t>
            </w:r>
          </w:p>
        </w:tc>
        <w:tc>
          <w:tcPr>
            <w:tcW w:type="dxa" w:w="2880"/>
            <w:shd w:val="clear" w:color="auto" w:fill="FFFFFF"/>
            <w:vAlign w:val="center"/>
          </w:tcPr>
          <w:p>
            <w:r>
              <w:rPr>
                <w:sz w:val="18"/>
              </w:rPr>
              <w:t>Evictions per year</w:t>
            </w:r>
          </w:p>
        </w:tc>
        <w:tc>
          <w:tcPr>
            <w:tcW w:type="dxa" w:w="4032"/>
            <w:shd w:val="clear" w:color="auto" w:fill="FFFFFF"/>
            <w:vAlign w:val="center"/>
          </w:tcPr>
          <w:p>
            <w:r>
              <w:rPr>
                <w:sz w:val="18"/>
              </w:rPr>
              <w:t>4 NULL year values cause SQL rowcount difference unless explicitly excluded</w:t>
            </w:r>
          </w:p>
        </w:tc>
      </w:tr>
      <w:tr>
        <w:tc>
          <w:tcPr>
            <w:tcW w:type="dxa" w:w="2448"/>
            <w:shd w:val="clear" w:color="auto" w:fill="F0F4FF"/>
            <w:vAlign w:val="center"/>
          </w:tcPr>
          <w:p>
            <w:r>
              <w:rPr>
                <w:sz w:val="18"/>
              </w:rPr>
              <w:t>surname_frequency</w:t>
            </w:r>
          </w:p>
        </w:tc>
        <w:tc>
          <w:tcPr>
            <w:tcW w:type="dxa" w:w="2880"/>
            <w:shd w:val="clear" w:color="auto" w:fill="F0F4FF"/>
            <w:vAlign w:val="center"/>
          </w:tcPr>
          <w:p>
            <w:r>
              <w:rPr>
                <w:sz w:val="18"/>
              </w:rPr>
              <w:t>Top 10 surnames</w:t>
            </w:r>
          </w:p>
        </w:tc>
        <w:tc>
          <w:tcPr>
            <w:tcW w:type="dxa" w:w="4032"/>
            <w:shd w:val="clear" w:color="auto" w:fill="F0F4FF"/>
            <w:vAlign w:val="center"/>
          </w:tcPr>
          <w:p>
            <w:r>
              <w:rPr>
                <w:sz w:val="18"/>
              </w:rPr>
              <w:t>Usually identical — cleanest parity example; validates both systems agree</w:t>
            </w:r>
          </w:p>
        </w:tc>
      </w:tr>
      <w:tr>
        <w:tc>
          <w:tcPr>
            <w:tcW w:type="dxa" w:w="2448"/>
            <w:shd w:val="clear" w:color="auto" w:fill="FFFFFF"/>
            <w:vAlign w:val="center"/>
          </w:tcPr>
          <w:p>
            <w:r>
              <w:rPr>
                <w:sz w:val="18"/>
              </w:rPr>
              <w:t>person_event_detail</w:t>
            </w:r>
          </w:p>
        </w:tc>
        <w:tc>
          <w:tcPr>
            <w:tcW w:type="dxa" w:w="2880"/>
            <w:shd w:val="clear" w:color="auto" w:fill="FFFFFF"/>
            <w:vAlign w:val="center"/>
          </w:tcPr>
          <w:p>
            <w:r>
              <w:rPr>
                <w:sz w:val="18"/>
              </w:rPr>
              <w:t>Person + event with join</w:t>
            </w:r>
          </w:p>
        </w:tc>
        <w:tc>
          <w:tcPr>
            <w:tcW w:type="dxa" w:w="4032"/>
            <w:shd w:val="clear" w:color="auto" w:fill="FFFFFF"/>
            <w:vAlign w:val="center"/>
          </w:tcPr>
          <w:p>
            <w:r>
              <w:rPr>
                <w:sz w:val="18"/>
              </w:rPr>
              <w:t>SPARQL graph walk (co:hasEvent) vs SQL CASE WHEN event flag columns</w:t>
            </w:r>
          </w:p>
        </w:tc>
      </w:tr>
    </w:tbl>
    <w:p/>
    <w:p>
      <w:r>
        <w:br w:type="page"/>
      </w:r>
    </w:p>
    <w:p>
      <w:pPr>
        <w:pStyle w:val="Heading1"/>
        <w:spacing w:before="280" w:after="80"/>
      </w:pPr>
      <w:r>
        <w:rPr>
          <w:b/>
          <w:color w:val="0F172A"/>
          <w:sz w:val="32"/>
        </w:rPr>
        <w:t>13. Additional Features</w:t>
      </w:r>
    </w:p>
    <w:p>
      <w:pPr>
        <w:pStyle w:val="Heading2"/>
        <w:spacing w:before="200" w:after="80"/>
      </w:pPr>
      <w:r>
        <w:rPr>
          <w:b/>
          <w:color w:val="1D4ED8"/>
          <w:sz w:val="26"/>
        </w:rPr>
        <w:t>13.1 PDF Export</w:t>
      </w:r>
    </w:p>
    <w:p>
      <w:pPr>
        <w:spacing w:before="40" w:after="80"/>
      </w:pPr>
      <w:r>
        <w:rPr>
          <w:sz w:val="21"/>
        </w:rPr>
        <w:t>After every Ask pipeline run, a PDF report is generated in hand-written PDF 1.4 format (no reportlab/fpdf dependency). The writer constructs the binary PDF directly: catalog, pages tree, font object (Helvetica), content stream with BT…ET text blocks, XRef table, and trailer. Content includes: question, SQL query, data table, LLM-rewritten answer, VRTI enrichment, townland context, and LLM metadata.</w:t>
      </w:r>
    </w:p>
    <w:p>
      <w:pPr>
        <w:pStyle w:val="Heading2"/>
        <w:spacing w:before="200" w:after="80"/>
      </w:pPr>
      <w:r>
        <w:rPr>
          <w:b/>
          <w:color w:val="1D4ED8"/>
          <w:sz w:val="26"/>
        </w:rPr>
        <w:t>13.2 Excel Export</w:t>
      </w:r>
    </w:p>
    <w:p>
      <w:pPr>
        <w:spacing w:before="40" w:after="80"/>
      </w:pPr>
      <w:r>
        <w:rPr>
          <w:sz w:val="21"/>
        </w:rPr>
        <w:t>Census data is exported as a structured .xlsx workbook using openpyxl with two sheets: a data sheet (townland, year, male, female, total, inhabited, uninhabited) and a metadata sheet (source, generated_at, query scope, record count). Files are named census_wicklow_&lt;scope&gt;_YYYYMMDD_HHMMSS.xlsx.</w:t>
      </w:r>
    </w:p>
    <w:p>
      <w:pPr>
        <w:pStyle w:val="Heading2"/>
        <w:spacing w:before="200" w:after="80"/>
      </w:pPr>
      <w:r>
        <w:rPr>
          <w:b/>
          <w:color w:val="1D4ED8"/>
          <w:sz w:val="26"/>
        </w:rPr>
        <w:t>13.3 Workhouse Fuzzy Matching</w:t>
      </w:r>
    </w:p>
    <w:p>
      <w:pPr>
        <w:spacing w:before="40" w:after="80"/>
      </w:pPr>
      <w:r>
        <w:rPr>
          <w:sz w:val="21"/>
        </w:rPr>
        <w:t>Each unified estate record can be cross-referenced against workhouse admission/discharge registers using a 4-stage place-first matching algorithm:</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E3A5F"/>
          </w:tcPr>
          <w:p>
            <w:pPr>
              <w:jc w:val="left"/>
            </w:pPr>
            <w:r>
              <w:rPr>
                <w:b/>
                <w:color w:val="FFFFFF"/>
                <w:sz w:val="19"/>
              </w:rPr>
              <w:t>Stage</w:t>
            </w:r>
          </w:p>
        </w:tc>
        <w:tc>
          <w:tcPr>
            <w:tcW w:type="dxa" w:w="2592"/>
            <w:shd w:val="clear" w:color="auto" w:fill="1E3A5F"/>
          </w:tcPr>
          <w:p>
            <w:pPr>
              <w:jc w:val="left"/>
            </w:pPr>
            <w:r>
              <w:rPr>
                <w:b/>
                <w:color w:val="FFFFFF"/>
                <w:sz w:val="19"/>
              </w:rPr>
              <w:t>Operation</w:t>
            </w:r>
          </w:p>
        </w:tc>
        <w:tc>
          <w:tcPr>
            <w:tcW w:type="dxa" w:w="4608"/>
            <w:shd w:val="clear" w:color="auto" w:fill="1E3A5F"/>
          </w:tcPr>
          <w:p>
            <w:pPr>
              <w:jc w:val="left"/>
            </w:pPr>
            <w:r>
              <w:rPr>
                <w:b/>
                <w:color w:val="FFFFFF"/>
                <w:sz w:val="19"/>
              </w:rPr>
              <w:t>Details</w:t>
            </w:r>
          </w:p>
        </w:tc>
      </w:tr>
      <w:tr>
        <w:tc>
          <w:tcPr>
            <w:tcW w:type="dxa" w:w="2160"/>
            <w:shd w:val="clear" w:color="auto" w:fill="F0F4FF"/>
            <w:vAlign w:val="center"/>
          </w:tcPr>
          <w:p>
            <w:r>
              <w:rPr>
                <w:sz w:val="18"/>
              </w:rPr>
              <w:t>1 — Place filter</w:t>
            </w:r>
          </w:p>
        </w:tc>
        <w:tc>
          <w:tcPr>
            <w:tcW w:type="dxa" w:w="2592"/>
            <w:shd w:val="clear" w:color="auto" w:fill="F0F4FF"/>
            <w:vAlign w:val="center"/>
          </w:tcPr>
          <w:p>
            <w:r>
              <w:rPr>
                <w:sz w:val="18"/>
              </w:rPr>
              <w:t>electoral_division match</w:t>
            </w:r>
          </w:p>
        </w:tc>
        <w:tc>
          <w:tcPr>
            <w:tcW w:type="dxa" w:w="4608"/>
            <w:shd w:val="clear" w:color="auto" w:fill="F0F4FF"/>
            <w:vAlign w:val="center"/>
          </w:tcPr>
          <w:p>
            <w:r>
              <w:rPr>
                <w:sz w:val="18"/>
              </w:rPr>
              <w:t>Filter workhouse records where electoral division matches estate townland/parish</w:t>
            </w:r>
          </w:p>
        </w:tc>
      </w:tr>
      <w:tr>
        <w:tc>
          <w:tcPr>
            <w:tcW w:type="dxa" w:w="2160"/>
            <w:shd w:val="clear" w:color="auto" w:fill="FFFFFF"/>
            <w:vAlign w:val="center"/>
          </w:tcPr>
          <w:p>
            <w:r>
              <w:rPr>
                <w:sz w:val="18"/>
              </w:rPr>
              <w:t>2 — Date window</w:t>
            </w:r>
          </w:p>
        </w:tc>
        <w:tc>
          <w:tcPr>
            <w:tcW w:type="dxa" w:w="2592"/>
            <w:shd w:val="clear" w:color="auto" w:fill="FFFFFF"/>
            <w:vAlign w:val="center"/>
          </w:tcPr>
          <w:p>
            <w:r>
              <w:rPr>
                <w:sz w:val="18"/>
              </w:rPr>
              <w:t>Year proximity filter</w:t>
            </w:r>
          </w:p>
        </w:tc>
        <w:tc>
          <w:tcPr>
            <w:tcW w:type="dxa" w:w="4608"/>
            <w:shd w:val="clear" w:color="auto" w:fill="FFFFFF"/>
            <w:vAlign w:val="center"/>
          </w:tcPr>
          <w:p>
            <w:r>
              <w:rPr>
                <w:sz w:val="18"/>
              </w:rPr>
              <w:t>Retain candidates within ±1 year of estate record year</w:t>
            </w:r>
          </w:p>
        </w:tc>
      </w:tr>
      <w:tr>
        <w:tc>
          <w:tcPr>
            <w:tcW w:type="dxa" w:w="2160"/>
            <w:shd w:val="clear" w:color="auto" w:fill="F0F4FF"/>
            <w:vAlign w:val="center"/>
          </w:tcPr>
          <w:p>
            <w:r>
              <w:rPr>
                <w:sz w:val="18"/>
              </w:rPr>
              <w:t>3 — Name scoring</w:t>
            </w:r>
          </w:p>
        </w:tc>
        <w:tc>
          <w:tcPr>
            <w:tcW w:type="dxa" w:w="2592"/>
            <w:shd w:val="clear" w:color="auto" w:fill="F0F4FF"/>
            <w:vAlign w:val="center"/>
          </w:tcPr>
          <w:p>
            <w:r>
              <w:rPr>
                <w:sz w:val="18"/>
              </w:rPr>
              <w:t>difflib.SequenceMatcher</w:t>
            </w:r>
          </w:p>
        </w:tc>
        <w:tc>
          <w:tcPr>
            <w:tcW w:type="dxa" w:w="4608"/>
            <w:shd w:val="clear" w:color="auto" w:fill="F0F4FF"/>
            <w:vAlign w:val="center"/>
          </w:tcPr>
          <w:p>
            <w:r>
              <w:rPr>
                <w:sz w:val="18"/>
              </w:rPr>
              <w:t>Score concatenated forename + surname strings</w:t>
            </w:r>
          </w:p>
        </w:tc>
      </w:tr>
      <w:tr>
        <w:tc>
          <w:tcPr>
            <w:tcW w:type="dxa" w:w="2160"/>
            <w:shd w:val="clear" w:color="auto" w:fill="FFFFFF"/>
            <w:vAlign w:val="center"/>
          </w:tcPr>
          <w:p>
            <w:r>
              <w:rPr>
                <w:sz w:val="18"/>
              </w:rPr>
              <w:t>4 — Occupation bonus</w:t>
            </w:r>
          </w:p>
        </w:tc>
        <w:tc>
          <w:tcPr>
            <w:tcW w:type="dxa" w:w="2592"/>
            <w:shd w:val="clear" w:color="auto" w:fill="FFFFFF"/>
            <w:vAlign w:val="center"/>
          </w:tcPr>
          <w:p>
            <w:r>
              <w:rPr>
                <w:sz w:val="18"/>
              </w:rPr>
              <w:t>+0.05 if keywords match</w:t>
            </w:r>
          </w:p>
        </w:tc>
        <w:tc>
          <w:tcPr>
            <w:tcW w:type="dxa" w:w="4608"/>
            <w:shd w:val="clear" w:color="auto" w:fill="FFFFFF"/>
            <w:vAlign w:val="center"/>
          </w:tcPr>
          <w:p>
            <w:r>
              <w:rPr>
                <w:sz w:val="18"/>
              </w:rPr>
              <w:t>Shared keywords: labourer, farmer, servant, widow, etc.</w:t>
            </w:r>
          </w:p>
        </w:tc>
      </w:tr>
    </w:tbl>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1E3A5F"/>
          </w:tcPr>
          <w:p>
            <w:pPr>
              <w:jc w:val="left"/>
            </w:pPr>
            <w:r>
              <w:rPr>
                <w:b/>
                <w:color w:val="FFFFFF"/>
                <w:sz w:val="19"/>
              </w:rPr>
              <w:t>Confidence Band</w:t>
            </w:r>
          </w:p>
        </w:tc>
        <w:tc>
          <w:tcPr>
            <w:tcW w:type="dxa" w:w="7200"/>
            <w:shd w:val="clear" w:color="auto" w:fill="1E3A5F"/>
          </w:tcPr>
          <w:p>
            <w:pPr>
              <w:jc w:val="left"/>
            </w:pPr>
            <w:r>
              <w:rPr>
                <w:b/>
                <w:color w:val="FFFFFF"/>
                <w:sz w:val="19"/>
              </w:rPr>
              <w:t>Criteria</w:t>
            </w:r>
          </w:p>
        </w:tc>
      </w:tr>
      <w:tr>
        <w:tc>
          <w:tcPr>
            <w:tcW w:type="dxa" w:w="2160"/>
            <w:shd w:val="clear" w:color="auto" w:fill="F0F4FF"/>
            <w:vAlign w:val="center"/>
          </w:tcPr>
          <w:p>
            <w:r>
              <w:rPr>
                <w:sz w:val="18"/>
              </w:rPr>
              <w:t>High</w:t>
            </w:r>
          </w:p>
        </w:tc>
        <w:tc>
          <w:tcPr>
            <w:tcW w:type="dxa" w:w="7200"/>
            <w:shd w:val="clear" w:color="auto" w:fill="F0F4FF"/>
            <w:vAlign w:val="center"/>
          </w:tcPr>
          <w:p>
            <w:r>
              <w:rPr>
                <w:sz w:val="18"/>
              </w:rPr>
              <w:t>Place match AND date match AND score ≥ 0.80</w:t>
            </w:r>
          </w:p>
        </w:tc>
      </w:tr>
      <w:tr>
        <w:tc>
          <w:tcPr>
            <w:tcW w:type="dxa" w:w="2160"/>
            <w:shd w:val="clear" w:color="auto" w:fill="FFFFFF"/>
            <w:vAlign w:val="center"/>
          </w:tcPr>
          <w:p>
            <w:r>
              <w:rPr>
                <w:sz w:val="18"/>
              </w:rPr>
              <w:t>Medium</w:t>
            </w:r>
          </w:p>
        </w:tc>
        <w:tc>
          <w:tcPr>
            <w:tcW w:type="dxa" w:w="7200"/>
            <w:shd w:val="clear" w:color="auto" w:fill="FFFFFF"/>
            <w:vAlign w:val="center"/>
          </w:tcPr>
          <w:p>
            <w:r>
              <w:rPr>
                <w:sz w:val="18"/>
              </w:rPr>
              <w:t>(Place OR date match) AND score ≥ 0.60</w:t>
            </w:r>
          </w:p>
        </w:tc>
      </w:tr>
      <w:tr>
        <w:tc>
          <w:tcPr>
            <w:tcW w:type="dxa" w:w="2160"/>
            <w:shd w:val="clear" w:color="auto" w:fill="F0F4FF"/>
            <w:vAlign w:val="center"/>
          </w:tcPr>
          <w:p>
            <w:r>
              <w:rPr>
                <w:sz w:val="18"/>
              </w:rPr>
              <w:t>Low</w:t>
            </w:r>
          </w:p>
        </w:tc>
        <w:tc>
          <w:tcPr>
            <w:tcW w:type="dxa" w:w="7200"/>
            <w:shd w:val="clear" w:color="auto" w:fill="F0F4FF"/>
            <w:vAlign w:val="center"/>
          </w:tcPr>
          <w:p>
            <w:r>
              <w:rPr>
                <w:sz w:val="18"/>
              </w:rPr>
              <w:t>Score ≥ 0.60, no place or date match</w:t>
            </w:r>
          </w:p>
        </w:tc>
      </w:tr>
    </w:tbl>
    <w:p/>
    <w:p>
      <w:pPr>
        <w:pStyle w:val="Heading2"/>
        <w:spacing w:before="200" w:after="80"/>
      </w:pPr>
      <w:r>
        <w:rPr>
          <w:b/>
          <w:color w:val="1D4ED8"/>
          <w:sz w:val="26"/>
        </w:rPr>
        <w:t>13.4 Historic Landscape / Heritage Layer</w:t>
      </w:r>
    </w:p>
    <w:p>
      <w:pPr>
        <w:spacing w:before="40" w:after="80"/>
      </w:pPr>
      <w:r>
        <w:rPr>
          <w:sz w:val="21"/>
        </w:rPr>
        <w:t>A dedicated Leaflet.js map view showing archaeological features across the estate area. Overlays: holy wells (holywells_wicklow.geojson), ring forts and souterrains (asi_wicklow.geojson from the Archaeological Survey of Ireland). These GeoJSON files are also seeded into temporary SQLite tables (holy_wells, ring_forts) at Ask startup, enabling spatial SQL queries like distance_km() radius searches.</w:t>
      </w:r>
    </w:p>
    <w:p>
      <w:pPr>
        <w:pStyle w:val="Heading2"/>
        <w:spacing w:before="200" w:after="80"/>
      </w:pPr>
      <w:r>
        <w:rPr>
          <w:b/>
          <w:color w:val="1D4ED8"/>
          <w:sz w:val="26"/>
        </w:rPr>
        <w:t>13.5 Internationalisation (English / Irish)</w:t>
      </w:r>
    </w:p>
    <w:p>
      <w:pPr>
        <w:spacing w:before="40" w:after="80"/>
      </w:pPr>
      <w:r>
        <w:rPr>
          <w:sz w:val="21"/>
        </w:rPr>
        <w:t>A lightweight client-side i18n framework (i18n.js) supports English and Irish (Gaeilge). HTML elements with data-i18n='key' are auto-translated on page load. Language toggle in the navigation bar switches between EN/GA without a page reload. Translation coverage: all navigation, headings, CTA buttons, form labels, UI strings.</w:t>
      </w:r>
    </w:p>
    <w:p>
      <w:pPr>
        <w:pStyle w:val="Heading2"/>
        <w:spacing w:before="200" w:after="80"/>
      </w:pPr>
      <w:r>
        <w:rPr>
          <w:b/>
          <w:color w:val="1D4ED8"/>
          <w:sz w:val="26"/>
        </w:rPr>
        <w:t>13.6 Townland Autocomplete</w:t>
      </w:r>
    </w:p>
    <w:p>
      <w:pPr>
        <w:spacing w:before="40" w:after="80"/>
      </w:pPr>
      <w:r>
        <w:rPr>
          <w:sz w:val="21"/>
        </w:rPr>
        <w:t>GET /api/ask/townland-suggest?q=&lt;query&gt; returns fuzzy-matched townland suggestions using difflib.SequenceMatcher against the full townland list. Results are ranked by similarity ratio and returned as {name, confidence} pairs. An alias map (townland_aliases.json) maps ~200 spelling variants to canonical names.</w:t>
      </w:r>
    </w:p>
    <w:p>
      <w:r>
        <w:br w:type="page"/>
      </w:r>
    </w:p>
    <w:p>
      <w:pPr>
        <w:pStyle w:val="Heading1"/>
        <w:spacing w:before="280" w:after="80"/>
      </w:pPr>
      <w:r>
        <w:rPr>
          <w:b/>
          <w:color w:val="0F172A"/>
          <w:sz w:val="32"/>
        </w:rPr>
        <w:t>14. Security and Performance</w:t>
      </w:r>
    </w:p>
    <w:p>
      <w:pPr>
        <w:pStyle w:val="Heading2"/>
        <w:spacing w:before="200" w:after="80"/>
      </w:pPr>
      <w:r>
        <w:rPr>
          <w:b/>
          <w:color w:val="1D4ED8"/>
          <w:sz w:val="26"/>
        </w:rPr>
        <w:t>14.1 Security Measures</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E3A5F"/>
          </w:tcPr>
          <w:p>
            <w:pPr>
              <w:jc w:val="left"/>
            </w:pPr>
            <w:r>
              <w:rPr>
                <w:b/>
                <w:color w:val="FFFFFF"/>
                <w:sz w:val="19"/>
              </w:rPr>
              <w:t>Threat</w:t>
            </w:r>
          </w:p>
        </w:tc>
        <w:tc>
          <w:tcPr>
            <w:tcW w:type="dxa" w:w="4032"/>
            <w:shd w:val="clear" w:color="auto" w:fill="1E3A5F"/>
          </w:tcPr>
          <w:p>
            <w:pPr>
              <w:jc w:val="left"/>
            </w:pPr>
            <w:r>
              <w:rPr>
                <w:b/>
                <w:color w:val="FFFFFF"/>
                <w:sz w:val="19"/>
              </w:rPr>
              <w:t>Mitigation</w:t>
            </w:r>
          </w:p>
        </w:tc>
        <w:tc>
          <w:tcPr>
            <w:tcW w:type="dxa" w:w="3168"/>
            <w:shd w:val="clear" w:color="auto" w:fill="1E3A5F"/>
          </w:tcPr>
          <w:p>
            <w:pPr>
              <w:jc w:val="left"/>
            </w:pPr>
            <w:r>
              <w:rPr>
                <w:b/>
                <w:color w:val="FFFFFF"/>
                <w:sz w:val="19"/>
              </w:rPr>
              <w:t>Implementation Location</w:t>
            </w:r>
          </w:p>
        </w:tc>
      </w:tr>
      <w:tr>
        <w:tc>
          <w:tcPr>
            <w:tcW w:type="dxa" w:w="2160"/>
            <w:shd w:val="clear" w:color="auto" w:fill="F0F4FF"/>
            <w:vAlign w:val="center"/>
          </w:tcPr>
          <w:p>
            <w:r>
              <w:rPr>
                <w:sz w:val="18"/>
              </w:rPr>
              <w:t>SQL injection</w:t>
            </w:r>
          </w:p>
        </w:tc>
        <w:tc>
          <w:tcPr>
            <w:tcW w:type="dxa" w:w="4032"/>
            <w:shd w:val="clear" w:color="auto" w:fill="F0F4FF"/>
            <w:vAlign w:val="center"/>
          </w:tcPr>
          <w:p>
            <w:r>
              <w:rPr>
                <w:sz w:val="18"/>
              </w:rPr>
              <w:t>Parameterised queries throughout; FORBIDDEN_SQL regex blocks all write ops</w:t>
            </w:r>
          </w:p>
        </w:tc>
        <w:tc>
          <w:tcPr>
            <w:tcW w:type="dxa" w:w="3168"/>
            <w:shd w:val="clear" w:color="auto" w:fill="F0F4FF"/>
            <w:vAlign w:val="center"/>
          </w:tcPr>
          <w:p>
            <w:r>
              <w:rPr>
                <w:sz w:val="18"/>
              </w:rPr>
              <w:t>All repository files + ask_service.py</w:t>
            </w:r>
          </w:p>
        </w:tc>
      </w:tr>
      <w:tr>
        <w:tc>
          <w:tcPr>
            <w:tcW w:type="dxa" w:w="2160"/>
            <w:shd w:val="clear" w:color="auto" w:fill="FFFFFF"/>
            <w:vAlign w:val="center"/>
          </w:tcPr>
          <w:p>
            <w:r>
              <w:rPr>
                <w:sz w:val="18"/>
              </w:rPr>
              <w:t>XSS (stored/reflected)</w:t>
            </w:r>
          </w:p>
        </w:tc>
        <w:tc>
          <w:tcPr>
            <w:tcW w:type="dxa" w:w="4032"/>
            <w:shd w:val="clear" w:color="auto" w:fill="FFFFFF"/>
            <w:vAlign w:val="center"/>
          </w:tcPr>
          <w:p>
            <w:r>
              <w:rPr>
                <w:sz w:val="18"/>
              </w:rPr>
              <w:t>escapeHtml() on all user-supplied values before innerHTML assignment</w:t>
            </w:r>
          </w:p>
        </w:tc>
        <w:tc>
          <w:tcPr>
            <w:tcW w:type="dxa" w:w="3168"/>
            <w:shd w:val="clear" w:color="auto" w:fill="FFFFFF"/>
            <w:vAlign w:val="center"/>
          </w:tcPr>
          <w:p>
            <w:r>
              <w:rPr>
                <w:sz w:val="18"/>
              </w:rPr>
              <w:t>All frontend JS files</w:t>
            </w:r>
          </w:p>
        </w:tc>
      </w:tr>
      <w:tr>
        <w:tc>
          <w:tcPr>
            <w:tcW w:type="dxa" w:w="2160"/>
            <w:shd w:val="clear" w:color="auto" w:fill="F0F4FF"/>
            <w:vAlign w:val="center"/>
          </w:tcPr>
          <w:p>
            <w:r>
              <w:rPr>
                <w:sz w:val="18"/>
              </w:rPr>
              <w:t>CSRF</w:t>
            </w:r>
          </w:p>
        </w:tc>
        <w:tc>
          <w:tcPr>
            <w:tcW w:type="dxa" w:w="4032"/>
            <w:shd w:val="clear" w:color="auto" w:fill="F0F4FF"/>
            <w:vAlign w:val="center"/>
          </w:tcPr>
          <w:p>
            <w:r>
              <w:rPr>
                <w:sz w:val="18"/>
              </w:rPr>
              <w:t>Flask SESSION_COOKIE_SECURE + SECRET_KEY</w:t>
            </w:r>
          </w:p>
        </w:tc>
        <w:tc>
          <w:tcPr>
            <w:tcW w:type="dxa" w:w="3168"/>
            <w:shd w:val="clear" w:color="auto" w:fill="F0F4FF"/>
            <w:vAlign w:val="center"/>
          </w:tcPr>
          <w:p>
            <w:r>
              <w:rPr>
                <w:sz w:val="18"/>
              </w:rPr>
              <w:t>config.py + create_app.py</w:t>
            </w:r>
          </w:p>
        </w:tc>
      </w:tr>
      <w:tr>
        <w:tc>
          <w:tcPr>
            <w:tcW w:type="dxa" w:w="2160"/>
            <w:shd w:val="clear" w:color="auto" w:fill="FFFFFF"/>
            <w:vAlign w:val="center"/>
          </w:tcPr>
          <w:p>
            <w:r>
              <w:rPr>
                <w:sz w:val="18"/>
              </w:rPr>
              <w:t>LLM prompt injection</w:t>
            </w:r>
          </w:p>
        </w:tc>
        <w:tc>
          <w:tcPr>
            <w:tcW w:type="dxa" w:w="4032"/>
            <w:shd w:val="clear" w:color="auto" w:fill="FFFFFF"/>
            <w:vAlign w:val="center"/>
          </w:tcPr>
          <w:p>
            <w:r>
              <w:rPr>
                <w:sz w:val="18"/>
              </w:rPr>
              <w:t>SQL guardrail + schema constraints; LLM cannot read secrets from env</w:t>
            </w:r>
          </w:p>
        </w:tc>
        <w:tc>
          <w:tcPr>
            <w:tcW w:type="dxa" w:w="3168"/>
            <w:shd w:val="clear" w:color="auto" w:fill="FFFFFF"/>
            <w:vAlign w:val="center"/>
          </w:tcPr>
          <w:p>
            <w:r>
              <w:rPr>
                <w:sz w:val="18"/>
              </w:rPr>
              <w:t>ask_service.py</w:t>
            </w:r>
          </w:p>
        </w:tc>
      </w:tr>
      <w:tr>
        <w:tc>
          <w:tcPr>
            <w:tcW w:type="dxa" w:w="2160"/>
            <w:shd w:val="clear" w:color="auto" w:fill="F0F4FF"/>
            <w:vAlign w:val="center"/>
          </w:tcPr>
          <w:p>
            <w:r>
              <w:rPr>
                <w:sz w:val="18"/>
              </w:rPr>
              <w:t>API key exposure</w:t>
            </w:r>
          </w:p>
        </w:tc>
        <w:tc>
          <w:tcPr>
            <w:tcW w:type="dxa" w:w="4032"/>
            <w:shd w:val="clear" w:color="auto" w:fill="F0F4FF"/>
            <w:vAlign w:val="center"/>
          </w:tcPr>
          <w:p>
            <w:r>
              <w:rPr>
                <w:sz w:val="18"/>
              </w:rPr>
              <w:t>.env.local gitignored; .env.example shows safe placeholders only</w:t>
            </w:r>
          </w:p>
        </w:tc>
        <w:tc>
          <w:tcPr>
            <w:tcW w:type="dxa" w:w="3168"/>
            <w:shd w:val="clear" w:color="auto" w:fill="F0F4FF"/>
            <w:vAlign w:val="center"/>
          </w:tcPr>
          <w:p>
            <w:r>
              <w:rPr>
                <w:sz w:val="18"/>
              </w:rPr>
              <w:t>.gitignore</w:t>
            </w:r>
          </w:p>
        </w:tc>
      </w:tr>
    </w:tbl>
    <w:p/>
    <w:p>
      <w:pPr>
        <w:pStyle w:val="Heading2"/>
        <w:spacing w:before="200" w:after="80"/>
      </w:pPr>
      <w:r>
        <w:rPr>
          <w:b/>
          <w:color w:val="1D4ED8"/>
          <w:sz w:val="26"/>
        </w:rPr>
        <w:t>14.2 Performance Optimisations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E3A5F"/>
          </w:tcPr>
          <w:p>
            <w:pPr>
              <w:jc w:val="left"/>
            </w:pPr>
            <w:r>
              <w:rPr>
                <w:b/>
                <w:color w:val="FFFFFF"/>
                <w:sz w:val="19"/>
              </w:rPr>
              <w:t>Optimisation</w:t>
            </w:r>
          </w:p>
        </w:tc>
        <w:tc>
          <w:tcPr>
            <w:tcW w:type="dxa" w:w="3456"/>
            <w:shd w:val="clear" w:color="auto" w:fill="1E3A5F"/>
          </w:tcPr>
          <w:p>
            <w:pPr>
              <w:jc w:val="left"/>
            </w:pPr>
            <w:r>
              <w:rPr>
                <w:b/>
                <w:color w:val="FFFFFF"/>
                <w:sz w:val="19"/>
              </w:rPr>
              <w:t>Mechanism</w:t>
            </w:r>
          </w:p>
        </w:tc>
        <w:tc>
          <w:tcPr>
            <w:tcW w:type="dxa" w:w="3312"/>
            <w:shd w:val="clear" w:color="auto" w:fill="1E3A5F"/>
          </w:tcPr>
          <w:p>
            <w:pPr>
              <w:jc w:val="left"/>
            </w:pPr>
            <w:r>
              <w:rPr>
                <w:b/>
                <w:color w:val="FFFFFF"/>
                <w:sz w:val="19"/>
              </w:rPr>
              <w:t>Benefit</w:t>
            </w:r>
          </w:p>
        </w:tc>
      </w:tr>
      <w:tr>
        <w:tc>
          <w:tcPr>
            <w:tcW w:type="dxa" w:w="2592"/>
            <w:shd w:val="clear" w:color="auto" w:fill="F0F4FF"/>
            <w:vAlign w:val="center"/>
          </w:tcPr>
          <w:p>
            <w:r>
              <w:rPr>
                <w:sz w:val="18"/>
              </w:rPr>
              <w:t>WAL mode</w:t>
            </w:r>
          </w:p>
        </w:tc>
        <w:tc>
          <w:tcPr>
            <w:tcW w:type="dxa" w:w="3456"/>
            <w:shd w:val="clear" w:color="auto" w:fill="F0F4FF"/>
            <w:vAlign w:val="center"/>
          </w:tcPr>
          <w:p>
            <w:r>
              <w:rPr>
                <w:sz w:val="18"/>
              </w:rPr>
              <w:t>PRAGMA journal_mode=WAL</w:t>
            </w:r>
          </w:p>
        </w:tc>
        <w:tc>
          <w:tcPr>
            <w:tcW w:type="dxa" w:w="3312"/>
            <w:shd w:val="clear" w:color="auto" w:fill="F0F4FF"/>
            <w:vAlign w:val="center"/>
          </w:tcPr>
          <w:p>
            <w:r>
              <w:rPr>
                <w:sz w:val="18"/>
              </w:rPr>
              <w:t>Concurrent reads during write operations</w:t>
            </w:r>
          </w:p>
        </w:tc>
      </w:tr>
      <w:tr>
        <w:tc>
          <w:tcPr>
            <w:tcW w:type="dxa" w:w="2592"/>
            <w:shd w:val="clear" w:color="auto" w:fill="FFFFFF"/>
            <w:vAlign w:val="center"/>
          </w:tcPr>
          <w:p>
            <w:r>
              <w:rPr>
                <w:sz w:val="18"/>
              </w:rPr>
              <w:t>64 MB page cache</w:t>
            </w:r>
          </w:p>
        </w:tc>
        <w:tc>
          <w:tcPr>
            <w:tcW w:type="dxa" w:w="3456"/>
            <w:shd w:val="clear" w:color="auto" w:fill="FFFFFF"/>
            <w:vAlign w:val="center"/>
          </w:tcPr>
          <w:p>
            <w:r>
              <w:rPr>
                <w:sz w:val="18"/>
              </w:rPr>
              <w:t>PRAGMA cache_size=-65536</w:t>
            </w:r>
          </w:p>
        </w:tc>
        <w:tc>
          <w:tcPr>
            <w:tcW w:type="dxa" w:w="3312"/>
            <w:shd w:val="clear" w:color="auto" w:fill="FFFFFF"/>
            <w:vAlign w:val="center"/>
          </w:tcPr>
          <w:p>
            <w:r>
              <w:rPr>
                <w:sz w:val="18"/>
              </w:rPr>
              <w:t>Avoids repeated disk reads for hot pages</w:t>
            </w:r>
          </w:p>
        </w:tc>
      </w:tr>
      <w:tr>
        <w:tc>
          <w:tcPr>
            <w:tcW w:type="dxa" w:w="2592"/>
            <w:shd w:val="clear" w:color="auto" w:fill="F0F4FF"/>
            <w:vAlign w:val="center"/>
          </w:tcPr>
          <w:p>
            <w:r>
              <w:rPr>
                <w:sz w:val="18"/>
              </w:rPr>
              <w:t>256 MB mmap</w:t>
            </w:r>
          </w:p>
        </w:tc>
        <w:tc>
          <w:tcPr>
            <w:tcW w:type="dxa" w:w="3456"/>
            <w:shd w:val="clear" w:color="auto" w:fill="F0F4FF"/>
            <w:vAlign w:val="center"/>
          </w:tcPr>
          <w:p>
            <w:r>
              <w:rPr>
                <w:sz w:val="18"/>
              </w:rPr>
              <w:t>PRAGMA mmap_size=268435456</w:t>
            </w:r>
          </w:p>
        </w:tc>
        <w:tc>
          <w:tcPr>
            <w:tcW w:type="dxa" w:w="3312"/>
            <w:shd w:val="clear" w:color="auto" w:fill="F0F4FF"/>
            <w:vAlign w:val="center"/>
          </w:tcPr>
          <w:p>
            <w:r>
              <w:rPr>
                <w:sz w:val="18"/>
              </w:rPr>
              <w:t>OS-level page cache bypass</w:t>
            </w:r>
          </w:p>
        </w:tc>
      </w:tr>
      <w:tr>
        <w:tc>
          <w:tcPr>
            <w:tcW w:type="dxa" w:w="2592"/>
            <w:shd w:val="clear" w:color="auto" w:fill="FFFFFF"/>
            <w:vAlign w:val="center"/>
          </w:tcPr>
          <w:p>
            <w:r>
              <w:rPr>
                <w:sz w:val="18"/>
              </w:rPr>
              <w:t>Covering indexes</w:t>
            </w:r>
          </w:p>
        </w:tc>
        <w:tc>
          <w:tcPr>
            <w:tcW w:type="dxa" w:w="3456"/>
            <w:shd w:val="clear" w:color="auto" w:fill="FFFFFF"/>
            <w:vAlign w:val="center"/>
          </w:tcPr>
          <w:p>
            <w:r>
              <w:rPr>
                <w:sz w:val="18"/>
              </w:rPr>
              <w:t>(townland_id, year) composite on census+clearances</w:t>
            </w:r>
          </w:p>
        </w:tc>
        <w:tc>
          <w:tcPr>
            <w:tcW w:type="dxa" w:w="3312"/>
            <w:shd w:val="clear" w:color="auto" w:fill="FFFFFF"/>
            <w:vAlign w:val="center"/>
          </w:tcPr>
          <w:p>
            <w:r>
              <w:rPr>
                <w:sz w:val="18"/>
              </w:rPr>
              <w:t>Avoids table scans on common join patterns</w:t>
            </w:r>
          </w:p>
        </w:tc>
      </w:tr>
      <w:tr>
        <w:tc>
          <w:tcPr>
            <w:tcW w:type="dxa" w:w="2592"/>
            <w:shd w:val="clear" w:color="auto" w:fill="F0F4FF"/>
            <w:vAlign w:val="center"/>
          </w:tcPr>
          <w:p>
            <w:r>
              <w:rPr>
                <w:sz w:val="18"/>
              </w:rPr>
              <w:t>Process-level cache</w:t>
            </w:r>
          </w:p>
        </w:tc>
        <w:tc>
          <w:tcPr>
            <w:tcW w:type="dxa" w:w="3456"/>
            <w:shd w:val="clear" w:color="auto" w:fill="F0F4FF"/>
            <w:vAlign w:val="center"/>
          </w:tcPr>
          <w:p>
            <w:r>
              <w:rPr>
                <w:sz w:val="18"/>
              </w:rPr>
              <w:t>pandas DataFrame for unified_processed.csv</w:t>
            </w:r>
          </w:p>
        </w:tc>
        <w:tc>
          <w:tcPr>
            <w:tcW w:type="dxa" w:w="3312"/>
            <w:shd w:val="clear" w:color="auto" w:fill="F0F4FF"/>
            <w:vAlign w:val="center"/>
          </w:tcPr>
          <w:p>
            <w:r>
              <w:rPr>
                <w:sz w:val="18"/>
              </w:rPr>
              <w:t>Sub-millisecond record search after warmup</w:t>
            </w:r>
          </w:p>
        </w:tc>
      </w:tr>
      <w:tr>
        <w:tc>
          <w:tcPr>
            <w:tcW w:type="dxa" w:w="2592"/>
            <w:shd w:val="clear" w:color="auto" w:fill="FFFFFF"/>
            <w:vAlign w:val="center"/>
          </w:tcPr>
          <w:p>
            <w:r>
              <w:rPr>
                <w:sz w:val="18"/>
              </w:rPr>
              <w:t>KG topology cache</w:t>
            </w:r>
          </w:p>
        </w:tc>
        <w:tc>
          <w:tcPr>
            <w:tcW w:type="dxa" w:w="3456"/>
            <w:shd w:val="clear" w:color="auto" w:fill="FFFFFF"/>
            <w:vAlign w:val="center"/>
          </w:tcPr>
          <w:p>
            <w:r>
              <w:rPr>
                <w:sz w:val="18"/>
              </w:rPr>
              <w:t>_GRAPH_CACHE singleton in kg_service</w:t>
            </w:r>
          </w:p>
        </w:tc>
        <w:tc>
          <w:tcPr>
            <w:tcW w:type="dxa" w:w="3312"/>
            <w:shd w:val="clear" w:color="auto" w:fill="FFFFFF"/>
            <w:vAlign w:val="center"/>
          </w:tcPr>
          <w:p>
            <w:r>
              <w:rPr>
                <w:sz w:val="18"/>
              </w:rPr>
              <w:t>D3.js graph built once per server process</w:t>
            </w:r>
          </w:p>
        </w:tc>
      </w:tr>
      <w:tr>
        <w:tc>
          <w:tcPr>
            <w:tcW w:type="dxa" w:w="2592"/>
            <w:shd w:val="clear" w:color="auto" w:fill="F0F4FF"/>
            <w:vAlign w:val="center"/>
          </w:tcPr>
          <w:p>
            <w:r>
              <w:rPr>
                <w:sz w:val="18"/>
              </w:rPr>
              <w:t>Template matching</w:t>
            </w:r>
          </w:p>
        </w:tc>
        <w:tc>
          <w:tcPr>
            <w:tcW w:type="dxa" w:w="3456"/>
            <w:shd w:val="clear" w:color="auto" w:fill="F0F4FF"/>
            <w:vAlign w:val="center"/>
          </w:tcPr>
          <w:p>
            <w:r>
              <w:rPr>
                <w:sz w:val="18"/>
              </w:rPr>
              <w:t>100+ SQL templates before LLM call</w:t>
            </w:r>
          </w:p>
        </w:tc>
        <w:tc>
          <w:tcPr>
            <w:tcW w:type="dxa" w:w="3312"/>
            <w:shd w:val="clear" w:color="auto" w:fill="F0F4FF"/>
            <w:vAlign w:val="center"/>
          </w:tcPr>
          <w:p>
            <w:r>
              <w:rPr>
                <w:sz w:val="18"/>
              </w:rPr>
              <w:t>~60% of queries answered in &lt; 100ms</w:t>
            </w:r>
          </w:p>
        </w:tc>
      </w:tr>
      <w:tr>
        <w:tc>
          <w:tcPr>
            <w:tcW w:type="dxa" w:w="2592"/>
            <w:shd w:val="clear" w:color="auto" w:fill="FFFFFF"/>
            <w:vAlign w:val="center"/>
          </w:tcPr>
          <w:p>
            <w:r>
              <w:rPr>
                <w:sz w:val="18"/>
              </w:rPr>
              <w:t>Browser cache</w:t>
            </w:r>
          </w:p>
        </w:tc>
        <w:tc>
          <w:tcPr>
            <w:tcW w:type="dxa" w:w="3456"/>
            <w:shd w:val="clear" w:color="auto" w:fill="FFFFFF"/>
            <w:vAlign w:val="center"/>
          </w:tcPr>
          <w:p>
            <w:r>
              <w:rPr>
                <w:sz w:val="18"/>
              </w:rPr>
              <w:t>24h Cache-Control on static files</w:t>
            </w:r>
          </w:p>
        </w:tc>
        <w:tc>
          <w:tcPr>
            <w:tcW w:type="dxa" w:w="3312"/>
            <w:shd w:val="clear" w:color="auto" w:fill="FFFFFF"/>
            <w:vAlign w:val="center"/>
          </w:tcPr>
          <w:p>
            <w:r>
              <w:rPr>
                <w:sz w:val="18"/>
              </w:rPr>
              <w:t>6.2 MB townlands.json served once per day</w:t>
            </w:r>
          </w:p>
        </w:tc>
      </w:tr>
      <w:tr>
        <w:tc>
          <w:tcPr>
            <w:tcW w:type="dxa" w:w="2592"/>
            <w:shd w:val="clear" w:color="auto" w:fill="F0F4FF"/>
            <w:vAlign w:val="center"/>
          </w:tcPr>
          <w:p>
            <w:r>
              <w:rPr>
                <w:sz w:val="18"/>
              </w:rPr>
              <w:t>Query memory</w:t>
            </w:r>
          </w:p>
        </w:tc>
        <w:tc>
          <w:tcPr>
            <w:tcW w:type="dxa" w:w="3456"/>
            <w:shd w:val="clear" w:color="auto" w:fill="F0F4FF"/>
            <w:vAlign w:val="center"/>
          </w:tcPr>
          <w:p>
            <w:r>
              <w:rPr>
                <w:sz w:val="18"/>
              </w:rPr>
              <w:t>ask_query_memory table with similarity ranking</w:t>
            </w:r>
          </w:p>
        </w:tc>
        <w:tc>
          <w:tcPr>
            <w:tcW w:type="dxa" w:w="3312"/>
            <w:shd w:val="clear" w:color="auto" w:fill="F0F4FF"/>
            <w:vAlign w:val="center"/>
          </w:tcPr>
          <w:p>
            <w:r>
              <w:rPr>
                <w:sz w:val="18"/>
              </w:rPr>
              <w:t>Previously approved queries reused without LLM</w:t>
            </w:r>
          </w:p>
        </w:tc>
      </w:tr>
    </w:tbl>
    <w:p/>
    <w:p>
      <w:r>
        <w:br w:type="page"/>
      </w:r>
    </w:p>
    <w:p>
      <w:pPr>
        <w:pStyle w:val="Heading1"/>
        <w:spacing w:before="280" w:after="80"/>
      </w:pPr>
      <w:r>
        <w:rPr>
          <w:b/>
          <w:color w:val="0F172A"/>
          <w:sz w:val="32"/>
        </w:rPr>
        <w:t>15. Complete API Reference</w:t>
      </w:r>
    </w:p>
    <w:p>
      <w:pPr>
        <w:pStyle w:val="Heading2"/>
        <w:spacing w:before="200" w:after="80"/>
      </w:pPr>
      <w:r>
        <w:rPr>
          <w:b/>
          <w:color w:val="1D4ED8"/>
          <w:sz w:val="26"/>
        </w:rPr>
        <w:t>15.1 Page Routes</w:t>
      </w:r>
    </w:p>
    <w:tbl>
      <w:tblPr>
        <w:tblStyle w:val="TableGrid"/>
        <w:tblW w:type="auto" w:w="0"/>
        <w:jc w:val="left"/>
        <w:tblLook w:firstColumn="1" w:firstRow="1" w:lastColumn="0" w:lastRow="0" w:noHBand="0" w:noVBand="1" w:val="04A0"/>
      </w:tblPr>
      <w:tblGrid>
        <w:gridCol w:w="3022"/>
        <w:gridCol w:w="3022"/>
        <w:gridCol w:w="3022"/>
      </w:tblGrid>
      <w:tr>
        <w:tc>
          <w:tcPr>
            <w:tcW w:type="dxa" w:w="1008"/>
            <w:shd w:val="clear" w:color="auto" w:fill="1E3A5F"/>
          </w:tcPr>
          <w:p>
            <w:pPr>
              <w:jc w:val="left"/>
            </w:pPr>
            <w:r>
              <w:rPr>
                <w:b/>
                <w:color w:val="FFFFFF"/>
                <w:sz w:val="19"/>
              </w:rPr>
              <w:t>Method</w:t>
            </w:r>
          </w:p>
        </w:tc>
        <w:tc>
          <w:tcPr>
            <w:tcW w:type="dxa" w:w="2880"/>
            <w:shd w:val="clear" w:color="auto" w:fill="1E3A5F"/>
          </w:tcPr>
          <w:p>
            <w:pPr>
              <w:jc w:val="left"/>
            </w:pPr>
            <w:r>
              <w:rPr>
                <w:b/>
                <w:color w:val="FFFFFF"/>
                <w:sz w:val="19"/>
              </w:rPr>
              <w:t>Path</w:t>
            </w:r>
          </w:p>
        </w:tc>
        <w:tc>
          <w:tcPr>
            <w:tcW w:type="dxa" w:w="5472"/>
            <w:shd w:val="clear" w:color="auto" w:fill="1E3A5F"/>
          </w:tcPr>
          <w:p>
            <w:pPr>
              <w:jc w:val="left"/>
            </w:pPr>
            <w:r>
              <w:rPr>
                <w:b/>
                <w:color w:val="FFFFFF"/>
                <w:sz w:val="19"/>
              </w:rPr>
              <w:t>Template</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w:t>
            </w:r>
          </w:p>
        </w:tc>
        <w:tc>
          <w:tcPr>
            <w:tcW w:type="dxa" w:w="5472"/>
            <w:shd w:val="clear" w:color="auto" w:fill="F0F4FF"/>
            <w:vAlign w:val="center"/>
          </w:tcPr>
          <w:p>
            <w:r>
              <w:rPr>
                <w:sz w:val="18"/>
              </w:rPr>
              <w:t>index.html — Home page with hero, records overview</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/about</w:t>
            </w:r>
          </w:p>
        </w:tc>
        <w:tc>
          <w:tcPr>
            <w:tcW w:type="dxa" w:w="5472"/>
            <w:shd w:val="clear" w:color="auto" w:fill="FFFFFF"/>
            <w:vAlign w:val="center"/>
          </w:tcPr>
          <w:p>
            <w:r>
              <w:rPr>
                <w:sz w:val="18"/>
              </w:rPr>
              <w:t>about.html — Project and estate context</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/analytics</w:t>
            </w:r>
          </w:p>
        </w:tc>
        <w:tc>
          <w:tcPr>
            <w:tcW w:type="dxa" w:w="5472"/>
            <w:shd w:val="clear" w:color="auto" w:fill="F0F4FF"/>
            <w:vAlign w:val="center"/>
          </w:tcPr>
          <w:p>
            <w:r>
              <w:rPr>
                <w:sz w:val="18"/>
              </w:rPr>
              <w:t>analytics.html — KPI + chart dashboard</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/census</w:t>
            </w:r>
          </w:p>
        </w:tc>
        <w:tc>
          <w:tcPr>
            <w:tcW w:type="dxa" w:w="5472"/>
            <w:shd w:val="clear" w:color="auto" w:fill="FFFFFF"/>
            <w:vAlign w:val="center"/>
          </w:tcPr>
          <w:p>
            <w:r>
              <w:rPr>
                <w:sz w:val="18"/>
              </w:rPr>
              <w:t>census.html — Census explorer with map</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/info</w:t>
            </w:r>
          </w:p>
        </w:tc>
        <w:tc>
          <w:tcPr>
            <w:tcW w:type="dxa" w:w="5472"/>
            <w:shd w:val="clear" w:color="auto" w:fill="F0F4FF"/>
            <w:vAlign w:val="center"/>
          </w:tcPr>
          <w:p>
            <w:r>
              <w:rPr>
                <w:sz w:val="18"/>
              </w:rPr>
              <w:t>info.html — Estate and Famine historical context</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/ask</w:t>
            </w:r>
          </w:p>
        </w:tc>
        <w:tc>
          <w:tcPr>
            <w:tcW w:type="dxa" w:w="5472"/>
            <w:shd w:val="clear" w:color="auto" w:fill="FFFFFF"/>
            <w:vAlign w:val="center"/>
          </w:tcPr>
          <w:p>
            <w:r>
              <w:rPr>
                <w:sz w:val="18"/>
              </w:rPr>
              <w:t>ask.html — Natural-language LLM Q&amp;A interface</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/heritage</w:t>
            </w:r>
          </w:p>
        </w:tc>
        <w:tc>
          <w:tcPr>
            <w:tcW w:type="dxa" w:w="5472"/>
            <w:shd w:val="clear" w:color="auto" w:fill="F0F4FF"/>
            <w:vAlign w:val="center"/>
          </w:tcPr>
          <w:p>
            <w:r>
              <w:rPr>
                <w:sz w:val="18"/>
              </w:rPr>
              <w:t>heritage.html — Historic landscape overlay map</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/explore-knowledge</w:t>
            </w:r>
          </w:p>
        </w:tc>
        <w:tc>
          <w:tcPr>
            <w:tcW w:type="dxa" w:w="5472"/>
            <w:shd w:val="clear" w:color="auto" w:fill="FFFFFF"/>
            <w:vAlign w:val="center"/>
          </w:tcPr>
          <w:p>
            <w:r>
              <w:rPr>
                <w:sz w:val="18"/>
              </w:rPr>
              <w:t>kg_explore.html — Knowledge graph visualiser</w:t>
            </w:r>
          </w:p>
        </w:tc>
      </w:tr>
    </w:tbl>
    <w:p/>
    <w:p>
      <w:pPr>
        <w:pStyle w:val="Heading2"/>
        <w:spacing w:before="200" w:after="80"/>
      </w:pPr>
      <w:r>
        <w:rPr>
          <w:b/>
          <w:color w:val="1D4ED8"/>
          <w:sz w:val="26"/>
        </w:rPr>
        <w:t>15.2 Census API (/api/census)</w:t>
      </w:r>
    </w:p>
    <w:tbl>
      <w:tblPr>
        <w:tblStyle w:val="TableGrid"/>
        <w:tblW w:type="auto" w:w="0"/>
        <w:jc w:val="left"/>
        <w:tblLook w:firstColumn="1" w:firstRow="1" w:lastColumn="0" w:lastRow="0" w:noHBand="0" w:noVBand="1" w:val="04A0"/>
      </w:tblPr>
      <w:tblGrid>
        <w:gridCol w:w="3022"/>
        <w:gridCol w:w="3022"/>
        <w:gridCol w:w="3022"/>
      </w:tblGrid>
      <w:tr>
        <w:tc>
          <w:tcPr>
            <w:tcW w:type="dxa" w:w="1008"/>
            <w:shd w:val="clear" w:color="auto" w:fill="1E3A5F"/>
          </w:tcPr>
          <w:p>
            <w:pPr>
              <w:jc w:val="left"/>
            </w:pPr>
            <w:r>
              <w:rPr>
                <w:b/>
                <w:color w:val="FFFFFF"/>
                <w:sz w:val="19"/>
              </w:rPr>
              <w:t>Method</w:t>
            </w:r>
          </w:p>
        </w:tc>
        <w:tc>
          <w:tcPr>
            <w:tcW w:type="dxa" w:w="2880"/>
            <w:shd w:val="clear" w:color="auto" w:fill="1E3A5F"/>
          </w:tcPr>
          <w:p>
            <w:pPr>
              <w:jc w:val="left"/>
            </w:pPr>
            <w:r>
              <w:rPr>
                <w:b/>
                <w:color w:val="FFFFFF"/>
                <w:sz w:val="19"/>
              </w:rPr>
              <w:t>Path</w:t>
            </w:r>
          </w:p>
        </w:tc>
        <w:tc>
          <w:tcPr>
            <w:tcW w:type="dxa" w:w="5472"/>
            <w:shd w:val="clear" w:color="auto" w:fill="1E3A5F"/>
          </w:tcPr>
          <w:p>
            <w:pPr>
              <w:jc w:val="left"/>
            </w:pPr>
            <w:r>
              <w:rPr>
                <w:b/>
                <w:color w:val="FFFFFF"/>
                <w:sz w:val="19"/>
              </w:rPr>
              <w:t>Purpose</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w:t>
            </w:r>
          </w:p>
        </w:tc>
        <w:tc>
          <w:tcPr>
            <w:tcW w:type="dxa" w:w="5472"/>
            <w:shd w:val="clear" w:color="auto" w:fill="F0F4FF"/>
            <w:vAlign w:val="center"/>
          </w:tcPr>
          <w:p>
            <w:r>
              <w:rPr>
                <w:sz w:val="18"/>
              </w:rPr>
              <w:t>Paginated records (year, townland, barony, page, limit filters)</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/townlands</w:t>
            </w:r>
          </w:p>
        </w:tc>
        <w:tc>
          <w:tcPr>
            <w:tcW w:type="dxa" w:w="5472"/>
            <w:shd w:val="clear" w:color="auto" w:fill="FFFFFF"/>
            <w:vAlign w:val="center"/>
          </w:tcPr>
          <w:p>
            <w:r>
              <w:rPr>
                <w:sz w:val="18"/>
              </w:rPr>
              <w:t>List townlands with census data</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/summary</w:t>
            </w:r>
          </w:p>
        </w:tc>
        <w:tc>
          <w:tcPr>
            <w:tcW w:type="dxa" w:w="5472"/>
            <w:shd w:val="clear" w:color="auto" w:fill="F0F4FF"/>
            <w:vAlign w:val="center"/>
          </w:tcPr>
          <w:p>
            <w:r>
              <w:rPr>
                <w:sz w:val="18"/>
              </w:rPr>
              <w:t>Aggregate stats by year</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/townland?name=</w:t>
            </w:r>
          </w:p>
        </w:tc>
        <w:tc>
          <w:tcPr>
            <w:tcW w:type="dxa" w:w="5472"/>
            <w:shd w:val="clear" w:color="auto" w:fill="FFFFFF"/>
            <w:vAlign w:val="center"/>
          </w:tcPr>
          <w:p>
            <w:r>
              <w:rPr>
                <w:sz w:val="18"/>
              </w:rPr>
              <w:t>Full population history for one townland (all years)</w:t>
            </w:r>
          </w:p>
        </w:tc>
      </w:tr>
      <w:tr>
        <w:tc>
          <w:tcPr>
            <w:tcW w:type="dxa" w:w="1008"/>
            <w:shd w:val="clear" w:color="auto" w:fill="F0F4FF"/>
            <w:vAlign w:val="center"/>
          </w:tcPr>
          <w:p>
            <w:r>
              <w:rPr>
                <w:sz w:val="18"/>
              </w:rPr>
              <w:t>POST</w:t>
            </w:r>
          </w:p>
        </w:tc>
        <w:tc>
          <w:tcPr>
            <w:tcW w:type="dxa" w:w="2880"/>
            <w:shd w:val="clear" w:color="auto" w:fill="F0F4FF"/>
            <w:vAlign w:val="center"/>
          </w:tcPr>
          <w:p>
            <w:r>
              <w:rPr>
                <w:sz w:val="18"/>
              </w:rPr>
              <w:t>/refresh</w:t>
            </w:r>
          </w:p>
        </w:tc>
        <w:tc>
          <w:tcPr>
            <w:tcW w:type="dxa" w:w="5472"/>
            <w:shd w:val="clear" w:color="auto" w:fill="F0F4FF"/>
            <w:vAlign w:val="center"/>
          </w:tcPr>
          <w:p>
            <w:r>
              <w:rPr>
                <w:sz w:val="18"/>
              </w:rPr>
              <w:t>Force VRTI KG re-ingestion (returns 202 Accepted)</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/export/latest</w:t>
            </w:r>
          </w:p>
        </w:tc>
        <w:tc>
          <w:tcPr>
            <w:tcW w:type="dxa" w:w="5472"/>
            <w:shd w:val="clear" w:color="auto" w:fill="FFFFFF"/>
            <w:vAlign w:val="center"/>
          </w:tcPr>
          <w:p>
            <w:r>
              <w:rPr>
                <w:sz w:val="18"/>
              </w:rPr>
              <w:t>Metadata for most recent .xlsx export</w:t>
            </w:r>
          </w:p>
        </w:tc>
      </w:tr>
      <w:tr>
        <w:tc>
          <w:tcPr>
            <w:tcW w:type="dxa" w:w="1008"/>
            <w:shd w:val="clear" w:color="auto" w:fill="F0F4FF"/>
            <w:vAlign w:val="center"/>
          </w:tcPr>
          <w:p>
            <w:r>
              <w:rPr>
                <w:sz w:val="18"/>
              </w:rPr>
              <w:t>POST</w:t>
            </w:r>
          </w:p>
        </w:tc>
        <w:tc>
          <w:tcPr>
            <w:tcW w:type="dxa" w:w="2880"/>
            <w:shd w:val="clear" w:color="auto" w:fill="F0F4FF"/>
            <w:vAlign w:val="center"/>
          </w:tcPr>
          <w:p>
            <w:r>
              <w:rPr>
                <w:sz w:val="18"/>
              </w:rPr>
              <w:t>/export/regenerate</w:t>
            </w:r>
          </w:p>
        </w:tc>
        <w:tc>
          <w:tcPr>
            <w:tcW w:type="dxa" w:w="5472"/>
            <w:shd w:val="clear" w:color="auto" w:fill="F0F4FF"/>
            <w:vAlign w:val="center"/>
          </w:tcPr>
          <w:p>
            <w:r>
              <w:rPr>
                <w:sz w:val="18"/>
              </w:rPr>
              <w:t>Regenerate Excel from current DB (no KG call)</w:t>
            </w:r>
          </w:p>
        </w:tc>
      </w:tr>
    </w:tbl>
    <w:p/>
    <w:p>
      <w:pPr>
        <w:pStyle w:val="Heading2"/>
        <w:spacing w:before="200" w:after="80"/>
      </w:pPr>
      <w:r>
        <w:rPr>
          <w:b/>
          <w:color w:val="1D4ED8"/>
          <w:sz w:val="26"/>
        </w:rPr>
        <w:t>15.3 Ask API (/api/ask)</w:t>
      </w:r>
    </w:p>
    <w:tbl>
      <w:tblPr>
        <w:tblStyle w:val="TableGrid"/>
        <w:tblW w:type="auto" w:w="0"/>
        <w:jc w:val="left"/>
        <w:tblLook w:firstColumn="1" w:firstRow="1" w:lastColumn="0" w:lastRow="0" w:noHBand="0" w:noVBand="1" w:val="04A0"/>
      </w:tblPr>
      <w:tblGrid>
        <w:gridCol w:w="3022"/>
        <w:gridCol w:w="3022"/>
        <w:gridCol w:w="3022"/>
      </w:tblGrid>
      <w:tr>
        <w:tc>
          <w:tcPr>
            <w:tcW w:type="dxa" w:w="1008"/>
            <w:shd w:val="clear" w:color="auto" w:fill="1E3A5F"/>
          </w:tcPr>
          <w:p>
            <w:pPr>
              <w:jc w:val="left"/>
            </w:pPr>
            <w:r>
              <w:rPr>
                <w:b/>
                <w:color w:val="FFFFFF"/>
                <w:sz w:val="19"/>
              </w:rPr>
              <w:t>Method</w:t>
            </w:r>
          </w:p>
        </w:tc>
        <w:tc>
          <w:tcPr>
            <w:tcW w:type="dxa" w:w="2880"/>
            <w:shd w:val="clear" w:color="auto" w:fill="1E3A5F"/>
          </w:tcPr>
          <w:p>
            <w:pPr>
              <w:jc w:val="left"/>
            </w:pPr>
            <w:r>
              <w:rPr>
                <w:b/>
                <w:color w:val="FFFFFF"/>
                <w:sz w:val="19"/>
              </w:rPr>
              <w:t>Path</w:t>
            </w:r>
          </w:p>
        </w:tc>
        <w:tc>
          <w:tcPr>
            <w:tcW w:type="dxa" w:w="5472"/>
            <w:shd w:val="clear" w:color="auto" w:fill="1E3A5F"/>
          </w:tcPr>
          <w:p>
            <w:pPr>
              <w:jc w:val="left"/>
            </w:pPr>
            <w:r>
              <w:rPr>
                <w:b/>
                <w:color w:val="FFFFFF"/>
                <w:sz w:val="19"/>
              </w:rPr>
              <w:t>Purpose</w:t>
            </w:r>
          </w:p>
        </w:tc>
      </w:tr>
      <w:tr>
        <w:tc>
          <w:tcPr>
            <w:tcW w:type="dxa" w:w="1008"/>
            <w:shd w:val="clear" w:color="auto" w:fill="F0F4FF"/>
            <w:vAlign w:val="center"/>
          </w:tcPr>
          <w:p>
            <w:r>
              <w:rPr>
                <w:sz w:val="18"/>
              </w:rPr>
              <w:t>POST</w:t>
            </w:r>
          </w:p>
        </w:tc>
        <w:tc>
          <w:tcPr>
            <w:tcW w:type="dxa" w:w="2880"/>
            <w:shd w:val="clear" w:color="auto" w:fill="F0F4FF"/>
            <w:vAlign w:val="center"/>
          </w:tcPr>
          <w:p>
            <w:r>
              <w:rPr>
                <w:sz w:val="18"/>
              </w:rPr>
              <w:t>/query</w:t>
            </w:r>
          </w:p>
        </w:tc>
        <w:tc>
          <w:tcPr>
            <w:tcW w:type="dxa" w:w="5472"/>
            <w:shd w:val="clear" w:color="auto" w:fill="F0F4FF"/>
            <w:vAlign w:val="center"/>
          </w:tcPr>
          <w:p>
            <w:r>
              <w:rPr>
                <w:sz w:val="18"/>
              </w:rPr>
              <w:t>SSE pipeline stream; body: {question, townland_hint?, show_sql?, force_llm?}</w:t>
            </w:r>
          </w:p>
        </w:tc>
      </w:tr>
      <w:tr>
        <w:tc>
          <w:tcPr>
            <w:tcW w:type="dxa" w:w="1008"/>
            <w:shd w:val="clear" w:color="auto" w:fill="FFFFFF"/>
            <w:vAlign w:val="center"/>
          </w:tcPr>
          <w:p>
            <w:r>
              <w:rPr>
                <w:sz w:val="18"/>
              </w:rPr>
              <w:t>POST</w:t>
            </w:r>
          </w:p>
        </w:tc>
        <w:tc>
          <w:tcPr>
            <w:tcW w:type="dxa" w:w="2880"/>
            <w:shd w:val="clear" w:color="auto" w:fill="FFFFFF"/>
            <w:vAlign w:val="center"/>
          </w:tcPr>
          <w:p>
            <w:r>
              <w:rPr>
                <w:sz w:val="18"/>
              </w:rPr>
              <w:t>/feedback</w:t>
            </w:r>
          </w:p>
        </w:tc>
        <w:tc>
          <w:tcPr>
            <w:tcW w:type="dxa" w:w="5472"/>
            <w:shd w:val="clear" w:color="auto" w:fill="FFFFFF"/>
            <w:vAlign w:val="center"/>
          </w:tcPr>
          <w:p>
            <w:r>
              <w:rPr>
                <w:sz w:val="18"/>
              </w:rPr>
              <w:t>Record thumbs-up/down + metadata for query memory</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/llm-status</w:t>
            </w:r>
          </w:p>
        </w:tc>
        <w:tc>
          <w:tcPr>
            <w:tcW w:type="dxa" w:w="5472"/>
            <w:shd w:val="clear" w:color="auto" w:fill="F0F4FF"/>
            <w:vAlign w:val="center"/>
          </w:tcPr>
          <w:p>
            <w:r>
              <w:rPr>
                <w:sz w:val="18"/>
              </w:rPr>
              <w:t>LLM provider health check</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/townland-suggest?q=</w:t>
            </w:r>
          </w:p>
        </w:tc>
        <w:tc>
          <w:tcPr>
            <w:tcW w:type="dxa" w:w="5472"/>
            <w:shd w:val="clear" w:color="auto" w:fill="FFFFFF"/>
            <w:vAlign w:val="center"/>
          </w:tcPr>
          <w:p>
            <w:r>
              <w:rPr>
                <w:sz w:val="18"/>
              </w:rPr>
              <w:t>Townland name autocomplete</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/pdf/&lt;filename&gt;</w:t>
            </w:r>
          </w:p>
        </w:tc>
        <w:tc>
          <w:tcPr>
            <w:tcW w:type="dxa" w:w="5472"/>
            <w:shd w:val="clear" w:color="auto" w:fill="F0F4FF"/>
            <w:vAlign w:val="center"/>
          </w:tcPr>
          <w:p>
            <w:r>
              <w:rPr>
                <w:sz w:val="18"/>
              </w:rPr>
              <w:t>Download generated PDF report</w:t>
            </w:r>
          </w:p>
        </w:tc>
      </w:tr>
    </w:tbl>
    <w:p/>
    <w:p>
      <w:pPr>
        <w:pStyle w:val="Heading2"/>
        <w:spacing w:before="200" w:after="80"/>
      </w:pPr>
      <w:r>
        <w:rPr>
          <w:b/>
          <w:color w:val="1D4ED8"/>
          <w:sz w:val="26"/>
        </w:rPr>
        <w:t>15.4 Knowledge Graph API (/api/kg)</w:t>
      </w:r>
    </w:p>
    <w:tbl>
      <w:tblPr>
        <w:tblStyle w:val="TableGrid"/>
        <w:tblW w:type="auto" w:w="0"/>
        <w:jc w:val="left"/>
        <w:tblLook w:firstColumn="1" w:firstRow="1" w:lastColumn="0" w:lastRow="0" w:noHBand="0" w:noVBand="1" w:val="04A0"/>
      </w:tblPr>
      <w:tblGrid>
        <w:gridCol w:w="3022"/>
        <w:gridCol w:w="3022"/>
        <w:gridCol w:w="3022"/>
      </w:tblGrid>
      <w:tr>
        <w:tc>
          <w:tcPr>
            <w:tcW w:type="dxa" w:w="1008"/>
            <w:shd w:val="clear" w:color="auto" w:fill="1E3A5F"/>
          </w:tcPr>
          <w:p>
            <w:pPr>
              <w:jc w:val="left"/>
            </w:pPr>
            <w:r>
              <w:rPr>
                <w:b/>
                <w:color w:val="FFFFFF"/>
                <w:sz w:val="19"/>
              </w:rPr>
              <w:t>Method</w:t>
            </w:r>
          </w:p>
        </w:tc>
        <w:tc>
          <w:tcPr>
            <w:tcW w:type="dxa" w:w="2880"/>
            <w:shd w:val="clear" w:color="auto" w:fill="1E3A5F"/>
          </w:tcPr>
          <w:p>
            <w:pPr>
              <w:jc w:val="left"/>
            </w:pPr>
            <w:r>
              <w:rPr>
                <w:b/>
                <w:color w:val="FFFFFF"/>
                <w:sz w:val="19"/>
              </w:rPr>
              <w:t>Path</w:t>
            </w:r>
          </w:p>
        </w:tc>
        <w:tc>
          <w:tcPr>
            <w:tcW w:type="dxa" w:w="5472"/>
            <w:shd w:val="clear" w:color="auto" w:fill="1E3A5F"/>
          </w:tcPr>
          <w:p>
            <w:pPr>
              <w:jc w:val="left"/>
            </w:pPr>
            <w:r>
              <w:rPr>
                <w:b/>
                <w:color w:val="FFFFFF"/>
                <w:sz w:val="19"/>
              </w:rPr>
              <w:t>Purpose</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/graph</w:t>
            </w:r>
          </w:p>
        </w:tc>
        <w:tc>
          <w:tcPr>
            <w:tcW w:type="dxa" w:w="5472"/>
            <w:shd w:val="clear" w:color="auto" w:fill="F0F4FF"/>
            <w:vAlign w:val="center"/>
          </w:tcPr>
          <w:p>
            <w:r>
              <w:rPr>
                <w:sz w:val="18"/>
              </w:rPr>
              <w:t>Graph nodes + edges (541 nodes, 1,254 edges) for D3.js</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/scenarios</w:t>
            </w:r>
          </w:p>
        </w:tc>
        <w:tc>
          <w:tcPr>
            <w:tcW w:type="dxa" w:w="5472"/>
            <w:shd w:val="clear" w:color="auto" w:fill="FFFFFF"/>
            <w:vAlign w:val="center"/>
          </w:tcPr>
          <w:p>
            <w:r>
              <w:rPr>
                <w:sz w:val="18"/>
              </w:rPr>
              <w:t>Canned SQL vs SPARQL comparison scenarios</w:t>
            </w:r>
          </w:p>
        </w:tc>
      </w:tr>
      <w:tr>
        <w:tc>
          <w:tcPr>
            <w:tcW w:type="dxa" w:w="1008"/>
            <w:shd w:val="clear" w:color="auto" w:fill="F0F4FF"/>
            <w:vAlign w:val="center"/>
          </w:tcPr>
          <w:p>
            <w:r>
              <w:rPr>
                <w:sz w:val="18"/>
              </w:rPr>
              <w:t>POST</w:t>
            </w:r>
          </w:p>
        </w:tc>
        <w:tc>
          <w:tcPr>
            <w:tcW w:type="dxa" w:w="2880"/>
            <w:shd w:val="clear" w:color="auto" w:fill="F0F4FF"/>
            <w:vAlign w:val="center"/>
          </w:tcPr>
          <w:p>
            <w:r>
              <w:rPr>
                <w:sz w:val="18"/>
              </w:rPr>
              <w:t>/compare</w:t>
            </w:r>
          </w:p>
        </w:tc>
        <w:tc>
          <w:tcPr>
            <w:tcW w:type="dxa" w:w="5472"/>
            <w:shd w:val="clear" w:color="auto" w:fill="F0F4FF"/>
            <w:vAlign w:val="center"/>
          </w:tcPr>
          <w:p>
            <w:r>
              <w:rPr>
                <w:sz w:val="18"/>
              </w:rPr>
              <w:t>Execute scenario or custom SQL/SPARQL; returns both result sets</w:t>
            </w:r>
          </w:p>
        </w:tc>
      </w:tr>
      <w:tr>
        <w:tc>
          <w:tcPr>
            <w:tcW w:type="dxa" w:w="1008"/>
            <w:shd w:val="clear" w:color="auto" w:fill="FFFFFF"/>
            <w:vAlign w:val="center"/>
          </w:tcPr>
          <w:p>
            <w:r>
              <w:rPr>
                <w:sz w:val="18"/>
              </w:rPr>
              <w:t>POST</w:t>
            </w:r>
          </w:p>
        </w:tc>
        <w:tc>
          <w:tcPr>
            <w:tcW w:type="dxa" w:w="2880"/>
            <w:shd w:val="clear" w:color="auto" w:fill="FFFFFF"/>
            <w:vAlign w:val="center"/>
          </w:tcPr>
          <w:p>
            <w:r>
              <w:rPr>
                <w:sz w:val="18"/>
              </w:rPr>
              <w:t>/explain-mismatch</w:t>
            </w:r>
          </w:p>
        </w:tc>
        <w:tc>
          <w:tcPr>
            <w:tcW w:type="dxa" w:w="5472"/>
            <w:shd w:val="clear" w:color="auto" w:fill="FFFFFF"/>
            <w:vAlign w:val="center"/>
          </w:tcPr>
          <w:p>
            <w:r>
              <w:rPr>
                <w:sz w:val="18"/>
              </w:rPr>
              <w:t>LLM explanation of why SQL and SPARQL results differ</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/graphdb-status</w:t>
            </w:r>
          </w:p>
        </w:tc>
        <w:tc>
          <w:tcPr>
            <w:tcW w:type="dxa" w:w="5472"/>
            <w:shd w:val="clear" w:color="auto" w:fill="F0F4FF"/>
            <w:vAlign w:val="center"/>
          </w:tcPr>
          <w:p>
            <w:r>
              <w:rPr>
                <w:sz w:val="18"/>
              </w:rPr>
              <w:t>Live GraphDB connectivity; returns triple_count</w:t>
            </w:r>
          </w:p>
        </w:tc>
      </w:tr>
      <w:tr>
        <w:tc>
          <w:tcPr>
            <w:tcW w:type="dxa" w:w="1008"/>
            <w:shd w:val="clear" w:color="auto" w:fill="FFFFFF"/>
            <w:vAlign w:val="center"/>
          </w:tcPr>
          <w:p>
            <w:r>
              <w:rPr>
                <w:sz w:val="18"/>
              </w:rPr>
              <w:t>GET</w:t>
            </w:r>
          </w:p>
        </w:tc>
        <w:tc>
          <w:tcPr>
            <w:tcW w:type="dxa" w:w="2880"/>
            <w:shd w:val="clear" w:color="auto" w:fill="FFFFFF"/>
            <w:vAlign w:val="center"/>
          </w:tcPr>
          <w:p>
            <w:r>
              <w:rPr>
                <w:sz w:val="18"/>
              </w:rPr>
              <w:t>/townland/&lt;name&gt;</w:t>
            </w:r>
          </w:p>
        </w:tc>
        <w:tc>
          <w:tcPr>
            <w:tcW w:type="dxa" w:w="5472"/>
            <w:shd w:val="clear" w:color="auto" w:fill="FFFFFF"/>
            <w:vAlign w:val="center"/>
          </w:tcPr>
          <w:p>
            <w:r>
              <w:rPr>
                <w:sz w:val="18"/>
              </w:rPr>
              <w:t>Person records for a specific townland (drill-down)</w:t>
            </w:r>
          </w:p>
        </w:tc>
      </w:tr>
      <w:tr>
        <w:tc>
          <w:tcPr>
            <w:tcW w:type="dxa" w:w="1008"/>
            <w:shd w:val="clear" w:color="auto" w:fill="F0F4FF"/>
            <w:vAlign w:val="center"/>
          </w:tcPr>
          <w:p>
            <w:r>
              <w:rPr>
                <w:sz w:val="18"/>
              </w:rPr>
              <w:t>GET</w:t>
            </w:r>
          </w:p>
        </w:tc>
        <w:tc>
          <w:tcPr>
            <w:tcW w:type="dxa" w:w="2880"/>
            <w:shd w:val="clear" w:color="auto" w:fill="F0F4FF"/>
            <w:vAlign w:val="center"/>
          </w:tcPr>
          <w:p>
            <w:r>
              <w:rPr>
                <w:sz w:val="18"/>
              </w:rPr>
              <w:t>/rdf-status</w:t>
            </w:r>
          </w:p>
        </w:tc>
        <w:tc>
          <w:tcPr>
            <w:tcW w:type="dxa" w:w="5472"/>
            <w:shd w:val="clear" w:color="auto" w:fill="F0F4FF"/>
            <w:vAlign w:val="center"/>
          </w:tcPr>
          <w:p>
            <w:r>
              <w:rPr>
                <w:sz w:val="18"/>
              </w:rPr>
              <w:t>TTL file presence, size, and in-process triple count</w:t>
            </w:r>
          </w:p>
        </w:tc>
      </w:tr>
    </w:tbl>
    <w:p/>
    <w:p>
      <w:pPr>
        <w:pStyle w:val="Heading2"/>
        <w:spacing w:before="200" w:after="80"/>
      </w:pPr>
      <w:r>
        <w:rPr>
          <w:b/>
          <w:color w:val="1D4ED8"/>
          <w:sz w:val="26"/>
        </w:rPr>
        <w:t>15.5 Other APIs</w:t>
      </w:r>
    </w:p>
    <w:tbl>
      <w:tblPr>
        <w:tblStyle w:val="TableGrid"/>
        <w:tblW w:type="auto" w:w="0"/>
        <w:jc w:val="left"/>
        <w:tblLook w:firstColumn="1" w:firstRow="1" w:lastColumn="0" w:lastRow="0" w:noHBand="0" w:noVBand="1" w:val="04A0"/>
      </w:tblPr>
      <w:tblGrid>
        <w:gridCol w:w="3022"/>
        <w:gridCol w:w="3022"/>
        <w:gridCol w:w="3022"/>
      </w:tblGrid>
      <w:tr>
        <w:tc>
          <w:tcPr>
            <w:tcW w:type="dxa" w:w="1008"/>
            <w:shd w:val="clear" w:color="auto" w:fill="1E3A5F"/>
          </w:tcPr>
          <w:p>
            <w:pPr>
              <w:jc w:val="left"/>
            </w:pPr>
            <w:r>
              <w:rPr>
                <w:b/>
                <w:color w:val="FFFFFF"/>
                <w:sz w:val="19"/>
              </w:rPr>
              <w:t>Method</w:t>
            </w:r>
          </w:p>
        </w:tc>
        <w:tc>
          <w:tcPr>
            <w:tcW w:type="dxa" w:w="3312"/>
            <w:shd w:val="clear" w:color="auto" w:fill="1E3A5F"/>
          </w:tcPr>
          <w:p>
            <w:pPr>
              <w:jc w:val="left"/>
            </w:pPr>
            <w:r>
              <w:rPr>
                <w:b/>
                <w:color w:val="FFFFFF"/>
                <w:sz w:val="19"/>
              </w:rPr>
              <w:t>Path</w:t>
            </w:r>
          </w:p>
        </w:tc>
        <w:tc>
          <w:tcPr>
            <w:tcW w:type="dxa" w:w="5040"/>
            <w:shd w:val="clear" w:color="auto" w:fill="1E3A5F"/>
          </w:tcPr>
          <w:p>
            <w:pPr>
              <w:jc w:val="left"/>
            </w:pPr>
            <w:r>
              <w:rPr>
                <w:b/>
                <w:color w:val="FFFFFF"/>
                <w:sz w:val="19"/>
              </w:rPr>
              <w:t>Purpose</w:t>
            </w:r>
          </w:p>
        </w:tc>
      </w:tr>
      <w:tr>
        <w:tc>
          <w:tcPr>
            <w:tcW w:type="dxa" w:w="1008"/>
            <w:shd w:val="clear" w:color="auto" w:fill="F0F4FF"/>
            <w:vAlign w:val="center"/>
          </w:tcPr>
          <w:p>
            <w:r>
              <w:rPr>
                <w:sz w:val="18"/>
              </w:rPr>
              <w:t>GET</w:t>
            </w:r>
          </w:p>
        </w:tc>
        <w:tc>
          <w:tcPr>
            <w:tcW w:type="dxa" w:w="3312"/>
            <w:shd w:val="clear" w:color="auto" w:fill="F0F4FF"/>
            <w:vAlign w:val="center"/>
          </w:tcPr>
          <w:p>
            <w:r>
              <w:rPr>
                <w:sz w:val="18"/>
              </w:rPr>
              <w:t>/api/unified/records</w:t>
            </w:r>
          </w:p>
        </w:tc>
        <w:tc>
          <w:tcPr>
            <w:tcW w:type="dxa" w:w="5040"/>
            <w:shd w:val="clear" w:color="auto" w:fill="F0F4FF"/>
            <w:vAlign w:val="center"/>
          </w:tcPr>
          <w:p>
            <w:r>
              <w:rPr>
                <w:sz w:val="18"/>
              </w:rPr>
              <w:t>Search records (surname, forename, townland, year, estate, limit)</w:t>
            </w:r>
          </w:p>
        </w:tc>
      </w:tr>
      <w:tr>
        <w:tc>
          <w:tcPr>
            <w:tcW w:type="dxa" w:w="1008"/>
            <w:shd w:val="clear" w:color="auto" w:fill="FFFFFF"/>
            <w:vAlign w:val="center"/>
          </w:tcPr>
          <w:p>
            <w:r>
              <w:rPr>
                <w:sz w:val="18"/>
              </w:rPr>
              <w:t>GET</w:t>
            </w:r>
          </w:p>
        </w:tc>
        <w:tc>
          <w:tcPr>
            <w:tcW w:type="dxa" w:w="3312"/>
            <w:shd w:val="clear" w:color="auto" w:fill="FFFFFF"/>
            <w:vAlign w:val="center"/>
          </w:tcPr>
          <w:p>
            <w:r>
              <w:rPr>
                <w:sz w:val="18"/>
              </w:rPr>
              <w:t>/api/unified/stats</w:t>
            </w:r>
          </w:p>
        </w:tc>
        <w:tc>
          <w:tcPr>
            <w:tcW w:type="dxa" w:w="5040"/>
            <w:shd w:val="clear" w:color="auto" w:fill="FFFFFF"/>
            <w:vAlign w:val="center"/>
          </w:tcPr>
          <w:p>
            <w:r>
              <w:rPr>
                <w:sz w:val="18"/>
              </w:rPr>
              <w:t>Total records and field coverage statistics</w:t>
            </w:r>
          </w:p>
        </w:tc>
      </w:tr>
      <w:tr>
        <w:tc>
          <w:tcPr>
            <w:tcW w:type="dxa" w:w="1008"/>
            <w:shd w:val="clear" w:color="auto" w:fill="F0F4FF"/>
            <w:vAlign w:val="center"/>
          </w:tcPr>
          <w:p>
            <w:r>
              <w:rPr>
                <w:sz w:val="18"/>
              </w:rPr>
              <w:t>GET</w:t>
            </w:r>
          </w:p>
        </w:tc>
        <w:tc>
          <w:tcPr>
            <w:tcW w:type="dxa" w:w="3312"/>
            <w:shd w:val="clear" w:color="auto" w:fill="F0F4FF"/>
            <w:vAlign w:val="center"/>
          </w:tcPr>
          <w:p>
            <w:r>
              <w:rPr>
                <w:sz w:val="18"/>
              </w:rPr>
              <w:t>/api/unified/surname-suggest</w:t>
            </w:r>
          </w:p>
        </w:tc>
        <w:tc>
          <w:tcPr>
            <w:tcW w:type="dxa" w:w="5040"/>
            <w:shd w:val="clear" w:color="auto" w:fill="F0F4FF"/>
            <w:vAlign w:val="center"/>
          </w:tcPr>
          <w:p>
            <w:r>
              <w:rPr>
                <w:sz w:val="18"/>
              </w:rPr>
              <w:t>Surname autocomplete</w:t>
            </w:r>
          </w:p>
        </w:tc>
      </w:tr>
      <w:tr>
        <w:tc>
          <w:tcPr>
            <w:tcW w:type="dxa" w:w="1008"/>
            <w:shd w:val="clear" w:color="auto" w:fill="FFFFFF"/>
            <w:vAlign w:val="center"/>
          </w:tcPr>
          <w:p>
            <w:r>
              <w:rPr>
                <w:sz w:val="18"/>
              </w:rPr>
              <w:t>GET</w:t>
            </w:r>
          </w:p>
        </w:tc>
        <w:tc>
          <w:tcPr>
            <w:tcW w:type="dxa" w:w="3312"/>
            <w:shd w:val="clear" w:color="auto" w:fill="FFFFFF"/>
            <w:vAlign w:val="center"/>
          </w:tcPr>
          <w:p>
            <w:r>
              <w:rPr>
                <w:sz w:val="18"/>
              </w:rPr>
              <w:t>/api/townlands/</w:t>
            </w:r>
          </w:p>
        </w:tc>
        <w:tc>
          <w:tcPr>
            <w:tcW w:type="dxa" w:w="5040"/>
            <w:shd w:val="clear" w:color="auto" w:fill="FFFFFF"/>
            <w:vAlign w:val="center"/>
          </w:tcPr>
          <w:p>
            <w:r>
              <w:rPr>
                <w:sz w:val="18"/>
              </w:rPr>
              <w:t>All townlands (optional ?county= filter)</w:t>
            </w:r>
          </w:p>
        </w:tc>
      </w:tr>
      <w:tr>
        <w:tc>
          <w:tcPr>
            <w:tcW w:type="dxa" w:w="1008"/>
            <w:shd w:val="clear" w:color="auto" w:fill="F0F4FF"/>
            <w:vAlign w:val="center"/>
          </w:tcPr>
          <w:p>
            <w:r>
              <w:rPr>
                <w:sz w:val="18"/>
              </w:rPr>
              <w:t>POST</w:t>
            </w:r>
          </w:p>
        </w:tc>
        <w:tc>
          <w:tcPr>
            <w:tcW w:type="dxa" w:w="3312"/>
            <w:shd w:val="clear" w:color="auto" w:fill="F0F4FF"/>
            <w:vAlign w:val="center"/>
          </w:tcPr>
          <w:p>
            <w:r>
              <w:rPr>
                <w:sz w:val="18"/>
              </w:rPr>
              <w:t>/api/townlands/refresh</w:t>
            </w:r>
          </w:p>
        </w:tc>
        <w:tc>
          <w:tcPr>
            <w:tcW w:type="dxa" w:w="5040"/>
            <w:shd w:val="clear" w:color="auto" w:fill="F0F4FF"/>
            <w:vAlign w:val="center"/>
          </w:tcPr>
          <w:p>
            <w:r>
              <w:rPr>
                <w:sz w:val="18"/>
              </w:rPr>
              <w:t>Force VRTI refresh of townland reference data</w:t>
            </w:r>
          </w:p>
        </w:tc>
      </w:tr>
      <w:tr>
        <w:tc>
          <w:tcPr>
            <w:tcW w:type="dxa" w:w="1008"/>
            <w:shd w:val="clear" w:color="auto" w:fill="FFFFFF"/>
            <w:vAlign w:val="center"/>
          </w:tcPr>
          <w:p>
            <w:r>
              <w:rPr>
                <w:sz w:val="18"/>
              </w:rPr>
              <w:t>GET</w:t>
            </w:r>
          </w:p>
        </w:tc>
        <w:tc>
          <w:tcPr>
            <w:tcW w:type="dxa" w:w="3312"/>
            <w:shd w:val="clear" w:color="auto" w:fill="FFFFFF"/>
            <w:vAlign w:val="center"/>
          </w:tcPr>
          <w:p>
            <w:r>
              <w:rPr>
                <w:sz w:val="18"/>
              </w:rPr>
              <w:t>/api/map/layers</w:t>
            </w:r>
          </w:p>
        </w:tc>
        <w:tc>
          <w:tcPr>
            <w:tcW w:type="dxa" w:w="5040"/>
            <w:shd w:val="clear" w:color="auto" w:fill="FFFFFF"/>
            <w:vAlign w:val="center"/>
          </w:tcPr>
          <w:p>
            <w:r>
              <w:rPr>
                <w:sz w:val="18"/>
              </w:rPr>
              <w:t>Basemap tile layer definitions</w:t>
            </w:r>
          </w:p>
        </w:tc>
      </w:tr>
      <w:tr>
        <w:tc>
          <w:tcPr>
            <w:tcW w:type="dxa" w:w="1008"/>
            <w:shd w:val="clear" w:color="auto" w:fill="F0F4FF"/>
            <w:vAlign w:val="center"/>
          </w:tcPr>
          <w:p>
            <w:r>
              <w:rPr>
                <w:sz w:val="18"/>
              </w:rPr>
              <w:t>GET</w:t>
            </w:r>
          </w:p>
        </w:tc>
        <w:tc>
          <w:tcPr>
            <w:tcW w:type="dxa" w:w="3312"/>
            <w:shd w:val="clear" w:color="auto" w:fill="F0F4FF"/>
            <w:vAlign w:val="center"/>
          </w:tcPr>
          <w:p>
            <w:r>
              <w:rPr>
                <w:sz w:val="18"/>
              </w:rPr>
              <w:t>/api/centroids</w:t>
            </w:r>
          </w:p>
        </w:tc>
        <w:tc>
          <w:tcPr>
            <w:tcW w:type="dxa" w:w="5040"/>
            <w:shd w:val="clear" w:color="auto" w:fill="F0F4FF"/>
            <w:vAlign w:val="center"/>
          </w:tcPr>
          <w:p>
            <w:r>
              <w:rPr>
                <w:sz w:val="18"/>
              </w:rPr>
              <w:t>Townland centroid coordinates {name: [lat, lon]}</w:t>
            </w:r>
          </w:p>
        </w:tc>
      </w:tr>
      <w:tr>
        <w:tc>
          <w:tcPr>
            <w:tcW w:type="dxa" w:w="1008"/>
            <w:shd w:val="clear" w:color="auto" w:fill="FFFFFF"/>
            <w:vAlign w:val="center"/>
          </w:tcPr>
          <w:p>
            <w:r>
              <w:rPr>
                <w:sz w:val="18"/>
              </w:rPr>
              <w:t>GET</w:t>
            </w:r>
          </w:p>
        </w:tc>
        <w:tc>
          <w:tcPr>
            <w:tcW w:type="dxa" w:w="3312"/>
            <w:shd w:val="clear" w:color="auto" w:fill="FFFFFF"/>
            <w:vAlign w:val="center"/>
          </w:tcPr>
          <w:p>
            <w:r>
              <w:rPr>
                <w:sz w:val="18"/>
              </w:rPr>
              <w:t>/api/exports/census/download</w:t>
            </w:r>
          </w:p>
        </w:tc>
        <w:tc>
          <w:tcPr>
            <w:tcW w:type="dxa" w:w="5040"/>
            <w:shd w:val="clear" w:color="auto" w:fill="FFFFFF"/>
            <w:vAlign w:val="center"/>
          </w:tcPr>
          <w:p>
            <w:r>
              <w:rPr>
                <w:sz w:val="18"/>
              </w:rPr>
              <w:t>Download latest census .xlsx file</w:t>
            </w:r>
          </w:p>
        </w:tc>
      </w:tr>
    </w:tbl>
    <w:p/>
    <w:p>
      <w:r>
        <w:br w:type="page"/>
      </w:r>
    </w:p>
    <w:p>
      <w:pPr>
        <w:pStyle w:val="Heading1"/>
        <w:spacing w:before="280" w:after="80"/>
      </w:pPr>
      <w:r>
        <w:rPr>
          <w:b/>
          <w:color w:val="0F172A"/>
          <w:sz w:val="32"/>
        </w:rPr>
        <w:t>16. Codebase Metrics and Summary</w:t>
      </w:r>
    </w:p>
    <w:p>
      <w:pPr>
        <w:pStyle w:val="Heading2"/>
        <w:spacing w:before="200" w:after="80"/>
      </w:pPr>
      <w:r>
        <w:rPr>
          <w:b/>
          <w:color w:val="1D4ED8"/>
          <w:sz w:val="26"/>
        </w:rPr>
        <w:t>16.1 Code Scale</w:t>
      </w:r>
    </w:p>
    <w:tbl>
      <w:tblPr>
        <w:tblStyle w:val="TableGrid"/>
        <w:tblW w:type="auto" w:w="0"/>
        <w:jc w:val="left"/>
        <w:tblLook w:firstColumn="1" w:firstRow="1" w:lastColumn="0" w:lastRow="0" w:noHBand="0" w:noVBand="1" w:val="04A0"/>
      </w:tblPr>
      <w:tblGrid>
        <w:gridCol w:w="4533"/>
        <w:gridCol w:w="4533"/>
      </w:tblGrid>
      <w:tr>
        <w:tc>
          <w:tcPr>
            <w:tcW w:type="dxa" w:w="4320"/>
            <w:shd w:val="clear" w:color="auto" w:fill="1E3A5F"/>
          </w:tcPr>
          <w:p>
            <w:pPr>
              <w:jc w:val="left"/>
            </w:pPr>
            <w:r>
              <w:rPr>
                <w:b/>
                <w:color w:val="FFFFFF"/>
                <w:sz w:val="19"/>
              </w:rPr>
              <w:t>Metric</w:t>
            </w:r>
          </w:p>
        </w:tc>
        <w:tc>
          <w:tcPr>
            <w:tcW w:type="dxa" w:w="5040"/>
            <w:shd w:val="clear" w:color="auto" w:fill="1E3A5F"/>
          </w:tcPr>
          <w:p>
            <w:pPr>
              <w:jc w:val="left"/>
            </w:pPr>
            <w:r>
              <w:rPr>
                <w:b/>
                <w:color w:val="FFFFFF"/>
                <w:sz w:val="19"/>
              </w:rPr>
              <w:t>Value</w:t>
            </w:r>
          </w:p>
        </w:tc>
      </w:tr>
      <w:tr>
        <w:tc>
          <w:tcPr>
            <w:tcW w:type="dxa" w:w="4320"/>
            <w:shd w:val="clear" w:color="auto" w:fill="F0F4FF"/>
            <w:vAlign w:val="center"/>
          </w:tcPr>
          <w:p>
            <w:r>
              <w:rPr>
                <w:sz w:val="18"/>
              </w:rPr>
              <w:t>Python files</w:t>
            </w:r>
          </w:p>
        </w:tc>
        <w:tc>
          <w:tcPr>
            <w:tcW w:type="dxa" w:w="5040"/>
            <w:shd w:val="clear" w:color="auto" w:fill="F0F4FF"/>
            <w:vAlign w:val="center"/>
          </w:tcPr>
          <w:p>
            <w:r>
              <w:rPr>
                <w:sz w:val="18"/>
              </w:rPr>
              <w:t>75</w:t>
            </w:r>
          </w:p>
        </w:tc>
      </w:tr>
      <w:tr>
        <w:tc>
          <w:tcPr>
            <w:tcW w:type="dxa" w:w="4320"/>
            <w:shd w:val="clear" w:color="auto" w:fill="FFFFFF"/>
            <w:vAlign w:val="center"/>
          </w:tcPr>
          <w:p>
            <w:r>
              <w:rPr>
                <w:sz w:val="18"/>
              </w:rPr>
              <w:t>JavaScript files (frontend/static)</w:t>
            </w:r>
          </w:p>
        </w:tc>
        <w:tc>
          <w:tcPr>
            <w:tcW w:type="dxa" w:w="5040"/>
            <w:shd w:val="clear" w:color="auto" w:fill="FFFFFF"/>
            <w:vAlign w:val="center"/>
          </w:tcPr>
          <w:p>
            <w:r>
              <w:rPr>
                <w:sz w:val="18"/>
              </w:rPr>
              <w:t>11</w:t>
            </w:r>
          </w:p>
        </w:tc>
      </w:tr>
      <w:tr>
        <w:tc>
          <w:tcPr>
            <w:tcW w:type="dxa" w:w="4320"/>
            <w:shd w:val="clear" w:color="auto" w:fill="F0F4FF"/>
            <w:vAlign w:val="center"/>
          </w:tcPr>
          <w:p>
            <w:r>
              <w:rPr>
                <w:sz w:val="18"/>
              </w:rPr>
              <w:t>HTML Jinja2 templates</w:t>
            </w:r>
          </w:p>
        </w:tc>
        <w:tc>
          <w:tcPr>
            <w:tcW w:type="dxa" w:w="5040"/>
            <w:shd w:val="clear" w:color="auto" w:fill="F0F4FF"/>
            <w:vAlign w:val="center"/>
          </w:tcPr>
          <w:p>
            <w:r>
              <w:rPr>
                <w:sz w:val="18"/>
              </w:rPr>
              <w:t>9</w:t>
            </w:r>
          </w:p>
        </w:tc>
      </w:tr>
      <w:tr>
        <w:tc>
          <w:tcPr>
            <w:tcW w:type="dxa" w:w="4320"/>
            <w:shd w:val="clear" w:color="auto" w:fill="FFFFFF"/>
            <w:vAlign w:val="center"/>
          </w:tcPr>
          <w:p>
            <w:r>
              <w:rPr>
                <w:sz w:val="18"/>
              </w:rPr>
              <w:t>Lines in ask_service.py</w:t>
            </w:r>
          </w:p>
        </w:tc>
        <w:tc>
          <w:tcPr>
            <w:tcW w:type="dxa" w:w="5040"/>
            <w:shd w:val="clear" w:color="auto" w:fill="FFFFFF"/>
            <w:vAlign w:val="center"/>
          </w:tcPr>
          <w:p>
            <w:r>
              <w:rPr>
                <w:sz w:val="18"/>
              </w:rPr>
              <w:t>6,651</w:t>
            </w:r>
          </w:p>
        </w:tc>
      </w:tr>
      <w:tr>
        <w:tc>
          <w:tcPr>
            <w:tcW w:type="dxa" w:w="4320"/>
            <w:shd w:val="clear" w:color="auto" w:fill="F0F4FF"/>
            <w:vAlign w:val="center"/>
          </w:tcPr>
          <w:p>
            <w:r>
              <w:rPr>
                <w:sz w:val="18"/>
              </w:rPr>
              <w:t>Functions in ask_service.py</w:t>
            </w:r>
          </w:p>
        </w:tc>
        <w:tc>
          <w:tcPr>
            <w:tcW w:type="dxa" w:w="5040"/>
            <w:shd w:val="clear" w:color="auto" w:fill="F0F4FF"/>
            <w:vAlign w:val="center"/>
          </w:tcPr>
          <w:p>
            <w:r>
              <w:rPr>
                <w:sz w:val="18"/>
              </w:rPr>
              <w:t>154</w:t>
            </w:r>
          </w:p>
        </w:tc>
      </w:tr>
      <w:tr>
        <w:tc>
          <w:tcPr>
            <w:tcW w:type="dxa" w:w="4320"/>
            <w:shd w:val="clear" w:color="auto" w:fill="FFFFFF"/>
            <w:vAlign w:val="center"/>
          </w:tcPr>
          <w:p>
            <w:r>
              <w:rPr>
                <w:sz w:val="18"/>
              </w:rPr>
              <w:t>Total Python LOC (approx.)</w:t>
            </w:r>
          </w:p>
        </w:tc>
        <w:tc>
          <w:tcPr>
            <w:tcW w:type="dxa" w:w="5040"/>
            <w:shd w:val="clear" w:color="auto" w:fill="FFFFFF"/>
            <w:vAlign w:val="center"/>
          </w:tcPr>
          <w:p>
            <w:r>
              <w:rPr>
                <w:sz w:val="18"/>
              </w:rPr>
              <w:t>~12,000</w:t>
            </w:r>
          </w:p>
        </w:tc>
      </w:tr>
      <w:tr>
        <w:tc>
          <w:tcPr>
            <w:tcW w:type="dxa" w:w="4320"/>
            <w:shd w:val="clear" w:color="auto" w:fill="F0F4FF"/>
            <w:vAlign w:val="center"/>
          </w:tcPr>
          <w:p>
            <w:r>
              <w:rPr>
                <w:sz w:val="18"/>
              </w:rPr>
              <w:t>Total JavaScript LOC (approx.)</w:t>
            </w:r>
          </w:p>
        </w:tc>
        <w:tc>
          <w:tcPr>
            <w:tcW w:type="dxa" w:w="5040"/>
            <w:shd w:val="clear" w:color="auto" w:fill="F0F4FF"/>
            <w:vAlign w:val="center"/>
          </w:tcPr>
          <w:p>
            <w:r>
              <w:rPr>
                <w:sz w:val="18"/>
              </w:rPr>
              <w:t>~4,000</w:t>
            </w:r>
          </w:p>
        </w:tc>
      </w:tr>
      <w:tr>
        <w:tc>
          <w:tcPr>
            <w:tcW w:type="dxa" w:w="4320"/>
            <w:shd w:val="clear" w:color="auto" w:fill="FFFFFF"/>
            <w:vAlign w:val="center"/>
          </w:tcPr>
          <w:p>
            <w:r>
              <w:rPr>
                <w:sz w:val="18"/>
              </w:rPr>
              <w:t>Flask blueprints</w:t>
            </w:r>
          </w:p>
        </w:tc>
        <w:tc>
          <w:tcPr>
            <w:tcW w:type="dxa" w:w="5040"/>
            <w:shd w:val="clear" w:color="auto" w:fill="FFFFFF"/>
            <w:vAlign w:val="center"/>
          </w:tcPr>
          <w:p>
            <w:r>
              <w:rPr>
                <w:sz w:val="18"/>
              </w:rPr>
              <w:t>8</w:t>
            </w:r>
          </w:p>
        </w:tc>
      </w:tr>
      <w:tr>
        <w:tc>
          <w:tcPr>
            <w:tcW w:type="dxa" w:w="4320"/>
            <w:shd w:val="clear" w:color="auto" w:fill="F0F4FF"/>
            <w:vAlign w:val="center"/>
          </w:tcPr>
          <w:p>
            <w:r>
              <w:rPr>
                <w:sz w:val="18"/>
              </w:rPr>
              <w:t>API endpoints</w:t>
            </w:r>
          </w:p>
        </w:tc>
        <w:tc>
          <w:tcPr>
            <w:tcW w:type="dxa" w:w="5040"/>
            <w:shd w:val="clear" w:color="auto" w:fill="F0F4FF"/>
            <w:vAlign w:val="center"/>
          </w:tcPr>
          <w:p>
            <w:r>
              <w:rPr>
                <w:sz w:val="18"/>
              </w:rPr>
              <w:t>30+</w:t>
            </w:r>
          </w:p>
        </w:tc>
      </w:tr>
      <w:tr>
        <w:tc>
          <w:tcPr>
            <w:tcW w:type="dxa" w:w="4320"/>
            <w:shd w:val="clear" w:color="auto" w:fill="FFFFFF"/>
            <w:vAlign w:val="center"/>
          </w:tcPr>
          <w:p>
            <w:r>
              <w:rPr>
                <w:sz w:val="18"/>
              </w:rPr>
              <w:t>SQL templates (Ask)</w:t>
            </w:r>
          </w:p>
        </w:tc>
        <w:tc>
          <w:tcPr>
            <w:tcW w:type="dxa" w:w="5040"/>
            <w:shd w:val="clear" w:color="auto" w:fill="FFFFFF"/>
            <w:vAlign w:val="center"/>
          </w:tcPr>
          <w:p>
            <w:r>
              <w:rPr>
                <w:sz w:val="18"/>
              </w:rPr>
              <w:t>100+</w:t>
            </w:r>
          </w:p>
        </w:tc>
      </w:tr>
      <w:tr>
        <w:tc>
          <w:tcPr>
            <w:tcW w:type="dxa" w:w="4320"/>
            <w:shd w:val="clear" w:color="auto" w:fill="F0F4FF"/>
            <w:vAlign w:val="center"/>
          </w:tcPr>
          <w:p>
            <w:r>
              <w:rPr>
                <w:sz w:val="18"/>
              </w:rPr>
              <w:t>Verified analysis templates</w:t>
            </w:r>
          </w:p>
        </w:tc>
        <w:tc>
          <w:tcPr>
            <w:tcW w:type="dxa" w:w="5040"/>
            <w:shd w:val="clear" w:color="auto" w:fill="F0F4FF"/>
            <w:vAlign w:val="center"/>
          </w:tcPr>
          <w:p>
            <w:r>
              <w:rPr>
                <w:sz w:val="18"/>
              </w:rPr>
              <w:t>15</w:t>
            </w:r>
          </w:p>
        </w:tc>
      </w:tr>
      <w:tr>
        <w:tc>
          <w:tcPr>
            <w:tcW w:type="dxa" w:w="4320"/>
            <w:shd w:val="clear" w:color="auto" w:fill="FFFFFF"/>
            <w:vAlign w:val="center"/>
          </w:tcPr>
          <w:p>
            <w:r>
              <w:rPr>
                <w:sz w:val="18"/>
              </w:rPr>
              <w:t>SPARQL comparison scenarios</w:t>
            </w:r>
          </w:p>
        </w:tc>
        <w:tc>
          <w:tcPr>
            <w:tcW w:type="dxa" w:w="5040"/>
            <w:shd w:val="clear" w:color="auto" w:fill="FFFFFF"/>
            <w:vAlign w:val="center"/>
          </w:tcPr>
          <w:p>
            <w:r>
              <w:rPr>
                <w:sz w:val="18"/>
              </w:rPr>
              <w:t>4</w:t>
            </w:r>
          </w:p>
        </w:tc>
      </w:tr>
      <w:tr>
        <w:tc>
          <w:tcPr>
            <w:tcW w:type="dxa" w:w="4320"/>
            <w:shd w:val="clear" w:color="auto" w:fill="F0F4FF"/>
            <w:vAlign w:val="center"/>
          </w:tcPr>
          <w:p>
            <w:r>
              <w:rPr>
                <w:sz w:val="18"/>
              </w:rPr>
              <w:t>Analytics modules</w:t>
            </w:r>
          </w:p>
        </w:tc>
        <w:tc>
          <w:tcPr>
            <w:tcW w:type="dxa" w:w="5040"/>
            <w:shd w:val="clear" w:color="auto" w:fill="F0F4FF"/>
            <w:vAlign w:val="center"/>
          </w:tcPr>
          <w:p>
            <w:r>
              <w:rPr>
                <w:sz w:val="18"/>
              </w:rPr>
              <w:t>5</w:t>
            </w:r>
          </w:p>
        </w:tc>
      </w:tr>
    </w:tbl>
    <w:p/>
    <w:p>
      <w:pPr>
        <w:pStyle w:val="Heading2"/>
        <w:spacing w:before="200" w:after="80"/>
      </w:pPr>
      <w:r>
        <w:rPr>
          <w:b/>
          <w:color w:val="1D4ED8"/>
          <w:sz w:val="26"/>
        </w:rPr>
        <w:t>16.2 Data Statistics</w:t>
      </w:r>
    </w:p>
    <w:tbl>
      <w:tblPr>
        <w:tblStyle w:val="TableGrid"/>
        <w:tblW w:type="auto" w:w="0"/>
        <w:jc w:val="left"/>
        <w:tblLook w:firstColumn="1" w:firstRow="1" w:lastColumn="0" w:lastRow="0" w:noHBand="0" w:noVBand="1" w:val="04A0"/>
      </w:tblPr>
      <w:tblGrid>
        <w:gridCol w:w="3022"/>
        <w:gridCol w:w="3022"/>
        <w:gridCol w:w="3022"/>
      </w:tblGrid>
      <w:tr>
        <w:tc>
          <w:tcPr>
            <w:tcW w:type="dxa" w:w="3600"/>
            <w:shd w:val="clear" w:color="auto" w:fill="1E3A5F"/>
          </w:tcPr>
          <w:p>
            <w:pPr>
              <w:jc w:val="left"/>
            </w:pPr>
            <w:r>
              <w:rPr>
                <w:b/>
                <w:color w:val="FFFFFF"/>
                <w:sz w:val="19"/>
              </w:rPr>
              <w:t>Dataset</w:t>
            </w:r>
          </w:p>
        </w:tc>
        <w:tc>
          <w:tcPr>
            <w:tcW w:type="dxa" w:w="1440"/>
            <w:shd w:val="clear" w:color="auto" w:fill="1E3A5F"/>
          </w:tcPr>
          <w:p>
            <w:pPr>
              <w:jc w:val="left"/>
            </w:pPr>
            <w:r>
              <w:rPr>
                <w:b/>
                <w:color w:val="FFFFFF"/>
                <w:sz w:val="19"/>
              </w:rPr>
              <w:t>Records</w:t>
            </w:r>
          </w:p>
        </w:tc>
        <w:tc>
          <w:tcPr>
            <w:tcW w:type="dxa" w:w="4320"/>
            <w:shd w:val="clear" w:color="auto" w:fill="1E3A5F"/>
          </w:tcPr>
          <w:p>
            <w:pPr>
              <w:jc w:val="left"/>
            </w:pPr>
            <w:r>
              <w:rPr>
                <w:b/>
                <w:color w:val="FFFFFF"/>
                <w:sz w:val="19"/>
              </w:rPr>
              <w:t>Notes</w:t>
            </w:r>
          </w:p>
        </w:tc>
      </w:tr>
      <w:tr>
        <w:tc>
          <w:tcPr>
            <w:tcW w:type="dxa" w:w="3600"/>
            <w:shd w:val="clear" w:color="auto" w:fill="F0F4FF"/>
            <w:vAlign w:val="center"/>
          </w:tcPr>
          <w:p>
            <w:r>
              <w:rPr>
                <w:sz w:val="18"/>
              </w:rPr>
              <w:t>Estate records (unified_record)</w:t>
            </w:r>
          </w:p>
        </w:tc>
        <w:tc>
          <w:tcPr>
            <w:tcW w:type="dxa" w:w="1440"/>
            <w:shd w:val="clear" w:color="auto" w:fill="F0F4FF"/>
            <w:vAlign w:val="center"/>
          </w:tcPr>
          <w:p>
            <w:r>
              <w:rPr>
                <w:sz w:val="18"/>
              </w:rPr>
              <w:t>13,707</w:t>
            </w:r>
          </w:p>
        </w:tc>
        <w:tc>
          <w:tcPr>
            <w:tcW w:type="dxa" w:w="4320"/>
            <w:shd w:val="clear" w:color="auto" w:fill="F0F4FF"/>
            <w:vAlign w:val="center"/>
          </w:tcPr>
          <w:p>
            <w:r>
              <w:rPr>
                <w:sz w:val="18"/>
              </w:rPr>
              <w:t>Source: unified_processed.csv (checked into git)</w:t>
            </w:r>
          </w:p>
        </w:tc>
      </w:tr>
      <w:tr>
        <w:tc>
          <w:tcPr>
            <w:tcW w:type="dxa" w:w="3600"/>
            <w:shd w:val="clear" w:color="auto" w:fill="FFFFFF"/>
            <w:vAlign w:val="center"/>
          </w:tcPr>
          <w:p>
            <w:r>
              <w:rPr>
                <w:sz w:val="18"/>
              </w:rPr>
              <w:t>Townland references</w:t>
            </w:r>
          </w:p>
        </w:tc>
        <w:tc>
          <w:tcPr>
            <w:tcW w:type="dxa" w:w="1440"/>
            <w:shd w:val="clear" w:color="auto" w:fill="FFFFFF"/>
            <w:vAlign w:val="center"/>
          </w:tcPr>
          <w:p>
            <w:r>
              <w:rPr>
                <w:sz w:val="18"/>
              </w:rPr>
              <w:t>4,225</w:t>
            </w:r>
          </w:p>
        </w:tc>
        <w:tc>
          <w:tcPr>
            <w:tcW w:type="dxa" w:w="4320"/>
            <w:shd w:val="clear" w:color="auto" w:fill="FFFFFF"/>
            <w:vAlign w:val="center"/>
          </w:tcPr>
          <w:p>
            <w:r>
              <w:rPr>
                <w:sz w:val="18"/>
              </w:rPr>
              <w:t>Source: VRTI KG (all Wicklow townlands)</w:t>
            </w:r>
          </w:p>
        </w:tc>
      </w:tr>
      <w:tr>
        <w:tc>
          <w:tcPr>
            <w:tcW w:type="dxa" w:w="3600"/>
            <w:shd w:val="clear" w:color="auto" w:fill="F0F4FF"/>
            <w:vAlign w:val="center"/>
          </w:tcPr>
          <w:p>
            <w:r>
              <w:rPr>
                <w:sz w:val="18"/>
              </w:rPr>
              <w:t>Census records</w:t>
            </w:r>
          </w:p>
        </w:tc>
        <w:tc>
          <w:tcPr>
            <w:tcW w:type="dxa" w:w="1440"/>
            <w:shd w:val="clear" w:color="auto" w:fill="F0F4FF"/>
            <w:vAlign w:val="center"/>
          </w:tcPr>
          <w:p>
            <w:r>
              <w:rPr>
                <w:sz w:val="18"/>
              </w:rPr>
              <w:t>8,033</w:t>
            </w:r>
          </w:p>
        </w:tc>
        <w:tc>
          <w:tcPr>
            <w:tcW w:type="dxa" w:w="4320"/>
            <w:shd w:val="clear" w:color="auto" w:fill="F0F4FF"/>
            <w:vAlign w:val="center"/>
          </w:tcPr>
          <w:p>
            <w:r>
              <w:rPr>
                <w:sz w:val="18"/>
              </w:rPr>
              <w:t>12 years × 1,319 townlands</w:t>
            </w:r>
          </w:p>
        </w:tc>
      </w:tr>
      <w:tr>
        <w:tc>
          <w:tcPr>
            <w:tcW w:type="dxa" w:w="3600"/>
            <w:shd w:val="clear" w:color="auto" w:fill="FFFFFF"/>
            <w:vAlign w:val="center"/>
          </w:tcPr>
          <w:p>
            <w:r>
              <w:rPr>
                <w:sz w:val="18"/>
              </w:rPr>
              <w:t>Clearances records</w:t>
            </w:r>
          </w:p>
        </w:tc>
        <w:tc>
          <w:tcPr>
            <w:tcW w:type="dxa" w:w="1440"/>
            <w:shd w:val="clear" w:color="auto" w:fill="FFFFFF"/>
            <w:vAlign w:val="center"/>
          </w:tcPr>
          <w:p>
            <w:r>
              <w:rPr>
                <w:sz w:val="18"/>
              </w:rPr>
              <w:t>1,211</w:t>
            </w:r>
          </w:p>
        </w:tc>
        <w:tc>
          <w:tcPr>
            <w:tcW w:type="dxa" w:w="4320"/>
            <w:shd w:val="clear" w:color="auto" w:fill="FFFFFF"/>
            <w:vAlign w:val="center"/>
          </w:tcPr>
          <w:p>
            <w:r>
              <w:rPr>
                <w:sz w:val="18"/>
              </w:rPr>
              <w:t>10 years (1847–1856) × 122 townlands</w:t>
            </w:r>
          </w:p>
        </w:tc>
      </w:tr>
      <w:tr>
        <w:tc>
          <w:tcPr>
            <w:tcW w:type="dxa" w:w="3600"/>
            <w:shd w:val="clear" w:color="auto" w:fill="F0F4FF"/>
            <w:vAlign w:val="center"/>
          </w:tcPr>
          <w:p>
            <w:r>
              <w:rPr>
                <w:sz w:val="18"/>
              </w:rPr>
              <w:t>GraphDB RDF triples</w:t>
            </w:r>
          </w:p>
        </w:tc>
        <w:tc>
          <w:tcPr>
            <w:tcW w:type="dxa" w:w="1440"/>
            <w:shd w:val="clear" w:color="auto" w:fill="F0F4FF"/>
            <w:vAlign w:val="center"/>
          </w:tcPr>
          <w:p>
            <w:r>
              <w:rPr>
                <w:sz w:val="18"/>
              </w:rPr>
              <w:t>143,123</w:t>
            </w:r>
          </w:p>
        </w:tc>
        <w:tc>
          <w:tcPr>
            <w:tcW w:type="dxa" w:w="4320"/>
            <w:shd w:val="clear" w:color="auto" w:fill="F0F4FF"/>
            <w:vAlign w:val="center"/>
          </w:tcPr>
          <w:p>
            <w:r>
              <w:rPr>
                <w:sz w:val="18"/>
              </w:rPr>
              <w:t>Full dataset in Coolattin co: ontology</w:t>
            </w:r>
          </w:p>
        </w:tc>
      </w:tr>
      <w:tr>
        <w:tc>
          <w:tcPr>
            <w:tcW w:type="dxa" w:w="3600"/>
            <w:shd w:val="clear" w:color="auto" w:fill="FFFFFF"/>
            <w:vAlign w:val="center"/>
          </w:tcPr>
          <w:p>
            <w:r>
              <w:rPr>
                <w:sz w:val="18"/>
              </w:rPr>
              <w:t>Unique townlands (estate)</w:t>
            </w:r>
          </w:p>
        </w:tc>
        <w:tc>
          <w:tcPr>
            <w:tcW w:type="dxa" w:w="1440"/>
            <w:shd w:val="clear" w:color="auto" w:fill="FFFFFF"/>
            <w:vAlign w:val="center"/>
          </w:tcPr>
          <w:p>
            <w:r>
              <w:rPr>
                <w:sz w:val="18"/>
              </w:rPr>
              <w:t>516</w:t>
            </w:r>
          </w:p>
        </w:tc>
        <w:tc>
          <w:tcPr>
            <w:tcW w:type="dxa" w:w="4320"/>
            <w:shd w:val="clear" w:color="auto" w:fill="FFFFFF"/>
            <w:vAlign w:val="center"/>
          </w:tcPr>
          <w:p>
            <w:r>
              <w:rPr>
                <w:sz w:val="18"/>
              </w:rPr>
              <w:t>From unified_record table</w:t>
            </w:r>
          </w:p>
        </w:tc>
      </w:tr>
      <w:tr>
        <w:tc>
          <w:tcPr>
            <w:tcW w:type="dxa" w:w="3600"/>
            <w:shd w:val="clear" w:color="auto" w:fill="F0F4FF"/>
            <w:vAlign w:val="center"/>
          </w:tcPr>
          <w:p>
            <w:r>
              <w:rPr>
                <w:sz w:val="18"/>
              </w:rPr>
              <w:t>Unique surnames</w:t>
            </w:r>
          </w:p>
        </w:tc>
        <w:tc>
          <w:tcPr>
            <w:tcW w:type="dxa" w:w="1440"/>
            <w:shd w:val="clear" w:color="auto" w:fill="F0F4FF"/>
            <w:vAlign w:val="center"/>
          </w:tcPr>
          <w:p>
            <w:r>
              <w:rPr>
                <w:sz w:val="18"/>
              </w:rPr>
              <w:t>977</w:t>
            </w:r>
          </w:p>
        </w:tc>
        <w:tc>
          <w:tcPr>
            <w:tcW w:type="dxa" w:w="4320"/>
            <w:shd w:val="clear" w:color="auto" w:fill="F0F4FF"/>
            <w:vAlign w:val="center"/>
          </w:tcPr>
          <w:p>
            <w:r>
              <w:rPr>
                <w:sz w:val="18"/>
              </w:rPr>
              <w:t>From unified_record table</w:t>
            </w:r>
          </w:p>
        </w:tc>
      </w:tr>
      <w:tr>
        <w:tc>
          <w:tcPr>
            <w:tcW w:type="dxa" w:w="3600"/>
            <w:shd w:val="clear" w:color="auto" w:fill="FFFFFF"/>
            <w:vAlign w:val="center"/>
          </w:tcPr>
          <w:p>
            <w:r>
              <w:rPr>
                <w:sz w:val="18"/>
              </w:rPr>
              <w:t>Civil parishes (reference)</w:t>
            </w:r>
          </w:p>
        </w:tc>
        <w:tc>
          <w:tcPr>
            <w:tcW w:type="dxa" w:w="1440"/>
            <w:shd w:val="clear" w:color="auto" w:fill="FFFFFF"/>
            <w:vAlign w:val="center"/>
          </w:tcPr>
          <w:p>
            <w:r>
              <w:rPr>
                <w:sz w:val="18"/>
              </w:rPr>
              <w:t>22</w:t>
            </w:r>
          </w:p>
        </w:tc>
        <w:tc>
          <w:tcPr>
            <w:tcW w:type="dxa" w:w="4320"/>
            <w:shd w:val="clear" w:color="auto" w:fill="FFFFFF"/>
            <w:vAlign w:val="center"/>
          </w:tcPr>
          <w:p>
            <w:r>
              <w:rPr>
                <w:sz w:val="18"/>
              </w:rPr>
              <w:t>From townland reference table</w:t>
            </w:r>
          </w:p>
        </w:tc>
      </w:tr>
      <w:tr>
        <w:tc>
          <w:tcPr>
            <w:tcW w:type="dxa" w:w="3600"/>
            <w:shd w:val="clear" w:color="auto" w:fill="F0F4FF"/>
            <w:vAlign w:val="center"/>
          </w:tcPr>
          <w:p>
            <w:r>
              <w:rPr>
                <w:sz w:val="18"/>
              </w:rPr>
              <w:t>Graph nodes (KG visualiser)</w:t>
            </w:r>
          </w:p>
        </w:tc>
        <w:tc>
          <w:tcPr>
            <w:tcW w:type="dxa" w:w="1440"/>
            <w:shd w:val="clear" w:color="auto" w:fill="F0F4FF"/>
            <w:vAlign w:val="center"/>
          </w:tcPr>
          <w:p>
            <w:r>
              <w:rPr>
                <w:sz w:val="18"/>
              </w:rPr>
              <w:t>541</w:t>
            </w:r>
          </w:p>
        </w:tc>
        <w:tc>
          <w:tcPr>
            <w:tcW w:type="dxa" w:w="4320"/>
            <w:shd w:val="clear" w:color="auto" w:fill="F0F4FF"/>
            <w:vAlign w:val="center"/>
          </w:tcPr>
          <w:p>
            <w:r>
              <w:rPr>
                <w:sz w:val="18"/>
              </w:rPr>
              <w:t>20 parishes + 516 townlands + 5 hubs</w:t>
            </w:r>
          </w:p>
        </w:tc>
      </w:tr>
      <w:tr>
        <w:tc>
          <w:tcPr>
            <w:tcW w:type="dxa" w:w="3600"/>
            <w:shd w:val="clear" w:color="auto" w:fill="FFFFFF"/>
            <w:vAlign w:val="center"/>
          </w:tcPr>
          <w:p>
            <w:r>
              <w:rPr>
                <w:sz w:val="18"/>
              </w:rPr>
              <w:t>Graph edges (KG visualiser)</w:t>
            </w:r>
          </w:p>
        </w:tc>
        <w:tc>
          <w:tcPr>
            <w:tcW w:type="dxa" w:w="1440"/>
            <w:shd w:val="clear" w:color="auto" w:fill="FFFFFF"/>
            <w:vAlign w:val="center"/>
          </w:tcPr>
          <w:p>
            <w:r>
              <w:rPr>
                <w:sz w:val="18"/>
              </w:rPr>
              <w:t>1,254</w:t>
            </w:r>
          </w:p>
        </w:tc>
        <w:tc>
          <w:tcPr>
            <w:tcW w:type="dxa" w:w="4320"/>
            <w:shd w:val="clear" w:color="auto" w:fill="FFFFFF"/>
            <w:vAlign w:val="center"/>
          </w:tcPr>
          <w:p>
            <w:r>
              <w:rPr>
                <w:sz w:val="18"/>
              </w:rPr>
              <w:t>parish_townland + event + census + clearances</w:t>
            </w:r>
          </w:p>
        </w:tc>
      </w:tr>
    </w:tbl>
    <w:p/>
    <w:p>
      <w:pPr>
        <w:pStyle w:val="Heading2"/>
        <w:spacing w:before="200" w:after="80"/>
      </w:pPr>
      <w:r>
        <w:rPr>
          <w:b/>
          <w:color w:val="1D4ED8"/>
          <w:sz w:val="26"/>
        </w:rPr>
        <w:t>16.3 Feature Summary</w:t>
      </w:r>
    </w:p>
    <w:tbl>
      <w:tblPr>
        <w:tblStyle w:val="TableGrid"/>
        <w:tblW w:type="auto" w:w="0"/>
        <w:jc w:val="left"/>
        <w:tblLook w:firstColumn="1" w:firstRow="1" w:lastColumn="0" w:lastRow="0" w:noHBand="0" w:noVBand="1" w:val="04A0"/>
      </w:tblPr>
      <w:tblGrid>
        <w:gridCol w:w="3022"/>
        <w:gridCol w:w="3022"/>
        <w:gridCol w:w="3022"/>
      </w:tblGrid>
      <w:tr>
        <w:tc>
          <w:tcPr>
            <w:tcW w:type="dxa" w:w="576"/>
            <w:shd w:val="clear" w:color="auto" w:fill="1E3A5F"/>
          </w:tcPr>
          <w:p>
            <w:pPr>
              <w:jc w:val="left"/>
            </w:pPr>
            <w:r>
              <w:rPr>
                <w:b/>
                <w:color w:val="FFFFFF"/>
                <w:sz w:val="19"/>
              </w:rPr>
              <w:t>#</w:t>
            </w:r>
          </w:p>
        </w:tc>
        <w:tc>
          <w:tcPr>
            <w:tcW w:type="dxa" w:w="4032"/>
            <w:shd w:val="clear" w:color="auto" w:fill="1E3A5F"/>
          </w:tcPr>
          <w:p>
            <w:pPr>
              <w:jc w:val="left"/>
            </w:pPr>
            <w:r>
              <w:rPr>
                <w:b/>
                <w:color w:val="FFFFFF"/>
                <w:sz w:val="19"/>
              </w:rPr>
              <w:t>Feature</w:t>
            </w:r>
          </w:p>
        </w:tc>
        <w:tc>
          <w:tcPr>
            <w:tcW w:type="dxa" w:w="4032"/>
            <w:shd w:val="clear" w:color="auto" w:fill="1E3A5F"/>
          </w:tcPr>
          <w:p>
            <w:pPr>
              <w:jc w:val="left"/>
            </w:pPr>
            <w:r>
              <w:rPr>
                <w:b/>
                <w:color w:val="FFFFFF"/>
                <w:sz w:val="19"/>
              </w:rPr>
              <w:t>Key Technologies</w:t>
            </w:r>
          </w:p>
        </w:tc>
      </w:tr>
      <w:tr>
        <w:tc>
          <w:tcPr>
            <w:tcW w:type="dxa" w:w="576"/>
            <w:shd w:val="clear" w:color="auto" w:fill="F0F4FF"/>
            <w:vAlign w:val="center"/>
          </w:tcPr>
          <w:p>
            <w:r>
              <w:rPr>
                <w:sz w:val="18"/>
              </w:rPr>
              <w:t>1</w:t>
            </w:r>
          </w:p>
        </w:tc>
        <w:tc>
          <w:tcPr>
            <w:tcW w:type="dxa" w:w="4032"/>
            <w:shd w:val="clear" w:color="auto" w:fill="F0F4FF"/>
            <w:vAlign w:val="center"/>
          </w:tcPr>
          <w:p>
            <w:r>
              <w:rPr>
                <w:sz w:val="18"/>
              </w:rPr>
              <w:t>Unified estate records search</w:t>
            </w:r>
          </w:p>
        </w:tc>
        <w:tc>
          <w:tcPr>
            <w:tcW w:type="dxa" w:w="4032"/>
            <w:shd w:val="clear" w:color="auto" w:fill="F0F4FF"/>
            <w:vAlign w:val="center"/>
          </w:tcPr>
          <w:p>
            <w:r>
              <w:rPr>
                <w:sz w:val="18"/>
              </w:rPr>
              <w:t>pandas, SQLite, Jinja2</w:t>
            </w:r>
          </w:p>
        </w:tc>
      </w:tr>
      <w:tr>
        <w:tc>
          <w:tcPr>
            <w:tcW w:type="dxa" w:w="576"/>
            <w:shd w:val="clear" w:color="auto" w:fill="FFFFFF"/>
            <w:vAlign w:val="center"/>
          </w:tcPr>
          <w:p>
            <w:r>
              <w:rPr>
                <w:sz w:val="18"/>
              </w:rPr>
              <w:t>2</w:t>
            </w:r>
          </w:p>
        </w:tc>
        <w:tc>
          <w:tcPr>
            <w:tcW w:type="dxa" w:w="4032"/>
            <w:shd w:val="clear" w:color="auto" w:fill="FFFFFF"/>
            <w:vAlign w:val="center"/>
          </w:tcPr>
          <w:p>
            <w:r>
              <w:rPr>
                <w:sz w:val="18"/>
              </w:rPr>
              <w:t>Interactive choropleth map</w:t>
            </w:r>
          </w:p>
        </w:tc>
        <w:tc>
          <w:tcPr>
            <w:tcW w:type="dxa" w:w="4032"/>
            <w:shd w:val="clear" w:color="auto" w:fill="FFFFFF"/>
            <w:vAlign w:val="center"/>
          </w:tcPr>
          <w:p>
            <w:r>
              <w:rPr>
                <w:sz w:val="18"/>
              </w:rPr>
              <w:t>Leaflet.js, GeoJSON, SQLite</w:t>
            </w:r>
          </w:p>
        </w:tc>
      </w:tr>
      <w:tr>
        <w:tc>
          <w:tcPr>
            <w:tcW w:type="dxa" w:w="576"/>
            <w:shd w:val="clear" w:color="auto" w:fill="F0F4FF"/>
            <w:vAlign w:val="center"/>
          </w:tcPr>
          <w:p>
            <w:r>
              <w:rPr>
                <w:sz w:val="18"/>
              </w:rPr>
              <w:t>3</w:t>
            </w:r>
          </w:p>
        </w:tc>
        <w:tc>
          <w:tcPr>
            <w:tcW w:type="dxa" w:w="4032"/>
            <w:shd w:val="clear" w:color="auto" w:fill="F0F4FF"/>
            <w:vAlign w:val="center"/>
          </w:tcPr>
          <w:p>
            <w:r>
              <w:rPr>
                <w:sz w:val="18"/>
              </w:rPr>
              <w:t>Census explorer (12 years)</w:t>
            </w:r>
          </w:p>
        </w:tc>
        <w:tc>
          <w:tcPr>
            <w:tcW w:type="dxa" w:w="4032"/>
            <w:shd w:val="clear" w:color="auto" w:fill="F0F4FF"/>
            <w:vAlign w:val="center"/>
          </w:tcPr>
          <w:p>
            <w:r>
              <w:rPr>
                <w:sz w:val="18"/>
              </w:rPr>
              <w:t>SQLite, VRTI SPARQL, openpyxl</w:t>
            </w:r>
          </w:p>
        </w:tc>
      </w:tr>
      <w:tr>
        <w:tc>
          <w:tcPr>
            <w:tcW w:type="dxa" w:w="576"/>
            <w:shd w:val="clear" w:color="auto" w:fill="FFFFFF"/>
            <w:vAlign w:val="center"/>
          </w:tcPr>
          <w:p>
            <w:r>
              <w:rPr>
                <w:sz w:val="18"/>
              </w:rPr>
              <w:t>4</w:t>
            </w:r>
          </w:p>
        </w:tc>
        <w:tc>
          <w:tcPr>
            <w:tcW w:type="dxa" w:w="4032"/>
            <w:shd w:val="clear" w:color="auto" w:fill="FFFFFF"/>
            <w:vAlign w:val="center"/>
          </w:tcPr>
          <w:p>
            <w:r>
              <w:rPr>
                <w:sz w:val="18"/>
              </w:rPr>
              <w:t>Pluggable analytics dashboard</w:t>
            </w:r>
          </w:p>
        </w:tc>
        <w:tc>
          <w:tcPr>
            <w:tcW w:type="dxa" w:w="4032"/>
            <w:shd w:val="clear" w:color="auto" w:fill="FFFFFF"/>
            <w:vAlign w:val="center"/>
          </w:tcPr>
          <w:p>
            <w:r>
              <w:rPr>
                <w:sz w:val="18"/>
              </w:rPr>
              <w:t>Chart.js, Protocol-based modules</w:t>
            </w:r>
          </w:p>
        </w:tc>
      </w:tr>
      <w:tr>
        <w:tc>
          <w:tcPr>
            <w:tcW w:type="dxa" w:w="576"/>
            <w:shd w:val="clear" w:color="auto" w:fill="F0F4FF"/>
            <w:vAlign w:val="center"/>
          </w:tcPr>
          <w:p>
            <w:r>
              <w:rPr>
                <w:sz w:val="18"/>
              </w:rPr>
              <w:t>5</w:t>
            </w:r>
          </w:p>
        </w:tc>
        <w:tc>
          <w:tcPr>
            <w:tcW w:type="dxa" w:w="4032"/>
            <w:shd w:val="clear" w:color="auto" w:fill="F0F4FF"/>
            <w:vAlign w:val="center"/>
          </w:tcPr>
          <w:p>
            <w:r>
              <w:rPr>
                <w:sz w:val="18"/>
              </w:rPr>
              <w:t>Historic heritage landscape overlay</w:t>
            </w:r>
          </w:p>
        </w:tc>
        <w:tc>
          <w:tcPr>
            <w:tcW w:type="dxa" w:w="4032"/>
            <w:shd w:val="clear" w:color="auto" w:fill="F0F4FF"/>
            <w:vAlign w:val="center"/>
          </w:tcPr>
          <w:p>
            <w:r>
              <w:rPr>
                <w:sz w:val="18"/>
              </w:rPr>
              <w:t>Leaflet.js, GeoJSON overlays</w:t>
            </w:r>
          </w:p>
        </w:tc>
      </w:tr>
      <w:tr>
        <w:tc>
          <w:tcPr>
            <w:tcW w:type="dxa" w:w="576"/>
            <w:shd w:val="clear" w:color="auto" w:fill="FFFFFF"/>
            <w:vAlign w:val="center"/>
          </w:tcPr>
          <w:p>
            <w:r>
              <w:rPr>
                <w:sz w:val="18"/>
              </w:rPr>
              <w:t>6</w:t>
            </w:r>
          </w:p>
        </w:tc>
        <w:tc>
          <w:tcPr>
            <w:tcW w:type="dxa" w:w="4032"/>
            <w:shd w:val="clear" w:color="auto" w:fill="FFFFFF"/>
            <w:vAlign w:val="center"/>
          </w:tcPr>
          <w:p>
            <w:r>
              <w:rPr>
                <w:sz w:val="18"/>
              </w:rPr>
              <w:t>Natural-language Q&amp;A with LLM</w:t>
            </w:r>
          </w:p>
        </w:tc>
        <w:tc>
          <w:tcPr>
            <w:tcW w:type="dxa" w:w="4032"/>
            <w:shd w:val="clear" w:color="auto" w:fill="FFFFFF"/>
            <w:vAlign w:val="center"/>
          </w:tcPr>
          <w:p>
            <w:r>
              <w:rPr>
                <w:sz w:val="18"/>
              </w:rPr>
              <w:t>OpenRouter, Ollama, SSE streaming</w:t>
            </w:r>
          </w:p>
        </w:tc>
      </w:tr>
      <w:tr>
        <w:tc>
          <w:tcPr>
            <w:tcW w:type="dxa" w:w="576"/>
            <w:shd w:val="clear" w:color="auto" w:fill="F0F4FF"/>
            <w:vAlign w:val="center"/>
          </w:tcPr>
          <w:p>
            <w:r>
              <w:rPr>
                <w:sz w:val="18"/>
              </w:rPr>
              <w:t>7</w:t>
            </w:r>
          </w:p>
        </w:tc>
        <w:tc>
          <w:tcPr>
            <w:tcW w:type="dxa" w:w="4032"/>
            <w:shd w:val="clear" w:color="auto" w:fill="F0F4FF"/>
            <w:vAlign w:val="center"/>
          </w:tcPr>
          <w:p>
            <w:r>
              <w:rPr>
                <w:sz w:val="18"/>
              </w:rPr>
              <w:t>SQL template matching (fast path, no LLM)</w:t>
            </w:r>
          </w:p>
        </w:tc>
        <w:tc>
          <w:tcPr>
            <w:tcW w:type="dxa" w:w="4032"/>
            <w:shd w:val="clear" w:color="auto" w:fill="F0F4FF"/>
            <w:vAlign w:val="center"/>
          </w:tcPr>
          <w:p>
            <w:r>
              <w:rPr>
                <w:sz w:val="18"/>
              </w:rPr>
              <w:t>difflib, 100+ templates</w:t>
            </w:r>
          </w:p>
        </w:tc>
      </w:tr>
      <w:tr>
        <w:tc>
          <w:tcPr>
            <w:tcW w:type="dxa" w:w="576"/>
            <w:shd w:val="clear" w:color="auto" w:fill="FFFFFF"/>
            <w:vAlign w:val="center"/>
          </w:tcPr>
          <w:p>
            <w:r>
              <w:rPr>
                <w:sz w:val="18"/>
              </w:rPr>
              <w:t>8</w:t>
            </w:r>
          </w:p>
        </w:tc>
        <w:tc>
          <w:tcPr>
            <w:tcW w:type="dxa" w:w="4032"/>
            <w:shd w:val="clear" w:color="auto" w:fill="FFFFFF"/>
            <w:vAlign w:val="center"/>
          </w:tcPr>
          <w:p>
            <w:r>
              <w:rPr>
                <w:sz w:val="18"/>
              </w:rPr>
              <w:t>VRTI Knowledge Graph enrichment</w:t>
            </w:r>
          </w:p>
        </w:tc>
        <w:tc>
          <w:tcPr>
            <w:tcW w:type="dxa" w:w="4032"/>
            <w:shd w:val="clear" w:color="auto" w:fill="FFFFFF"/>
            <w:vAlign w:val="center"/>
          </w:tcPr>
          <w:p>
            <w:r>
              <w:rPr>
                <w:sz w:val="18"/>
              </w:rPr>
              <w:t>SPARQL, external endpoint</w:t>
            </w:r>
          </w:p>
        </w:tc>
      </w:tr>
      <w:tr>
        <w:tc>
          <w:tcPr>
            <w:tcW w:type="dxa" w:w="576"/>
            <w:shd w:val="clear" w:color="auto" w:fill="F0F4FF"/>
            <w:vAlign w:val="center"/>
          </w:tcPr>
          <w:p>
            <w:r>
              <w:rPr>
                <w:sz w:val="18"/>
              </w:rPr>
              <w:t>9</w:t>
            </w:r>
          </w:p>
        </w:tc>
        <w:tc>
          <w:tcPr>
            <w:tcW w:type="dxa" w:w="4032"/>
            <w:shd w:val="clear" w:color="auto" w:fill="F0F4FF"/>
            <w:vAlign w:val="center"/>
          </w:tcPr>
          <w:p>
            <w:r>
              <w:rPr>
                <w:sz w:val="18"/>
              </w:rPr>
              <w:t>GraphDB SPARQL integration</w:t>
            </w:r>
          </w:p>
        </w:tc>
        <w:tc>
          <w:tcPr>
            <w:tcW w:type="dxa" w:w="4032"/>
            <w:shd w:val="clear" w:color="auto" w:fill="F0F4FF"/>
            <w:vAlign w:val="center"/>
          </w:tcPr>
          <w:p>
            <w:r>
              <w:rPr>
                <w:sz w:val="18"/>
              </w:rPr>
              <w:t>GraphDB 10.x, co: ontology, POST</w:t>
            </w:r>
          </w:p>
        </w:tc>
      </w:tr>
      <w:tr>
        <w:tc>
          <w:tcPr>
            <w:tcW w:type="dxa" w:w="576"/>
            <w:shd w:val="clear" w:color="auto" w:fill="FFFFFF"/>
            <w:vAlign w:val="center"/>
          </w:tcPr>
          <w:p>
            <w:r>
              <w:rPr>
                <w:sz w:val="18"/>
              </w:rPr>
              <w:t>10</w:t>
            </w:r>
          </w:p>
        </w:tc>
        <w:tc>
          <w:tcPr>
            <w:tcW w:type="dxa" w:w="4032"/>
            <w:shd w:val="clear" w:color="auto" w:fill="FFFFFF"/>
            <w:vAlign w:val="center"/>
          </w:tcPr>
          <w:p>
            <w:r>
              <w:rPr>
                <w:sz w:val="18"/>
              </w:rPr>
              <w:t>SQL vs SPARQL comparison</w:t>
            </w:r>
          </w:p>
        </w:tc>
        <w:tc>
          <w:tcPr>
            <w:tcW w:type="dxa" w:w="4032"/>
            <w:shd w:val="clear" w:color="auto" w:fill="FFFFFF"/>
            <w:vAlign w:val="center"/>
          </w:tcPr>
          <w:p>
            <w:r>
              <w:rPr>
                <w:sz w:val="18"/>
              </w:rPr>
              <w:t>rdflib, LLM mismatch analysis</w:t>
            </w:r>
          </w:p>
        </w:tc>
      </w:tr>
      <w:tr>
        <w:tc>
          <w:tcPr>
            <w:tcW w:type="dxa" w:w="576"/>
            <w:shd w:val="clear" w:color="auto" w:fill="F0F4FF"/>
            <w:vAlign w:val="center"/>
          </w:tcPr>
          <w:p>
            <w:r>
              <w:rPr>
                <w:sz w:val="18"/>
              </w:rPr>
              <w:t>11</w:t>
            </w:r>
          </w:p>
        </w:tc>
        <w:tc>
          <w:tcPr>
            <w:tcW w:type="dxa" w:w="4032"/>
            <w:shd w:val="clear" w:color="auto" w:fill="F0F4FF"/>
            <w:vAlign w:val="center"/>
          </w:tcPr>
          <w:p>
            <w:r>
              <w:rPr>
                <w:sz w:val="18"/>
              </w:rPr>
              <w:t>D3.js knowledge graph visualiser</w:t>
            </w:r>
          </w:p>
        </w:tc>
        <w:tc>
          <w:tcPr>
            <w:tcW w:type="dxa" w:w="4032"/>
            <w:shd w:val="clear" w:color="auto" w:fill="F0F4FF"/>
            <w:vAlign w:val="center"/>
          </w:tcPr>
          <w:p>
            <w:r>
              <w:rPr>
                <w:sz w:val="18"/>
              </w:rPr>
              <w:t>D3.js v7, force simulation</w:t>
            </w:r>
          </w:p>
        </w:tc>
      </w:tr>
      <w:tr>
        <w:tc>
          <w:tcPr>
            <w:tcW w:type="dxa" w:w="576"/>
            <w:shd w:val="clear" w:color="auto" w:fill="FFFFFF"/>
            <w:vAlign w:val="center"/>
          </w:tcPr>
          <w:p>
            <w:r>
              <w:rPr>
                <w:sz w:val="18"/>
              </w:rPr>
              <w:t>12</w:t>
            </w:r>
          </w:p>
        </w:tc>
        <w:tc>
          <w:tcPr>
            <w:tcW w:type="dxa" w:w="4032"/>
            <w:shd w:val="clear" w:color="auto" w:fill="FFFFFF"/>
            <w:vAlign w:val="center"/>
          </w:tcPr>
          <w:p>
            <w:r>
              <w:rPr>
                <w:sz w:val="18"/>
              </w:rPr>
              <w:t>Townland person drill-down</w:t>
            </w:r>
          </w:p>
        </w:tc>
        <w:tc>
          <w:tcPr>
            <w:tcW w:type="dxa" w:w="4032"/>
            <w:shd w:val="clear" w:color="auto" w:fill="FFFFFF"/>
            <w:vAlign w:val="center"/>
          </w:tcPr>
          <w:p>
            <w:r>
              <w:rPr>
                <w:sz w:val="18"/>
              </w:rPr>
              <w:t>SQLite, async fetch</w:t>
            </w:r>
          </w:p>
        </w:tc>
      </w:tr>
      <w:tr>
        <w:tc>
          <w:tcPr>
            <w:tcW w:type="dxa" w:w="576"/>
            <w:shd w:val="clear" w:color="auto" w:fill="F0F4FF"/>
            <w:vAlign w:val="center"/>
          </w:tcPr>
          <w:p>
            <w:r>
              <w:rPr>
                <w:sz w:val="18"/>
              </w:rPr>
              <w:t>13</w:t>
            </w:r>
          </w:p>
        </w:tc>
        <w:tc>
          <w:tcPr>
            <w:tcW w:type="dxa" w:w="4032"/>
            <w:shd w:val="clear" w:color="auto" w:fill="F0F4FF"/>
            <w:vAlign w:val="center"/>
          </w:tcPr>
          <w:p>
            <w:r>
              <w:rPr>
                <w:sz w:val="18"/>
              </w:rPr>
              <w:t>Hand-written PDF export (no library)</w:t>
            </w:r>
          </w:p>
        </w:tc>
        <w:tc>
          <w:tcPr>
            <w:tcW w:type="dxa" w:w="4032"/>
            <w:shd w:val="clear" w:color="auto" w:fill="F0F4FF"/>
            <w:vAlign w:val="center"/>
          </w:tcPr>
          <w:p>
            <w:r>
              <w:rPr>
                <w:sz w:val="18"/>
              </w:rPr>
              <w:t>PDF 1.4 binary writer</w:t>
            </w:r>
          </w:p>
        </w:tc>
      </w:tr>
      <w:tr>
        <w:tc>
          <w:tcPr>
            <w:tcW w:type="dxa" w:w="576"/>
            <w:shd w:val="clear" w:color="auto" w:fill="FFFFFF"/>
            <w:vAlign w:val="center"/>
          </w:tcPr>
          <w:p>
            <w:r>
              <w:rPr>
                <w:sz w:val="18"/>
              </w:rPr>
              <w:t>14</w:t>
            </w:r>
          </w:p>
        </w:tc>
        <w:tc>
          <w:tcPr>
            <w:tcW w:type="dxa" w:w="4032"/>
            <w:shd w:val="clear" w:color="auto" w:fill="FFFFFF"/>
            <w:vAlign w:val="center"/>
          </w:tcPr>
          <w:p>
            <w:r>
              <w:rPr>
                <w:sz w:val="18"/>
              </w:rPr>
              <w:t>Excel export with metadata sheet</w:t>
            </w:r>
          </w:p>
        </w:tc>
        <w:tc>
          <w:tcPr>
            <w:tcW w:type="dxa" w:w="4032"/>
            <w:shd w:val="clear" w:color="auto" w:fill="FFFFFF"/>
            <w:vAlign w:val="center"/>
          </w:tcPr>
          <w:p>
            <w:r>
              <w:rPr>
                <w:sz w:val="18"/>
              </w:rPr>
              <w:t>openpyxl</w:t>
            </w:r>
          </w:p>
        </w:tc>
      </w:tr>
      <w:tr>
        <w:tc>
          <w:tcPr>
            <w:tcW w:type="dxa" w:w="576"/>
            <w:shd w:val="clear" w:color="auto" w:fill="F0F4FF"/>
            <w:vAlign w:val="center"/>
          </w:tcPr>
          <w:p>
            <w:r>
              <w:rPr>
                <w:sz w:val="18"/>
              </w:rPr>
              <w:t>15</w:t>
            </w:r>
          </w:p>
        </w:tc>
        <w:tc>
          <w:tcPr>
            <w:tcW w:type="dxa" w:w="4032"/>
            <w:shd w:val="clear" w:color="auto" w:fill="F0F4FF"/>
            <w:vAlign w:val="center"/>
          </w:tcPr>
          <w:p>
            <w:r>
              <w:rPr>
                <w:sz w:val="18"/>
              </w:rPr>
              <w:t>Workhouse fuzzy matching</w:t>
            </w:r>
          </w:p>
        </w:tc>
        <w:tc>
          <w:tcPr>
            <w:tcW w:type="dxa" w:w="4032"/>
            <w:shd w:val="clear" w:color="auto" w:fill="F0F4FF"/>
            <w:vAlign w:val="center"/>
          </w:tcPr>
          <w:p>
            <w:r>
              <w:rPr>
                <w:sz w:val="18"/>
              </w:rPr>
              <w:t>pandas, difflib SequenceMatcher</w:t>
            </w:r>
          </w:p>
        </w:tc>
      </w:tr>
      <w:tr>
        <w:tc>
          <w:tcPr>
            <w:tcW w:type="dxa" w:w="576"/>
            <w:shd w:val="clear" w:color="auto" w:fill="FFFFFF"/>
            <w:vAlign w:val="center"/>
          </w:tcPr>
          <w:p>
            <w:r>
              <w:rPr>
                <w:sz w:val="18"/>
              </w:rPr>
              <w:t>16</w:t>
            </w:r>
          </w:p>
        </w:tc>
        <w:tc>
          <w:tcPr>
            <w:tcW w:type="dxa" w:w="4032"/>
            <w:shd w:val="clear" w:color="auto" w:fill="FFFFFF"/>
            <w:vAlign w:val="center"/>
          </w:tcPr>
          <w:p>
            <w:r>
              <w:rPr>
                <w:sz w:val="18"/>
              </w:rPr>
              <w:t>Feedback / query memory learning</w:t>
            </w:r>
          </w:p>
        </w:tc>
        <w:tc>
          <w:tcPr>
            <w:tcW w:type="dxa" w:w="4032"/>
            <w:shd w:val="clear" w:color="auto" w:fill="FFFFFF"/>
            <w:vAlign w:val="center"/>
          </w:tcPr>
          <w:p>
            <w:r>
              <w:rPr>
                <w:sz w:val="18"/>
              </w:rPr>
              <w:t>SQLite, semantic similarity</w:t>
            </w:r>
          </w:p>
        </w:tc>
      </w:tr>
      <w:tr>
        <w:tc>
          <w:tcPr>
            <w:tcW w:type="dxa" w:w="576"/>
            <w:shd w:val="clear" w:color="auto" w:fill="F0F4FF"/>
            <w:vAlign w:val="center"/>
          </w:tcPr>
          <w:p>
            <w:r>
              <w:rPr>
                <w:sz w:val="18"/>
              </w:rPr>
              <w:t>17</w:t>
            </w:r>
          </w:p>
        </w:tc>
        <w:tc>
          <w:tcPr>
            <w:tcW w:type="dxa" w:w="4032"/>
            <w:shd w:val="clear" w:color="auto" w:fill="F0F4FF"/>
            <w:vAlign w:val="center"/>
          </w:tcPr>
          <w:p>
            <w:r>
              <w:rPr>
                <w:sz w:val="18"/>
              </w:rPr>
              <w:t>Townland autocomplete + alias resolution</w:t>
            </w:r>
          </w:p>
        </w:tc>
        <w:tc>
          <w:tcPr>
            <w:tcW w:type="dxa" w:w="4032"/>
            <w:shd w:val="clear" w:color="auto" w:fill="F0F4FF"/>
            <w:vAlign w:val="center"/>
          </w:tcPr>
          <w:p>
            <w:r>
              <w:rPr>
                <w:sz w:val="18"/>
              </w:rPr>
              <w:t>fuzzy matching, alias JSON</w:t>
            </w:r>
          </w:p>
        </w:tc>
      </w:tr>
      <w:tr>
        <w:tc>
          <w:tcPr>
            <w:tcW w:type="dxa" w:w="576"/>
            <w:shd w:val="clear" w:color="auto" w:fill="FFFFFF"/>
            <w:vAlign w:val="center"/>
          </w:tcPr>
          <w:p>
            <w:r>
              <w:rPr>
                <w:sz w:val="18"/>
              </w:rPr>
              <w:t>18</w:t>
            </w:r>
          </w:p>
        </w:tc>
        <w:tc>
          <w:tcPr>
            <w:tcW w:type="dxa" w:w="4032"/>
            <w:shd w:val="clear" w:color="auto" w:fill="FFFFFF"/>
            <w:vAlign w:val="center"/>
          </w:tcPr>
          <w:p>
            <w:r>
              <w:rPr>
                <w:sz w:val="18"/>
              </w:rPr>
              <w:t>Internationalisation (English / Irish)</w:t>
            </w:r>
          </w:p>
        </w:tc>
        <w:tc>
          <w:tcPr>
            <w:tcW w:type="dxa" w:w="4032"/>
            <w:shd w:val="clear" w:color="auto" w:fill="FFFFFF"/>
            <w:vAlign w:val="center"/>
          </w:tcPr>
          <w:p>
            <w:r>
              <w:rPr>
                <w:sz w:val="18"/>
              </w:rPr>
              <w:t>Vanilla JS i18n framework</w:t>
            </w:r>
          </w:p>
        </w:tc>
      </w:tr>
      <w:tr>
        <w:tc>
          <w:tcPr>
            <w:tcW w:type="dxa" w:w="576"/>
            <w:shd w:val="clear" w:color="auto" w:fill="F0F4FF"/>
            <w:vAlign w:val="center"/>
          </w:tcPr>
          <w:p>
            <w:r>
              <w:rPr>
                <w:sz w:val="18"/>
              </w:rPr>
              <w:t>19</w:t>
            </w:r>
          </w:p>
        </w:tc>
        <w:tc>
          <w:tcPr>
            <w:tcW w:type="dxa" w:w="4032"/>
            <w:shd w:val="clear" w:color="auto" w:fill="F0F4FF"/>
            <w:vAlign w:val="center"/>
          </w:tcPr>
          <w:p>
            <w:r>
              <w:rPr>
                <w:sz w:val="18"/>
              </w:rPr>
              <w:t>RDF uplift (CSV → TTL → GraphDB)</w:t>
            </w:r>
          </w:p>
        </w:tc>
        <w:tc>
          <w:tcPr>
            <w:tcW w:type="dxa" w:w="4032"/>
            <w:shd w:val="clear" w:color="auto" w:fill="F0F4FF"/>
            <w:vAlign w:val="center"/>
          </w:tcPr>
          <w:p>
            <w:r>
              <w:rPr>
                <w:sz w:val="18"/>
              </w:rPr>
              <w:t>rdflib, custom co: ontology</w:t>
            </w:r>
          </w:p>
        </w:tc>
      </w:tr>
      <w:tr>
        <w:tc>
          <w:tcPr>
            <w:tcW w:type="dxa" w:w="576"/>
            <w:shd w:val="clear" w:color="auto" w:fill="FFFFFF"/>
            <w:vAlign w:val="center"/>
          </w:tcPr>
          <w:p>
            <w:r>
              <w:rPr>
                <w:sz w:val="18"/>
              </w:rPr>
              <w:t>20</w:t>
            </w:r>
          </w:p>
        </w:tc>
        <w:tc>
          <w:tcPr>
            <w:tcW w:type="dxa" w:w="4032"/>
            <w:shd w:val="clear" w:color="auto" w:fill="FFFFFF"/>
            <w:vAlign w:val="center"/>
          </w:tcPr>
          <w:p>
            <w:r>
              <w:rPr>
                <w:sz w:val="18"/>
              </w:rPr>
              <w:t>DB-first / KG-second caching framework</w:t>
            </w:r>
          </w:p>
        </w:tc>
        <w:tc>
          <w:tcPr>
            <w:tcW w:type="dxa" w:w="4032"/>
            <w:shd w:val="clear" w:color="auto" w:fill="FFFFFF"/>
            <w:vAlign w:val="center"/>
          </w:tcPr>
          <w:p>
            <w:r>
              <w:rPr>
                <w:sz w:val="18"/>
              </w:rPr>
              <w:t>SQLite TTL, SPARQL on miss</w:t>
            </w:r>
          </w:p>
        </w:tc>
      </w:tr>
    </w:tbl>
    <w:p/>
    <w:p>
      <w:r>
        <w:br w:type="page"/>
      </w:r>
    </w:p>
    <w:p>
      <w:pPr>
        <w:spacing w:before="120" w:after="120"/>
      </w:pPr>
      <w:r>
        <w:rPr>
          <w:color w:val="CBD5E1"/>
          <w:sz w:val="14"/>
        </w:rPr>
        <w:t>────────────────────────────────────────────────────────────────────────────────</w:t>
      </w:r>
    </w:p>
    <w:p>
      <w:pPr>
        <w:jc w:val="center"/>
      </w:pPr>
      <w:r>
        <w:rPr>
          <w:i/>
          <w:color w:val="475467"/>
          <w:sz w:val="18"/>
        </w:rPr>
        <w:t>Coolattin Estate Records Explorer  ·  Masters Dissertation  ·  Generated 18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