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COMPLIANCE OF SECTION 137 (I) OF THE COMPANIES ACT, 2013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As per the provisions of Section 137(1) of the Companies Act, 201 3, a company shall, along with its financial statements, be filed with the Registrar with the companies.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We confirm that the filing has to be made within thirty (30) days of the Annual General Meeting, as mandated by the Company Act 2013.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CERTIFIED TO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14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17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18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