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16B86" w14:textId="77777777" w:rsidR="00BA69C8" w:rsidRPr="00BA69C8" w:rsidRDefault="00BA69C8" w:rsidP="00BA69C8">
      <w:pPr>
        <w:rPr>
          <w:b/>
          <w:bCs/>
        </w:rPr>
      </w:pPr>
      <w:r w:rsidRPr="00BA69C8">
        <w:rPr>
          <w:b/>
          <w:bCs/>
        </w:rPr>
        <w:t>Retail Probability of Default (PD) Scorecard Model</w:t>
      </w:r>
    </w:p>
    <w:p w14:paraId="2BC6B5FE" w14:textId="77777777" w:rsidR="00BA69C8" w:rsidRPr="00BA69C8" w:rsidRDefault="00BA69C8" w:rsidP="00BA69C8">
      <w:r w:rsidRPr="00BA69C8">
        <w:rPr>
          <w:b/>
          <w:bCs/>
        </w:rPr>
        <w:t>Dataset:</w:t>
      </w:r>
      <w:r w:rsidRPr="00BA69C8">
        <w:t xml:space="preserve"> Home Credit Default Risk</w:t>
      </w:r>
    </w:p>
    <w:p w14:paraId="0140A19A" w14:textId="77777777" w:rsidR="00BA69C8" w:rsidRPr="00BA69C8" w:rsidRDefault="00BA69C8" w:rsidP="00BA69C8">
      <w:r w:rsidRPr="00BA69C8">
        <w:pict w14:anchorId="4AAC6B1B">
          <v:rect id="_x0000_i1073" style="width:0;height:1.5pt" o:hralign="center" o:hrstd="t" o:hr="t" fillcolor="#a0a0a0" stroked="f"/>
        </w:pict>
      </w:r>
    </w:p>
    <w:p w14:paraId="278439A2" w14:textId="77777777" w:rsidR="00BA69C8" w:rsidRPr="00BA69C8" w:rsidRDefault="00BA69C8" w:rsidP="00BA69C8">
      <w:pPr>
        <w:rPr>
          <w:b/>
          <w:bCs/>
        </w:rPr>
      </w:pPr>
      <w:r w:rsidRPr="00BA69C8">
        <w:rPr>
          <w:b/>
          <w:bCs/>
        </w:rPr>
        <w:t>1. Objective</w:t>
      </w:r>
    </w:p>
    <w:p w14:paraId="16A3C788" w14:textId="77777777" w:rsidR="00BA69C8" w:rsidRPr="00BA69C8" w:rsidRDefault="00BA69C8" w:rsidP="00BA69C8">
      <w:r w:rsidRPr="00BA69C8">
        <w:t>The objective of this project was to design and develop an interpretable, regulatory-aligned Retail Application Scorecard Model to estimate the Probability of Default (PD) of retail borrowers. The model was built using traditional credit risk modeling methodologies to ensure transparency, stability, and business applicability in a lending environment.</w:t>
      </w:r>
    </w:p>
    <w:p w14:paraId="242A7CEB" w14:textId="77777777" w:rsidR="00BA69C8" w:rsidRPr="00BA69C8" w:rsidRDefault="00BA69C8" w:rsidP="00BA69C8">
      <w:r w:rsidRPr="00BA69C8">
        <w:pict w14:anchorId="5395B8BC">
          <v:rect id="_x0000_i1074" style="width:0;height:1.5pt" o:hralign="center" o:hrstd="t" o:hr="t" fillcolor="#a0a0a0" stroked="f"/>
        </w:pict>
      </w:r>
    </w:p>
    <w:p w14:paraId="0D0710AA" w14:textId="77777777" w:rsidR="00BA69C8" w:rsidRPr="00BA69C8" w:rsidRDefault="00BA69C8" w:rsidP="00BA69C8">
      <w:pPr>
        <w:rPr>
          <w:b/>
          <w:bCs/>
        </w:rPr>
      </w:pPr>
      <w:r w:rsidRPr="00BA69C8">
        <w:rPr>
          <w:b/>
          <w:bCs/>
        </w:rPr>
        <w:t>2. Data Preparation and Preprocessing</w:t>
      </w:r>
    </w:p>
    <w:p w14:paraId="6316F7F3" w14:textId="77777777" w:rsidR="00BA69C8" w:rsidRPr="00BA69C8" w:rsidRDefault="00BA69C8" w:rsidP="00BA69C8">
      <w:pPr>
        <w:numPr>
          <w:ilvl w:val="0"/>
          <w:numId w:val="1"/>
        </w:numPr>
      </w:pPr>
      <w:r w:rsidRPr="00BA69C8">
        <w:t>Performed comprehensive data cleaning and preprocessing.</w:t>
      </w:r>
    </w:p>
    <w:p w14:paraId="03331197" w14:textId="77777777" w:rsidR="00BA69C8" w:rsidRPr="00BA69C8" w:rsidRDefault="00BA69C8" w:rsidP="00BA69C8">
      <w:pPr>
        <w:numPr>
          <w:ilvl w:val="0"/>
          <w:numId w:val="1"/>
        </w:numPr>
      </w:pPr>
      <w:r w:rsidRPr="00BA69C8">
        <w:t>Partitioned the dataset into training (80%) and testing (20%) samples.</w:t>
      </w:r>
    </w:p>
    <w:p w14:paraId="593683A7" w14:textId="77777777" w:rsidR="00BA69C8" w:rsidRPr="00BA69C8" w:rsidRDefault="00BA69C8" w:rsidP="00BA69C8">
      <w:pPr>
        <w:numPr>
          <w:ilvl w:val="0"/>
          <w:numId w:val="1"/>
        </w:numPr>
      </w:pPr>
      <w:r w:rsidRPr="00BA69C8">
        <w:t>Conducted missing value treatment using appropriate imputation techniques.</w:t>
      </w:r>
    </w:p>
    <w:p w14:paraId="1B65878C" w14:textId="77777777" w:rsidR="00BA69C8" w:rsidRPr="00BA69C8" w:rsidRDefault="00BA69C8" w:rsidP="00BA69C8">
      <w:pPr>
        <w:numPr>
          <w:ilvl w:val="0"/>
          <w:numId w:val="1"/>
        </w:numPr>
      </w:pPr>
      <w:r w:rsidRPr="00BA69C8">
        <w:t>Ensured all transformations (binning, WOE mapping, feature selection) were performed exclusively on the training dataset and subsequently applied to the test dataset to prevent data leakage.</w:t>
      </w:r>
    </w:p>
    <w:p w14:paraId="210DC33A" w14:textId="77777777" w:rsidR="00BA69C8" w:rsidRPr="00BA69C8" w:rsidRDefault="00BA69C8" w:rsidP="00BA69C8">
      <w:r w:rsidRPr="00BA69C8">
        <w:pict w14:anchorId="31DCDA8A">
          <v:rect id="_x0000_i1075" style="width:0;height:1.5pt" o:hralign="center" o:hrstd="t" o:hr="t" fillcolor="#a0a0a0" stroked="f"/>
        </w:pict>
      </w:r>
    </w:p>
    <w:p w14:paraId="280758D8" w14:textId="77777777" w:rsidR="00BA69C8" w:rsidRPr="00BA69C8" w:rsidRDefault="00BA69C8" w:rsidP="00BA69C8">
      <w:pPr>
        <w:rPr>
          <w:b/>
          <w:bCs/>
        </w:rPr>
      </w:pPr>
      <w:r w:rsidRPr="00BA69C8">
        <w:rPr>
          <w:b/>
          <w:bCs/>
        </w:rPr>
        <w:t>3. Feature Engineering and Variable Selection</w:t>
      </w:r>
    </w:p>
    <w:p w14:paraId="3CE828F7" w14:textId="77777777" w:rsidR="00BA69C8" w:rsidRPr="00BA69C8" w:rsidRDefault="00BA69C8" w:rsidP="00BA69C8">
      <w:pPr>
        <w:rPr>
          <w:b/>
          <w:bCs/>
        </w:rPr>
      </w:pPr>
      <w:r w:rsidRPr="00BA69C8">
        <w:rPr>
          <w:b/>
          <w:bCs/>
        </w:rPr>
        <w:t>3.1 WOE Binning</w:t>
      </w:r>
    </w:p>
    <w:p w14:paraId="3178650C" w14:textId="77777777" w:rsidR="00BA69C8" w:rsidRPr="00BA69C8" w:rsidRDefault="00BA69C8" w:rsidP="00BA69C8">
      <w:pPr>
        <w:numPr>
          <w:ilvl w:val="0"/>
          <w:numId w:val="2"/>
        </w:numPr>
      </w:pPr>
      <w:r w:rsidRPr="00BA69C8">
        <w:t>Applied Weight of Evidence (WOE) binning using quantile-based segmentation (pd.qcut()) on the training dataset.</w:t>
      </w:r>
    </w:p>
    <w:p w14:paraId="72C9449D" w14:textId="77777777" w:rsidR="00BA69C8" w:rsidRPr="00BA69C8" w:rsidRDefault="00BA69C8" w:rsidP="00BA69C8">
      <w:pPr>
        <w:numPr>
          <w:ilvl w:val="0"/>
          <w:numId w:val="2"/>
        </w:numPr>
      </w:pPr>
      <w:r w:rsidRPr="00BA69C8">
        <w:t>Preserved:</w:t>
      </w:r>
    </w:p>
    <w:p w14:paraId="2E5A3146" w14:textId="77777777" w:rsidR="00BA69C8" w:rsidRPr="00BA69C8" w:rsidRDefault="00BA69C8" w:rsidP="00BA69C8">
      <w:pPr>
        <w:numPr>
          <w:ilvl w:val="1"/>
          <w:numId w:val="2"/>
        </w:numPr>
      </w:pPr>
      <w:r w:rsidRPr="00BA69C8">
        <w:t>Bin edges</w:t>
      </w:r>
    </w:p>
    <w:p w14:paraId="5521162E" w14:textId="77777777" w:rsidR="00BA69C8" w:rsidRPr="00BA69C8" w:rsidRDefault="00BA69C8" w:rsidP="00BA69C8">
      <w:pPr>
        <w:numPr>
          <w:ilvl w:val="1"/>
          <w:numId w:val="2"/>
        </w:numPr>
      </w:pPr>
      <w:r w:rsidRPr="00BA69C8">
        <w:t>WOE mapping tables</w:t>
      </w:r>
    </w:p>
    <w:p w14:paraId="715CD50C" w14:textId="77777777" w:rsidR="00BA69C8" w:rsidRPr="00BA69C8" w:rsidRDefault="00BA69C8" w:rsidP="00BA69C8">
      <w:pPr>
        <w:numPr>
          <w:ilvl w:val="0"/>
          <w:numId w:val="2"/>
        </w:numPr>
      </w:pPr>
      <w:r w:rsidRPr="00BA69C8">
        <w:t>Ensured monotonicity of bad rates wherever applicable.</w:t>
      </w:r>
    </w:p>
    <w:p w14:paraId="1166349C" w14:textId="77777777" w:rsidR="00BA69C8" w:rsidRPr="00BA69C8" w:rsidRDefault="00BA69C8" w:rsidP="00BA69C8">
      <w:pPr>
        <w:rPr>
          <w:b/>
          <w:bCs/>
        </w:rPr>
      </w:pPr>
      <w:r w:rsidRPr="00BA69C8">
        <w:rPr>
          <w:b/>
          <w:bCs/>
        </w:rPr>
        <w:t>3.2 Information Value (IV)</w:t>
      </w:r>
    </w:p>
    <w:p w14:paraId="18FCF2E8" w14:textId="77777777" w:rsidR="00BA69C8" w:rsidRPr="00BA69C8" w:rsidRDefault="00BA69C8" w:rsidP="00BA69C8">
      <w:pPr>
        <w:numPr>
          <w:ilvl w:val="0"/>
          <w:numId w:val="3"/>
        </w:numPr>
      </w:pPr>
      <w:r w:rsidRPr="00BA69C8">
        <w:t>Calculated Information Value (IV) for all candidate variables.</w:t>
      </w:r>
    </w:p>
    <w:p w14:paraId="3AFF6488" w14:textId="77777777" w:rsidR="00BA69C8" w:rsidRPr="00BA69C8" w:rsidRDefault="00BA69C8" w:rsidP="00BA69C8">
      <w:pPr>
        <w:numPr>
          <w:ilvl w:val="0"/>
          <w:numId w:val="3"/>
        </w:numPr>
      </w:pPr>
      <w:r w:rsidRPr="00BA69C8">
        <w:t>Retained variables with IV ≥ 0.05 to ensure meaningful predictive contribution.</w:t>
      </w:r>
    </w:p>
    <w:p w14:paraId="72C07C5C" w14:textId="77777777" w:rsidR="00BA69C8" w:rsidRPr="00BA69C8" w:rsidRDefault="00BA69C8" w:rsidP="00BA69C8">
      <w:r w:rsidRPr="00BA69C8">
        <w:lastRenderedPageBreak/>
        <w:pict w14:anchorId="00B8BC99">
          <v:rect id="_x0000_i1076" style="width:0;height:1.5pt" o:hralign="center" o:hrstd="t" o:hr="t" fillcolor="#a0a0a0" stroked="f"/>
        </w:pict>
      </w:r>
    </w:p>
    <w:p w14:paraId="5D6FD626" w14:textId="77777777" w:rsidR="00BA69C8" w:rsidRPr="00BA69C8" w:rsidRDefault="00BA69C8" w:rsidP="00BA69C8">
      <w:pPr>
        <w:rPr>
          <w:b/>
          <w:bCs/>
        </w:rPr>
      </w:pPr>
      <w:r w:rsidRPr="00BA69C8">
        <w:rPr>
          <w:b/>
          <w:bCs/>
        </w:rPr>
        <w:t>4. Model Development</w:t>
      </w:r>
    </w:p>
    <w:p w14:paraId="26774C0B" w14:textId="77777777" w:rsidR="00BA69C8" w:rsidRPr="00BA69C8" w:rsidRDefault="00BA69C8" w:rsidP="00BA69C8">
      <w:pPr>
        <w:rPr>
          <w:b/>
          <w:bCs/>
        </w:rPr>
      </w:pPr>
      <w:r w:rsidRPr="00BA69C8">
        <w:rPr>
          <w:b/>
          <w:bCs/>
        </w:rPr>
        <w:t>4.1 Single Factor Analysis (SFA)</w:t>
      </w:r>
    </w:p>
    <w:p w14:paraId="49AD0C79" w14:textId="77777777" w:rsidR="00BA69C8" w:rsidRPr="00BA69C8" w:rsidRDefault="00BA69C8" w:rsidP="00BA69C8">
      <w:pPr>
        <w:numPr>
          <w:ilvl w:val="0"/>
          <w:numId w:val="4"/>
        </w:numPr>
      </w:pPr>
      <w:r w:rsidRPr="00BA69C8">
        <w:t>Assessed the individual predictive strength and directional consistency of each selected variable.</w:t>
      </w:r>
    </w:p>
    <w:p w14:paraId="0EC46CEE" w14:textId="77777777" w:rsidR="00BA69C8" w:rsidRPr="00BA69C8" w:rsidRDefault="00BA69C8" w:rsidP="00BA69C8">
      <w:pPr>
        <w:numPr>
          <w:ilvl w:val="0"/>
          <w:numId w:val="4"/>
        </w:numPr>
      </w:pPr>
      <w:r w:rsidRPr="00BA69C8">
        <w:t>All shortlisted variables were retained for multivariate analysis.</w:t>
      </w:r>
    </w:p>
    <w:p w14:paraId="20939A50" w14:textId="77777777" w:rsidR="00BA69C8" w:rsidRPr="00BA69C8" w:rsidRDefault="00BA69C8" w:rsidP="00BA69C8">
      <w:pPr>
        <w:rPr>
          <w:b/>
          <w:bCs/>
        </w:rPr>
      </w:pPr>
      <w:r w:rsidRPr="00BA69C8">
        <w:rPr>
          <w:b/>
          <w:bCs/>
        </w:rPr>
        <w:t>4.2 Multi-Factor Analysis (MFA)</w:t>
      </w:r>
    </w:p>
    <w:p w14:paraId="5993BD36" w14:textId="77777777" w:rsidR="00BA69C8" w:rsidRPr="00BA69C8" w:rsidRDefault="00BA69C8" w:rsidP="00BA69C8">
      <w:pPr>
        <w:numPr>
          <w:ilvl w:val="0"/>
          <w:numId w:val="5"/>
        </w:numPr>
      </w:pPr>
      <w:r w:rsidRPr="00BA69C8">
        <w:t>Developed a Logistic Regression model using statsmodels.</w:t>
      </w:r>
    </w:p>
    <w:p w14:paraId="13CEABC5" w14:textId="77777777" w:rsidR="00BA69C8" w:rsidRPr="00BA69C8" w:rsidRDefault="00BA69C8" w:rsidP="00BA69C8">
      <w:pPr>
        <w:numPr>
          <w:ilvl w:val="0"/>
          <w:numId w:val="5"/>
        </w:numPr>
      </w:pPr>
      <w:r w:rsidRPr="00BA69C8">
        <w:t>Removed DAYS_BIRTH due to sign inconsistency in the multivariate context.</w:t>
      </w:r>
    </w:p>
    <w:p w14:paraId="7AA04E4C" w14:textId="77777777" w:rsidR="00BA69C8" w:rsidRPr="00BA69C8" w:rsidRDefault="00BA69C8" w:rsidP="00BA69C8">
      <w:pPr>
        <w:numPr>
          <w:ilvl w:val="0"/>
          <w:numId w:val="5"/>
        </w:numPr>
      </w:pPr>
      <w:r w:rsidRPr="00BA69C8">
        <w:t>Assessed multicollinearity using Variance Inflation Factor (VIF); all retained variables exhibited VIF &lt; 2.</w:t>
      </w:r>
    </w:p>
    <w:p w14:paraId="72E8C07A" w14:textId="77777777" w:rsidR="00BA69C8" w:rsidRPr="00BA69C8" w:rsidRDefault="00BA69C8" w:rsidP="00BA69C8">
      <w:pPr>
        <w:numPr>
          <w:ilvl w:val="0"/>
          <w:numId w:val="5"/>
        </w:numPr>
      </w:pPr>
      <w:r w:rsidRPr="00BA69C8">
        <w:t>Final model consisted of 9 variables.</w:t>
      </w:r>
    </w:p>
    <w:p w14:paraId="662D06B9" w14:textId="77777777" w:rsidR="00BA69C8" w:rsidRPr="00BA69C8" w:rsidRDefault="00BA69C8" w:rsidP="00BA69C8">
      <w:r w:rsidRPr="00BA69C8">
        <w:pict w14:anchorId="4A27F29A">
          <v:rect id="_x0000_i1077" style="width:0;height:1.5pt" o:hralign="center" o:hrstd="t" o:hr="t" fillcolor="#a0a0a0" stroked="f"/>
        </w:pict>
      </w:r>
    </w:p>
    <w:p w14:paraId="6867D187" w14:textId="77777777" w:rsidR="00BA69C8" w:rsidRPr="00BA69C8" w:rsidRDefault="00BA69C8" w:rsidP="00BA69C8">
      <w:pPr>
        <w:rPr>
          <w:b/>
          <w:bCs/>
        </w:rPr>
      </w:pPr>
      <w:r w:rsidRPr="00BA69C8">
        <w:rPr>
          <w:b/>
          <w:bCs/>
        </w:rPr>
        <w:t>5. Model Performance and Validation</w:t>
      </w:r>
    </w:p>
    <w:p w14:paraId="71DE1E94" w14:textId="77777777" w:rsidR="00BA69C8" w:rsidRPr="00BA69C8" w:rsidRDefault="00BA69C8" w:rsidP="00BA69C8">
      <w:r w:rsidRPr="00BA69C8">
        <w:t>The model was evaluated on both training and testing datasets using standard discriminatory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394"/>
      </w:tblGrid>
      <w:tr w:rsidR="00BA69C8" w:rsidRPr="00BA69C8" w14:paraId="1570B29F" w14:textId="77777777">
        <w:trPr>
          <w:tblHeader/>
          <w:tblCellSpacing w:w="15" w:type="dxa"/>
        </w:trPr>
        <w:tc>
          <w:tcPr>
            <w:tcW w:w="0" w:type="auto"/>
            <w:vAlign w:val="center"/>
            <w:hideMark/>
          </w:tcPr>
          <w:p w14:paraId="7147FB3D" w14:textId="77777777" w:rsidR="00BA69C8" w:rsidRPr="00BA69C8" w:rsidRDefault="00BA69C8" w:rsidP="00BA69C8">
            <w:pPr>
              <w:rPr>
                <w:b/>
                <w:bCs/>
              </w:rPr>
            </w:pPr>
            <w:r w:rsidRPr="00BA69C8">
              <w:rPr>
                <w:b/>
                <w:bCs/>
              </w:rPr>
              <w:t>Metric</w:t>
            </w:r>
          </w:p>
        </w:tc>
        <w:tc>
          <w:tcPr>
            <w:tcW w:w="0" w:type="auto"/>
            <w:vAlign w:val="center"/>
            <w:hideMark/>
          </w:tcPr>
          <w:p w14:paraId="717E4D84" w14:textId="77777777" w:rsidR="00BA69C8" w:rsidRPr="00BA69C8" w:rsidRDefault="00BA69C8" w:rsidP="00BA69C8">
            <w:pPr>
              <w:rPr>
                <w:b/>
                <w:bCs/>
              </w:rPr>
            </w:pPr>
            <w:r w:rsidRPr="00BA69C8">
              <w:rPr>
                <w:b/>
                <w:bCs/>
              </w:rPr>
              <w:t>Value</w:t>
            </w:r>
          </w:p>
        </w:tc>
      </w:tr>
      <w:tr w:rsidR="00BA69C8" w:rsidRPr="00BA69C8" w14:paraId="5AB1E3EF" w14:textId="77777777">
        <w:trPr>
          <w:tblCellSpacing w:w="15" w:type="dxa"/>
        </w:trPr>
        <w:tc>
          <w:tcPr>
            <w:tcW w:w="0" w:type="auto"/>
            <w:vAlign w:val="center"/>
            <w:hideMark/>
          </w:tcPr>
          <w:p w14:paraId="1F81465F" w14:textId="77777777" w:rsidR="00BA69C8" w:rsidRPr="00BA69C8" w:rsidRDefault="00BA69C8" w:rsidP="00BA69C8">
            <w:r w:rsidRPr="00BA69C8">
              <w:t>AUC</w:t>
            </w:r>
          </w:p>
        </w:tc>
        <w:tc>
          <w:tcPr>
            <w:tcW w:w="0" w:type="auto"/>
            <w:vAlign w:val="center"/>
            <w:hideMark/>
          </w:tcPr>
          <w:p w14:paraId="3D755E5D" w14:textId="77777777" w:rsidR="00BA69C8" w:rsidRPr="00BA69C8" w:rsidRDefault="00BA69C8" w:rsidP="00BA69C8">
            <w:r w:rsidRPr="00BA69C8">
              <w:t>~0.73</w:t>
            </w:r>
          </w:p>
        </w:tc>
      </w:tr>
      <w:tr w:rsidR="00BA69C8" w:rsidRPr="00BA69C8" w14:paraId="1D3B0A2C" w14:textId="77777777">
        <w:trPr>
          <w:tblCellSpacing w:w="15" w:type="dxa"/>
        </w:trPr>
        <w:tc>
          <w:tcPr>
            <w:tcW w:w="0" w:type="auto"/>
            <w:vAlign w:val="center"/>
            <w:hideMark/>
          </w:tcPr>
          <w:p w14:paraId="758232F8" w14:textId="77777777" w:rsidR="00BA69C8" w:rsidRPr="00BA69C8" w:rsidRDefault="00BA69C8" w:rsidP="00BA69C8">
            <w:r w:rsidRPr="00BA69C8">
              <w:t>KS</w:t>
            </w:r>
          </w:p>
        </w:tc>
        <w:tc>
          <w:tcPr>
            <w:tcW w:w="0" w:type="auto"/>
            <w:vAlign w:val="center"/>
            <w:hideMark/>
          </w:tcPr>
          <w:p w14:paraId="1EEA4A8F" w14:textId="77777777" w:rsidR="00BA69C8" w:rsidRPr="00BA69C8" w:rsidRDefault="00BA69C8" w:rsidP="00BA69C8">
            <w:r w:rsidRPr="00BA69C8">
              <w:t>~0.34</w:t>
            </w:r>
          </w:p>
        </w:tc>
      </w:tr>
      <w:tr w:rsidR="00BA69C8" w:rsidRPr="00BA69C8" w14:paraId="1AACA70E" w14:textId="77777777">
        <w:trPr>
          <w:tblCellSpacing w:w="15" w:type="dxa"/>
        </w:trPr>
        <w:tc>
          <w:tcPr>
            <w:tcW w:w="0" w:type="auto"/>
            <w:vAlign w:val="center"/>
            <w:hideMark/>
          </w:tcPr>
          <w:p w14:paraId="7D01F2A0" w14:textId="77777777" w:rsidR="00BA69C8" w:rsidRPr="00BA69C8" w:rsidRDefault="00BA69C8" w:rsidP="00BA69C8">
            <w:r w:rsidRPr="00BA69C8">
              <w:t>Somer’s D</w:t>
            </w:r>
          </w:p>
        </w:tc>
        <w:tc>
          <w:tcPr>
            <w:tcW w:w="0" w:type="auto"/>
            <w:vAlign w:val="center"/>
            <w:hideMark/>
          </w:tcPr>
          <w:p w14:paraId="4EC5F09D" w14:textId="77777777" w:rsidR="00BA69C8" w:rsidRPr="00BA69C8" w:rsidRDefault="00BA69C8" w:rsidP="00BA69C8">
            <w:r w:rsidRPr="00BA69C8">
              <w:t>~0.46</w:t>
            </w:r>
          </w:p>
        </w:tc>
      </w:tr>
      <w:tr w:rsidR="00BA69C8" w:rsidRPr="00BA69C8" w14:paraId="6597CC11" w14:textId="77777777">
        <w:trPr>
          <w:tblCellSpacing w:w="15" w:type="dxa"/>
        </w:trPr>
        <w:tc>
          <w:tcPr>
            <w:tcW w:w="0" w:type="auto"/>
            <w:vAlign w:val="center"/>
            <w:hideMark/>
          </w:tcPr>
          <w:p w14:paraId="6C918CC4" w14:textId="77777777" w:rsidR="00BA69C8" w:rsidRPr="00BA69C8" w:rsidRDefault="00BA69C8" w:rsidP="00BA69C8">
            <w:r w:rsidRPr="00BA69C8">
              <w:t>Overfitting</w:t>
            </w:r>
          </w:p>
        </w:tc>
        <w:tc>
          <w:tcPr>
            <w:tcW w:w="0" w:type="auto"/>
            <w:vAlign w:val="center"/>
            <w:hideMark/>
          </w:tcPr>
          <w:p w14:paraId="26D21C63" w14:textId="77777777" w:rsidR="00BA69C8" w:rsidRPr="00BA69C8" w:rsidRDefault="00BA69C8" w:rsidP="00BA69C8">
            <w:r w:rsidRPr="00BA69C8">
              <w:t>Not observed</w:t>
            </w:r>
          </w:p>
        </w:tc>
      </w:tr>
    </w:tbl>
    <w:p w14:paraId="0B7C9AAB" w14:textId="77777777" w:rsidR="00BA69C8" w:rsidRPr="00BA69C8" w:rsidRDefault="00BA69C8" w:rsidP="00BA69C8">
      <w:r w:rsidRPr="00BA69C8">
        <w:t>The model demonstrates acceptable discriminatory power for a retail application scorecard and maintains stability across train and test samples.</w:t>
      </w:r>
    </w:p>
    <w:p w14:paraId="46465A94" w14:textId="77777777" w:rsidR="00BA69C8" w:rsidRPr="00BA69C8" w:rsidRDefault="00BA69C8" w:rsidP="00BA69C8">
      <w:r w:rsidRPr="00BA69C8">
        <w:pict w14:anchorId="7992E08D">
          <v:rect id="_x0000_i1078" style="width:0;height:1.5pt" o:hralign="center" o:hrstd="t" o:hr="t" fillcolor="#a0a0a0" stroked="f"/>
        </w:pict>
      </w:r>
    </w:p>
    <w:p w14:paraId="140DAC0C" w14:textId="77777777" w:rsidR="00BA69C8" w:rsidRPr="00BA69C8" w:rsidRDefault="00BA69C8" w:rsidP="00BA69C8">
      <w:pPr>
        <w:rPr>
          <w:b/>
          <w:bCs/>
        </w:rPr>
      </w:pPr>
      <w:r w:rsidRPr="00BA69C8">
        <w:rPr>
          <w:b/>
          <w:bCs/>
        </w:rPr>
        <w:t>6. Scorecard Scaling and Score Generation</w:t>
      </w:r>
    </w:p>
    <w:p w14:paraId="6B8DF863" w14:textId="77777777" w:rsidR="00BA69C8" w:rsidRPr="00BA69C8" w:rsidRDefault="00BA69C8" w:rsidP="00BA69C8">
      <w:pPr>
        <w:numPr>
          <w:ilvl w:val="0"/>
          <w:numId w:val="6"/>
        </w:numPr>
      </w:pPr>
      <w:r w:rsidRPr="00BA69C8">
        <w:t>Base Score: 600</w:t>
      </w:r>
    </w:p>
    <w:p w14:paraId="407ED85D" w14:textId="77777777" w:rsidR="00BA69C8" w:rsidRPr="00BA69C8" w:rsidRDefault="00BA69C8" w:rsidP="00BA69C8">
      <w:pPr>
        <w:numPr>
          <w:ilvl w:val="0"/>
          <w:numId w:val="6"/>
        </w:numPr>
      </w:pPr>
      <w:r w:rsidRPr="00BA69C8">
        <w:lastRenderedPageBreak/>
        <w:t>Points to Double the Odds (PDO): 20</w:t>
      </w:r>
    </w:p>
    <w:p w14:paraId="5D3F3EED" w14:textId="77777777" w:rsidR="00BA69C8" w:rsidRPr="00BA69C8" w:rsidRDefault="00BA69C8" w:rsidP="00BA69C8">
      <w:pPr>
        <w:numPr>
          <w:ilvl w:val="0"/>
          <w:numId w:val="6"/>
        </w:numPr>
      </w:pPr>
      <w:r w:rsidRPr="00BA69C8">
        <w:t>Base Odds: 50</w:t>
      </w:r>
    </w:p>
    <w:p w14:paraId="5E5DED73" w14:textId="77777777" w:rsidR="00BA69C8" w:rsidRPr="00BA69C8" w:rsidRDefault="00BA69C8" w:rsidP="00BA69C8">
      <w:r w:rsidRPr="00BA69C8">
        <w:t>Converted model coefficients into scorecard points using standard score scaling methodology.</w:t>
      </w:r>
      <w:r w:rsidRPr="00BA69C8">
        <w:br/>
        <w:t>Generated customer-level credit scores for both training and testing datasets.</w:t>
      </w:r>
    </w:p>
    <w:p w14:paraId="546B4F6F" w14:textId="77777777" w:rsidR="00BA69C8" w:rsidRPr="00BA69C8" w:rsidRDefault="00BA69C8" w:rsidP="00BA69C8">
      <w:r w:rsidRPr="00BA69C8">
        <w:pict w14:anchorId="12BD6807">
          <v:rect id="_x0000_i1079" style="width:0;height:1.5pt" o:hralign="center" o:hrstd="t" o:hr="t" fillcolor="#a0a0a0" stroked="f"/>
        </w:pict>
      </w:r>
    </w:p>
    <w:p w14:paraId="33D33C6D" w14:textId="77777777" w:rsidR="00BA69C8" w:rsidRPr="00BA69C8" w:rsidRDefault="00BA69C8" w:rsidP="00BA69C8">
      <w:pPr>
        <w:rPr>
          <w:b/>
          <w:bCs/>
        </w:rPr>
      </w:pPr>
      <w:r w:rsidRPr="00BA69C8">
        <w:rPr>
          <w:b/>
          <w:bCs/>
        </w:rPr>
        <w:t>7. Post-Model Analysis and Business Interpretation</w:t>
      </w:r>
    </w:p>
    <w:p w14:paraId="49C1F90A" w14:textId="77777777" w:rsidR="00BA69C8" w:rsidRPr="00BA69C8" w:rsidRDefault="00BA69C8" w:rsidP="00BA69C8">
      <w:pPr>
        <w:numPr>
          <w:ilvl w:val="0"/>
          <w:numId w:val="7"/>
        </w:numPr>
      </w:pPr>
      <w:r w:rsidRPr="00BA69C8">
        <w:t>Created risk deciles using training dataset cut-offs and applied identical bins to the test dataset.</w:t>
      </w:r>
    </w:p>
    <w:p w14:paraId="317BCD80" w14:textId="77777777" w:rsidR="00BA69C8" w:rsidRPr="00BA69C8" w:rsidRDefault="00BA69C8" w:rsidP="00BA69C8">
      <w:pPr>
        <w:numPr>
          <w:ilvl w:val="0"/>
          <w:numId w:val="7"/>
        </w:numPr>
      </w:pPr>
      <w:r w:rsidRPr="00BA69C8">
        <w:t>Developed grade bands (A–E) to facilitate portfolio segmentation.</w:t>
      </w:r>
    </w:p>
    <w:p w14:paraId="75876B4F" w14:textId="77777777" w:rsidR="00BA69C8" w:rsidRPr="00BA69C8" w:rsidRDefault="00BA69C8" w:rsidP="00BA69C8">
      <w:pPr>
        <w:numPr>
          <w:ilvl w:val="0"/>
          <w:numId w:val="7"/>
        </w:numPr>
      </w:pPr>
      <w:r w:rsidRPr="00BA69C8">
        <w:t>Verified:</w:t>
      </w:r>
    </w:p>
    <w:p w14:paraId="672C9E4C" w14:textId="77777777" w:rsidR="00BA69C8" w:rsidRPr="00BA69C8" w:rsidRDefault="00BA69C8" w:rsidP="00BA69C8">
      <w:pPr>
        <w:numPr>
          <w:ilvl w:val="1"/>
          <w:numId w:val="7"/>
        </w:numPr>
      </w:pPr>
      <w:r w:rsidRPr="00BA69C8">
        <w:t>Monotonic increase in bad rates across risk bands</w:t>
      </w:r>
    </w:p>
    <w:p w14:paraId="35C1B954" w14:textId="77777777" w:rsidR="00BA69C8" w:rsidRPr="00BA69C8" w:rsidRDefault="00BA69C8" w:rsidP="00BA69C8">
      <w:pPr>
        <w:numPr>
          <w:ilvl w:val="1"/>
          <w:numId w:val="7"/>
        </w:numPr>
      </w:pPr>
      <w:r w:rsidRPr="00BA69C8">
        <w:t>Stability between training and testing datasets</w:t>
      </w:r>
    </w:p>
    <w:p w14:paraId="63EF9EAF" w14:textId="77777777" w:rsidR="00BA69C8" w:rsidRPr="00BA69C8" w:rsidRDefault="00BA69C8" w:rsidP="00BA69C8">
      <w:pPr>
        <w:numPr>
          <w:ilvl w:val="0"/>
          <w:numId w:val="7"/>
        </w:numPr>
      </w:pPr>
      <w:r w:rsidRPr="00BA69C8">
        <w:t>Conducted approval strategy analysis to evaluate potential cutoff strategies and portfolio risk trade-offs.</w:t>
      </w:r>
    </w:p>
    <w:p w14:paraId="7AA7913D" w14:textId="77777777" w:rsidR="00BA69C8" w:rsidRPr="00BA69C8" w:rsidRDefault="00BA69C8" w:rsidP="00BA69C8">
      <w:r w:rsidRPr="00BA69C8">
        <w:pict w14:anchorId="074C901D">
          <v:rect id="_x0000_i1080" style="width:0;height:1.5pt" o:hralign="center" o:hrstd="t" o:hr="t" fillcolor="#a0a0a0" stroked="f"/>
        </w:pict>
      </w:r>
    </w:p>
    <w:p w14:paraId="097BC00F" w14:textId="77777777" w:rsidR="00BA69C8" w:rsidRPr="00BA69C8" w:rsidRDefault="00BA69C8" w:rsidP="00BA69C8">
      <w:pPr>
        <w:rPr>
          <w:b/>
          <w:bCs/>
        </w:rPr>
      </w:pPr>
      <w:r w:rsidRPr="00BA69C8">
        <w:rPr>
          <w:b/>
          <w:bCs/>
        </w:rPr>
        <w:t>8. Conclusion</w:t>
      </w:r>
    </w:p>
    <w:p w14:paraId="6B83AC54" w14:textId="77777777" w:rsidR="00BA69C8" w:rsidRPr="00BA69C8" w:rsidRDefault="00BA69C8" w:rsidP="00BA69C8">
      <w:r w:rsidRPr="00BA69C8">
        <w:t>An interpretable and stable Retail Application PD Scorecard model was successfully developed following established credit risk modeling practices. The model demonstrates satisfactory discriminatory power, sound statistical properties, and practical applicability for credit decisioning.</w:t>
      </w:r>
    </w:p>
    <w:p w14:paraId="35770B27" w14:textId="77777777" w:rsidR="00BA69C8" w:rsidRPr="00BA69C8" w:rsidRDefault="00BA69C8" w:rsidP="00BA69C8">
      <w:r w:rsidRPr="00BA69C8">
        <w:t>The framework aligns with traditional banking standards and is suitable for deployment in a controlled credit underwriting environment.</w:t>
      </w:r>
    </w:p>
    <w:p w14:paraId="25517326" w14:textId="77777777" w:rsidR="003863A5" w:rsidRDefault="003863A5"/>
    <w:sectPr w:rsidR="00386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47A17"/>
    <w:multiLevelType w:val="multilevel"/>
    <w:tmpl w:val="43E8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720E6"/>
    <w:multiLevelType w:val="multilevel"/>
    <w:tmpl w:val="B12A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A1904"/>
    <w:multiLevelType w:val="multilevel"/>
    <w:tmpl w:val="E4B8E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2093A"/>
    <w:multiLevelType w:val="multilevel"/>
    <w:tmpl w:val="571C3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79414C"/>
    <w:multiLevelType w:val="multilevel"/>
    <w:tmpl w:val="7DD4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65797"/>
    <w:multiLevelType w:val="multilevel"/>
    <w:tmpl w:val="17C0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E2767C"/>
    <w:multiLevelType w:val="multilevel"/>
    <w:tmpl w:val="98BC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778964">
    <w:abstractNumId w:val="1"/>
  </w:num>
  <w:num w:numId="2" w16cid:durableId="1951928847">
    <w:abstractNumId w:val="3"/>
  </w:num>
  <w:num w:numId="3" w16cid:durableId="385758239">
    <w:abstractNumId w:val="0"/>
  </w:num>
  <w:num w:numId="4" w16cid:durableId="845945725">
    <w:abstractNumId w:val="6"/>
  </w:num>
  <w:num w:numId="5" w16cid:durableId="393547921">
    <w:abstractNumId w:val="4"/>
  </w:num>
  <w:num w:numId="6" w16cid:durableId="507721485">
    <w:abstractNumId w:val="5"/>
  </w:num>
  <w:num w:numId="7" w16cid:durableId="247348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3A5"/>
    <w:rsid w:val="003863A5"/>
    <w:rsid w:val="007C73B9"/>
    <w:rsid w:val="00BA6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C70B0B-C9EB-40C4-BCCC-50246AFA8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3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63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3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3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3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3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63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3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3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3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3A5"/>
    <w:rPr>
      <w:rFonts w:eastAsiaTheme="majorEastAsia" w:cstheme="majorBidi"/>
      <w:color w:val="272727" w:themeColor="text1" w:themeTint="D8"/>
    </w:rPr>
  </w:style>
  <w:style w:type="paragraph" w:styleId="Title">
    <w:name w:val="Title"/>
    <w:basedOn w:val="Normal"/>
    <w:next w:val="Normal"/>
    <w:link w:val="TitleChar"/>
    <w:uiPriority w:val="10"/>
    <w:qFormat/>
    <w:rsid w:val="00386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3A5"/>
    <w:pPr>
      <w:spacing w:before="160"/>
      <w:jc w:val="center"/>
    </w:pPr>
    <w:rPr>
      <w:i/>
      <w:iCs/>
      <w:color w:val="404040" w:themeColor="text1" w:themeTint="BF"/>
    </w:rPr>
  </w:style>
  <w:style w:type="character" w:customStyle="1" w:styleId="QuoteChar">
    <w:name w:val="Quote Char"/>
    <w:basedOn w:val="DefaultParagraphFont"/>
    <w:link w:val="Quote"/>
    <w:uiPriority w:val="29"/>
    <w:rsid w:val="003863A5"/>
    <w:rPr>
      <w:i/>
      <w:iCs/>
      <w:color w:val="404040" w:themeColor="text1" w:themeTint="BF"/>
    </w:rPr>
  </w:style>
  <w:style w:type="paragraph" w:styleId="ListParagraph">
    <w:name w:val="List Paragraph"/>
    <w:basedOn w:val="Normal"/>
    <w:uiPriority w:val="34"/>
    <w:qFormat/>
    <w:rsid w:val="003863A5"/>
    <w:pPr>
      <w:ind w:left="720"/>
      <w:contextualSpacing/>
    </w:pPr>
  </w:style>
  <w:style w:type="character" w:styleId="IntenseEmphasis">
    <w:name w:val="Intense Emphasis"/>
    <w:basedOn w:val="DefaultParagraphFont"/>
    <w:uiPriority w:val="21"/>
    <w:qFormat/>
    <w:rsid w:val="003863A5"/>
    <w:rPr>
      <w:i/>
      <w:iCs/>
      <w:color w:val="2F5496" w:themeColor="accent1" w:themeShade="BF"/>
    </w:rPr>
  </w:style>
  <w:style w:type="paragraph" w:styleId="IntenseQuote">
    <w:name w:val="Intense Quote"/>
    <w:basedOn w:val="Normal"/>
    <w:next w:val="Normal"/>
    <w:link w:val="IntenseQuoteChar"/>
    <w:uiPriority w:val="30"/>
    <w:qFormat/>
    <w:rsid w:val="003863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3A5"/>
    <w:rPr>
      <w:i/>
      <w:iCs/>
      <w:color w:val="2F5496" w:themeColor="accent1" w:themeShade="BF"/>
    </w:rPr>
  </w:style>
  <w:style w:type="character" w:styleId="IntenseReference">
    <w:name w:val="Intense Reference"/>
    <w:basedOn w:val="DefaultParagraphFont"/>
    <w:uiPriority w:val="32"/>
    <w:qFormat/>
    <w:rsid w:val="003863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504</Words>
  <Characters>2876</Characters>
  <Application>Microsoft Office Word</Application>
  <DocSecurity>0</DocSecurity>
  <Lines>23</Lines>
  <Paragraphs>6</Paragraphs>
  <ScaleCrop>false</ScaleCrop>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owner's</dc:creator>
  <cp:keywords/>
  <dc:description/>
  <cp:lastModifiedBy>owner's</cp:lastModifiedBy>
  <cp:revision>2</cp:revision>
  <dcterms:created xsi:type="dcterms:W3CDTF">2026-02-25T19:24:00Z</dcterms:created>
  <dcterms:modified xsi:type="dcterms:W3CDTF">2026-02-25T19:24:00Z</dcterms:modified>
</cp:coreProperties>
</file>