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46DE" w14:textId="77777777" w:rsidR="00430C7D" w:rsidRPr="00430C7D" w:rsidRDefault="00430C7D" w:rsidP="00430C7D">
      <w:pPr>
        <w:rPr>
          <w:rFonts w:ascii="Times New Roman" w:hAnsi="Times New Roman" w:cs="Times New Roman"/>
          <w:sz w:val="24"/>
          <w:szCs w:val="24"/>
        </w:rPr>
      </w:pPr>
      <w:r w:rsidRPr="00430C7D">
        <w:rPr>
          <w:rFonts w:ascii="Times New Roman" w:hAnsi="Times New Roman" w:cs="Times New Roman"/>
          <w:b/>
          <w:bCs/>
          <w:sz w:val="24"/>
          <w:szCs w:val="24"/>
        </w:rPr>
        <w:t>Week 2 – Stock Market Fundamentals &amp; Financial Statement Analysis</w:t>
      </w:r>
    </w:p>
    <w:p w14:paraId="4CD49C4C" w14:textId="77777777" w:rsidR="00430C7D" w:rsidRPr="00430C7D" w:rsidRDefault="00430C7D" w:rsidP="00430C7D">
      <w:pPr>
        <w:rPr>
          <w:rFonts w:ascii="Times New Roman" w:hAnsi="Times New Roman" w:cs="Times New Roman"/>
          <w:sz w:val="24"/>
          <w:szCs w:val="24"/>
        </w:rPr>
      </w:pPr>
      <w:r w:rsidRPr="00430C7D">
        <w:rPr>
          <w:rFonts w:ascii="Times New Roman" w:hAnsi="Times New Roman" w:cs="Times New Roman"/>
          <w:b/>
          <w:bCs/>
          <w:sz w:val="24"/>
          <w:szCs w:val="24"/>
        </w:rPr>
        <w:t>Name:</w:t>
      </w:r>
      <w:r w:rsidRPr="00430C7D">
        <w:rPr>
          <w:rFonts w:ascii="Times New Roman" w:hAnsi="Times New Roman" w:cs="Times New Roman"/>
          <w:sz w:val="24"/>
          <w:szCs w:val="24"/>
        </w:rPr>
        <w:t xml:space="preserve"> Pranjali Sus</w:t>
      </w:r>
      <w:r w:rsidRPr="00430C7D">
        <w:rPr>
          <w:rFonts w:ascii="Times New Roman" w:hAnsi="Times New Roman" w:cs="Times New Roman"/>
          <w:sz w:val="24"/>
          <w:szCs w:val="24"/>
        </w:rPr>
        <w:br/>
      </w:r>
      <w:r w:rsidRPr="00430C7D">
        <w:rPr>
          <w:rFonts w:ascii="Times New Roman" w:hAnsi="Times New Roman" w:cs="Times New Roman"/>
          <w:b/>
          <w:bCs/>
          <w:sz w:val="24"/>
          <w:szCs w:val="24"/>
        </w:rPr>
        <w:t>Internship:</w:t>
      </w:r>
      <w:r w:rsidRPr="00430C7D">
        <w:rPr>
          <w:rFonts w:ascii="Times New Roman" w:hAnsi="Times New Roman" w:cs="Times New Roman"/>
          <w:sz w:val="24"/>
          <w:szCs w:val="24"/>
        </w:rPr>
        <w:t xml:space="preserve"> </w:t>
      </w:r>
      <w:proofErr w:type="spellStart"/>
      <w:r w:rsidRPr="00430C7D">
        <w:rPr>
          <w:rFonts w:ascii="Times New Roman" w:hAnsi="Times New Roman" w:cs="Times New Roman"/>
          <w:sz w:val="24"/>
          <w:szCs w:val="24"/>
        </w:rPr>
        <w:t>Bluestock</w:t>
      </w:r>
      <w:proofErr w:type="spellEnd"/>
      <w:r w:rsidRPr="00430C7D">
        <w:rPr>
          <w:rFonts w:ascii="Times New Roman" w:hAnsi="Times New Roman" w:cs="Times New Roman"/>
          <w:sz w:val="24"/>
          <w:szCs w:val="24"/>
        </w:rPr>
        <w:t xml:space="preserve"> Fintech</w:t>
      </w:r>
      <w:r w:rsidRPr="00430C7D">
        <w:rPr>
          <w:rFonts w:ascii="Times New Roman" w:hAnsi="Times New Roman" w:cs="Times New Roman"/>
          <w:sz w:val="24"/>
          <w:szCs w:val="24"/>
        </w:rPr>
        <w:br/>
      </w:r>
      <w:r w:rsidRPr="00430C7D">
        <w:rPr>
          <w:rFonts w:ascii="Times New Roman" w:hAnsi="Times New Roman" w:cs="Times New Roman"/>
          <w:b/>
          <w:bCs/>
          <w:sz w:val="24"/>
          <w:szCs w:val="24"/>
        </w:rPr>
        <w:t>Task:</w:t>
      </w:r>
      <w:r w:rsidRPr="00430C7D">
        <w:rPr>
          <w:rFonts w:ascii="Times New Roman" w:hAnsi="Times New Roman" w:cs="Times New Roman"/>
          <w:sz w:val="24"/>
          <w:szCs w:val="24"/>
        </w:rPr>
        <w:t xml:space="preserve"> Stock Market Fundamentals</w:t>
      </w:r>
      <w:r w:rsidRPr="00430C7D">
        <w:rPr>
          <w:rFonts w:ascii="Times New Roman" w:hAnsi="Times New Roman" w:cs="Times New Roman"/>
          <w:sz w:val="24"/>
          <w:szCs w:val="24"/>
        </w:rPr>
        <w:br/>
      </w:r>
      <w:r w:rsidRPr="00430C7D">
        <w:rPr>
          <w:rFonts w:ascii="Times New Roman" w:hAnsi="Times New Roman" w:cs="Times New Roman"/>
          <w:b/>
          <w:bCs/>
          <w:sz w:val="24"/>
          <w:szCs w:val="24"/>
        </w:rPr>
        <w:t xml:space="preserve">Company </w:t>
      </w:r>
      <w:proofErr w:type="spellStart"/>
      <w:r w:rsidRPr="00430C7D">
        <w:rPr>
          <w:rFonts w:ascii="Times New Roman" w:hAnsi="Times New Roman" w:cs="Times New Roman"/>
          <w:b/>
          <w:bCs/>
          <w:sz w:val="24"/>
          <w:szCs w:val="24"/>
        </w:rPr>
        <w:t>Analyzed</w:t>
      </w:r>
      <w:proofErr w:type="spellEnd"/>
      <w:r w:rsidRPr="00430C7D">
        <w:rPr>
          <w:rFonts w:ascii="Times New Roman" w:hAnsi="Times New Roman" w:cs="Times New Roman"/>
          <w:b/>
          <w:bCs/>
          <w:sz w:val="24"/>
          <w:szCs w:val="24"/>
        </w:rPr>
        <w:t>:</w:t>
      </w:r>
      <w:r w:rsidRPr="00430C7D">
        <w:rPr>
          <w:rFonts w:ascii="Times New Roman" w:hAnsi="Times New Roman" w:cs="Times New Roman"/>
          <w:sz w:val="24"/>
          <w:szCs w:val="24"/>
        </w:rPr>
        <w:t xml:space="preserve"> Infosys Limited</w:t>
      </w:r>
      <w:r w:rsidRPr="00430C7D">
        <w:rPr>
          <w:rFonts w:ascii="Times New Roman" w:hAnsi="Times New Roman" w:cs="Times New Roman"/>
          <w:sz w:val="24"/>
          <w:szCs w:val="24"/>
        </w:rPr>
        <w:br/>
      </w:r>
      <w:r w:rsidRPr="00430C7D">
        <w:rPr>
          <w:rFonts w:ascii="Times New Roman" w:hAnsi="Times New Roman" w:cs="Times New Roman"/>
          <w:b/>
          <w:bCs/>
          <w:sz w:val="24"/>
          <w:szCs w:val="24"/>
        </w:rPr>
        <w:t>Financial Year:</w:t>
      </w:r>
      <w:r w:rsidRPr="00430C7D">
        <w:rPr>
          <w:rFonts w:ascii="Times New Roman" w:hAnsi="Times New Roman" w:cs="Times New Roman"/>
          <w:sz w:val="24"/>
          <w:szCs w:val="24"/>
        </w:rPr>
        <w:t xml:space="preserve"> FY2025–26</w:t>
      </w:r>
    </w:p>
    <w:p w14:paraId="137CEDCC" w14:textId="4B47C060" w:rsidR="00430C7D" w:rsidRPr="00430C7D" w:rsidRDefault="00430C7D" w:rsidP="00430C7D">
      <w:pPr>
        <w:rPr>
          <w:rFonts w:ascii="Times New Roman" w:hAnsi="Times New Roman" w:cs="Times New Roman"/>
          <w:sz w:val="24"/>
          <w:szCs w:val="24"/>
        </w:rPr>
      </w:pPr>
    </w:p>
    <w:p w14:paraId="3ABB6AF3"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1. Stock Market Fundamentals</w:t>
      </w:r>
    </w:p>
    <w:p w14:paraId="4302BCD3"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What is a Stock Market?</w:t>
      </w:r>
    </w:p>
    <w:p w14:paraId="5B12CE9B" w14:textId="77777777" w:rsid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A stock market is a marketplace where shares and other securities of publicly listed companies are bought and sold.</w:t>
      </w:r>
    </w:p>
    <w:p w14:paraId="5372457F" w14:textId="77777777" w:rsidR="00430C7D" w:rsidRPr="00430C7D" w:rsidRDefault="00430C7D" w:rsidP="00430C7D">
      <w:pPr>
        <w:jc w:val="both"/>
        <w:rPr>
          <w:rFonts w:ascii="Times New Roman" w:hAnsi="Times New Roman" w:cs="Times New Roman"/>
          <w:sz w:val="24"/>
          <w:szCs w:val="24"/>
        </w:rPr>
      </w:pPr>
    </w:p>
    <w:p w14:paraId="7B8CF5FC"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NSE &amp; BSE</w:t>
      </w:r>
    </w:p>
    <w:p w14:paraId="69C5B10A"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NSE (National Stock Exchange) and BSE (Bombay Stock Exchange) are India's two major stock exchanges. Infosys is listed on both NSE and BSE. (</w:t>
      </w:r>
      <w:hyperlink r:id="rId5" w:tooltip="Investor Frequently Asked Questions (FAQs) | Infosys"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0E886A7A" w14:textId="77777777" w:rsidR="00430C7D" w:rsidRPr="00430C7D" w:rsidRDefault="00430C7D" w:rsidP="00430C7D">
      <w:pPr>
        <w:jc w:val="both"/>
        <w:rPr>
          <w:rFonts w:ascii="Times New Roman" w:hAnsi="Times New Roman" w:cs="Times New Roman"/>
          <w:sz w:val="24"/>
          <w:szCs w:val="24"/>
        </w:rPr>
      </w:pPr>
    </w:p>
    <w:p w14:paraId="6025CD6F"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Nifty &amp; Sensex</w:t>
      </w:r>
    </w:p>
    <w:p w14:paraId="2546FE62"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Nifty 50 is a major benchmark index of NSE, while Sensex is a major benchmark index of BSE. They are used to track the performance of selected major companies.</w:t>
      </w:r>
    </w:p>
    <w:p w14:paraId="45EEB70E" w14:textId="77777777" w:rsidR="00430C7D" w:rsidRPr="00430C7D" w:rsidRDefault="00430C7D" w:rsidP="00430C7D">
      <w:pPr>
        <w:jc w:val="both"/>
        <w:rPr>
          <w:rFonts w:ascii="Times New Roman" w:hAnsi="Times New Roman" w:cs="Times New Roman"/>
          <w:sz w:val="24"/>
          <w:szCs w:val="24"/>
        </w:rPr>
      </w:pPr>
    </w:p>
    <w:p w14:paraId="2F99AE06"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IPO &amp; SME IPO</w:t>
      </w:r>
    </w:p>
    <w:p w14:paraId="35B5ED67"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An IPO (Initial Public Offering) is the first public offering of a company's shares. An SME IPO is an IPO for a qualifying small or medium enterprise.</w:t>
      </w:r>
    </w:p>
    <w:p w14:paraId="55BCB2A6" w14:textId="77777777" w:rsidR="00430C7D" w:rsidRPr="00430C7D" w:rsidRDefault="00430C7D" w:rsidP="00430C7D">
      <w:pPr>
        <w:jc w:val="both"/>
        <w:rPr>
          <w:rFonts w:ascii="Times New Roman" w:hAnsi="Times New Roman" w:cs="Times New Roman"/>
          <w:sz w:val="24"/>
          <w:szCs w:val="24"/>
        </w:rPr>
      </w:pPr>
    </w:p>
    <w:p w14:paraId="1F615E5D"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Market Capitalization</w:t>
      </w:r>
    </w:p>
    <w:p w14:paraId="756DD65F"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Market capitalization represents the market value of a company's outstanding shares.</w:t>
      </w:r>
    </w:p>
    <w:p w14:paraId="11C5EA62"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Market Capitalization = Share Price × Outstanding Shares</w:t>
      </w:r>
    </w:p>
    <w:p w14:paraId="012B2326" w14:textId="77777777" w:rsidR="00430C7D" w:rsidRPr="00430C7D" w:rsidRDefault="00430C7D" w:rsidP="00430C7D">
      <w:pPr>
        <w:jc w:val="both"/>
        <w:rPr>
          <w:rFonts w:ascii="Times New Roman" w:hAnsi="Times New Roman" w:cs="Times New Roman"/>
          <w:sz w:val="24"/>
          <w:szCs w:val="24"/>
        </w:rPr>
      </w:pPr>
    </w:p>
    <w:p w14:paraId="70BD6C6B"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P/E Ratio</w:t>
      </w:r>
    </w:p>
    <w:p w14:paraId="2DF53544"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The Price-to-Earnings (P/E) ratio compares a company's market price per share with its earnings per share.</w:t>
      </w:r>
    </w:p>
    <w:p w14:paraId="330936DD"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P/E = Market Price per Share ÷ EPS</w:t>
      </w:r>
    </w:p>
    <w:p w14:paraId="0EB2EE3A" w14:textId="77777777" w:rsidR="00430C7D" w:rsidRDefault="00430C7D" w:rsidP="00430C7D">
      <w:pPr>
        <w:jc w:val="both"/>
        <w:rPr>
          <w:rFonts w:ascii="Times New Roman" w:hAnsi="Times New Roman" w:cs="Times New Roman"/>
          <w:sz w:val="24"/>
          <w:szCs w:val="24"/>
        </w:rPr>
      </w:pPr>
    </w:p>
    <w:p w14:paraId="6AD1AAC5" w14:textId="77777777" w:rsidR="00430C7D" w:rsidRPr="00430C7D" w:rsidRDefault="00430C7D" w:rsidP="00430C7D">
      <w:pPr>
        <w:jc w:val="both"/>
        <w:rPr>
          <w:rFonts w:ascii="Times New Roman" w:hAnsi="Times New Roman" w:cs="Times New Roman"/>
          <w:sz w:val="24"/>
          <w:szCs w:val="24"/>
        </w:rPr>
      </w:pPr>
    </w:p>
    <w:p w14:paraId="038A88DE"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lastRenderedPageBreak/>
        <w:t>P/B Ratio</w:t>
      </w:r>
    </w:p>
    <w:p w14:paraId="74B1522F"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The Price-to-Book (P/B) ratio compares market price per share with book value per share.</w:t>
      </w:r>
    </w:p>
    <w:p w14:paraId="550EBD3D" w14:textId="77777777" w:rsidR="00430C7D" w:rsidRPr="00430C7D" w:rsidRDefault="00430C7D" w:rsidP="00430C7D">
      <w:pPr>
        <w:jc w:val="both"/>
        <w:rPr>
          <w:rFonts w:ascii="Times New Roman" w:hAnsi="Times New Roman" w:cs="Times New Roman"/>
          <w:sz w:val="24"/>
          <w:szCs w:val="24"/>
        </w:rPr>
      </w:pPr>
    </w:p>
    <w:p w14:paraId="51AAD55A"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EPS</w:t>
      </w:r>
    </w:p>
    <w:p w14:paraId="21C7B656"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Earnings Per Share (EPS) represents the earnings attributable to each outstanding share.</w:t>
      </w:r>
    </w:p>
    <w:p w14:paraId="625B0DD3" w14:textId="77777777" w:rsidR="00430C7D" w:rsidRPr="00430C7D" w:rsidRDefault="00430C7D" w:rsidP="00430C7D">
      <w:pPr>
        <w:jc w:val="both"/>
        <w:rPr>
          <w:rFonts w:ascii="Times New Roman" w:hAnsi="Times New Roman" w:cs="Times New Roman"/>
          <w:sz w:val="24"/>
          <w:szCs w:val="24"/>
        </w:rPr>
      </w:pPr>
    </w:p>
    <w:p w14:paraId="05AAD684"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Dividend</w:t>
      </w:r>
    </w:p>
    <w:p w14:paraId="05F42E32" w14:textId="77777777" w:rsid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A dividend is a distribution of a company's profits to shareholders.</w:t>
      </w:r>
    </w:p>
    <w:p w14:paraId="3C15FEF3" w14:textId="77777777" w:rsidR="00430C7D" w:rsidRPr="00430C7D" w:rsidRDefault="00430C7D" w:rsidP="00430C7D">
      <w:pPr>
        <w:jc w:val="both"/>
        <w:rPr>
          <w:rFonts w:ascii="Times New Roman" w:hAnsi="Times New Roman" w:cs="Times New Roman"/>
          <w:sz w:val="24"/>
          <w:szCs w:val="24"/>
        </w:rPr>
      </w:pPr>
    </w:p>
    <w:p w14:paraId="039CD609"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Bonus &amp; Stock Split</w:t>
      </w:r>
    </w:p>
    <w:p w14:paraId="32CBCEA5"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A bonus issue provides additional shares to existing shareholders. A stock split divides existing shares into smaller denominations.</w:t>
      </w:r>
    </w:p>
    <w:p w14:paraId="38CDC794" w14:textId="77777777" w:rsidR="00430C7D" w:rsidRPr="00430C7D" w:rsidRDefault="00430C7D" w:rsidP="00430C7D">
      <w:pPr>
        <w:jc w:val="both"/>
        <w:rPr>
          <w:rFonts w:ascii="Times New Roman" w:hAnsi="Times New Roman" w:cs="Times New Roman"/>
          <w:sz w:val="24"/>
          <w:szCs w:val="24"/>
        </w:rPr>
      </w:pPr>
    </w:p>
    <w:p w14:paraId="4FC34C55"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Trading Volume</w:t>
      </w:r>
    </w:p>
    <w:p w14:paraId="12544228" w14:textId="77777777" w:rsid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Trading volume represents the number of shares traded during a particular period and indicates the level of trading activity.</w:t>
      </w:r>
    </w:p>
    <w:p w14:paraId="2791FF6C" w14:textId="77777777" w:rsidR="00430C7D" w:rsidRPr="00430C7D" w:rsidRDefault="00430C7D" w:rsidP="00430C7D">
      <w:pPr>
        <w:jc w:val="both"/>
        <w:rPr>
          <w:rFonts w:ascii="Times New Roman" w:hAnsi="Times New Roman" w:cs="Times New Roman"/>
          <w:sz w:val="24"/>
          <w:szCs w:val="24"/>
        </w:rPr>
      </w:pPr>
    </w:p>
    <w:p w14:paraId="457AB3E0"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Financial Statements</w:t>
      </w:r>
    </w:p>
    <w:p w14:paraId="0F536CD3"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The three major financial statements are:</w:t>
      </w:r>
    </w:p>
    <w:p w14:paraId="0E8282F8" w14:textId="77777777" w:rsidR="00430C7D" w:rsidRPr="00430C7D" w:rsidRDefault="00430C7D" w:rsidP="00430C7D">
      <w:pPr>
        <w:numPr>
          <w:ilvl w:val="0"/>
          <w:numId w:val="1"/>
        </w:numPr>
        <w:jc w:val="both"/>
        <w:rPr>
          <w:rFonts w:ascii="Times New Roman" w:hAnsi="Times New Roman" w:cs="Times New Roman"/>
          <w:sz w:val="24"/>
          <w:szCs w:val="24"/>
        </w:rPr>
      </w:pPr>
      <w:r w:rsidRPr="00430C7D">
        <w:rPr>
          <w:rFonts w:ascii="Times New Roman" w:hAnsi="Times New Roman" w:cs="Times New Roman"/>
          <w:sz w:val="24"/>
          <w:szCs w:val="24"/>
        </w:rPr>
        <w:t>Balance Sheet: Shows assets, liabilities and equity at a particular date.</w:t>
      </w:r>
    </w:p>
    <w:p w14:paraId="3FE70CEE" w14:textId="77777777" w:rsidR="00430C7D" w:rsidRPr="00430C7D" w:rsidRDefault="00430C7D" w:rsidP="00430C7D">
      <w:pPr>
        <w:numPr>
          <w:ilvl w:val="0"/>
          <w:numId w:val="1"/>
        </w:numPr>
        <w:jc w:val="both"/>
        <w:rPr>
          <w:rFonts w:ascii="Times New Roman" w:hAnsi="Times New Roman" w:cs="Times New Roman"/>
          <w:sz w:val="24"/>
          <w:szCs w:val="24"/>
        </w:rPr>
      </w:pPr>
      <w:r w:rsidRPr="00430C7D">
        <w:rPr>
          <w:rFonts w:ascii="Times New Roman" w:hAnsi="Times New Roman" w:cs="Times New Roman"/>
          <w:sz w:val="24"/>
          <w:szCs w:val="24"/>
        </w:rPr>
        <w:t>Profit &amp; Loss Statement: Shows revenue, expenses and profit/loss over a period.</w:t>
      </w:r>
    </w:p>
    <w:p w14:paraId="1DE7E014" w14:textId="77777777" w:rsidR="00430C7D" w:rsidRPr="00430C7D" w:rsidRDefault="00430C7D" w:rsidP="00430C7D">
      <w:pPr>
        <w:numPr>
          <w:ilvl w:val="0"/>
          <w:numId w:val="1"/>
        </w:numPr>
        <w:jc w:val="both"/>
        <w:rPr>
          <w:rFonts w:ascii="Times New Roman" w:hAnsi="Times New Roman" w:cs="Times New Roman"/>
          <w:sz w:val="24"/>
          <w:szCs w:val="24"/>
        </w:rPr>
      </w:pPr>
      <w:r w:rsidRPr="00430C7D">
        <w:rPr>
          <w:rFonts w:ascii="Times New Roman" w:hAnsi="Times New Roman" w:cs="Times New Roman"/>
          <w:sz w:val="24"/>
          <w:szCs w:val="24"/>
        </w:rPr>
        <w:t>Cash Flow Statement: Shows cash flows from operating, investing and financing activities.</w:t>
      </w:r>
    </w:p>
    <w:p w14:paraId="5EDC11D3" w14:textId="77777777" w:rsidR="00430C7D" w:rsidRDefault="00430C7D" w:rsidP="00430C7D">
      <w:pPr>
        <w:jc w:val="both"/>
        <w:rPr>
          <w:rFonts w:ascii="Times New Roman" w:hAnsi="Times New Roman" w:cs="Times New Roman"/>
          <w:b/>
          <w:bCs/>
          <w:sz w:val="24"/>
          <w:szCs w:val="24"/>
        </w:rPr>
      </w:pPr>
    </w:p>
    <w:p w14:paraId="638C1C08" w14:textId="2700A58E"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Basic Financial Ratios</w:t>
      </w:r>
    </w:p>
    <w:p w14:paraId="111C44A9"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Important ratios include P/E, P/B, EPS, ROE, ROA, Debt-to-Equity, Current Ratio, Net Profit Margin and Operating Margin.</w:t>
      </w:r>
    </w:p>
    <w:p w14:paraId="0482D480" w14:textId="3BA4B24E" w:rsidR="00430C7D" w:rsidRPr="00430C7D" w:rsidRDefault="00430C7D" w:rsidP="00430C7D">
      <w:pPr>
        <w:jc w:val="both"/>
        <w:rPr>
          <w:rFonts w:ascii="Times New Roman" w:hAnsi="Times New Roman" w:cs="Times New Roman"/>
          <w:sz w:val="24"/>
          <w:szCs w:val="24"/>
        </w:rPr>
      </w:pPr>
    </w:p>
    <w:p w14:paraId="2A1EE275"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 Infosys Financial Statement Analysis</w:t>
      </w:r>
    </w:p>
    <w:p w14:paraId="7DE25F91"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Company Overview</w:t>
      </w:r>
    </w:p>
    <w:p w14:paraId="767E501A" w14:textId="50533E1B"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 xml:space="preserve">Infosys Limited is an Indian multinational information technology services and consulting company. Its equity shares are listed on both NSE and BSE under the symbol INFY. The </w:t>
      </w:r>
      <w:r w:rsidRPr="00430C7D">
        <w:rPr>
          <w:rFonts w:ascii="Times New Roman" w:hAnsi="Times New Roman" w:cs="Times New Roman"/>
          <w:sz w:val="24"/>
          <w:szCs w:val="24"/>
        </w:rPr>
        <w:lastRenderedPageBreak/>
        <w:t>analysis below uses Infosys' consolidated financial information for FY2025 and FY2026. (</w:t>
      </w:r>
      <w:hyperlink r:id="rId6" w:tooltip="Investor Frequently Asked Questions (FAQs) | Infosys"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66D3DB45"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2.1 Profit &amp; Loss Analysis</w:t>
      </w:r>
    </w:p>
    <w:tbl>
      <w:tblPr>
        <w:tblStyle w:val="TableGrid"/>
        <w:tblW w:w="0" w:type="auto"/>
        <w:tblLook w:val="04A0" w:firstRow="1" w:lastRow="0" w:firstColumn="1" w:lastColumn="0" w:noHBand="0" w:noVBand="1"/>
      </w:tblPr>
      <w:tblGrid>
        <w:gridCol w:w="1938"/>
        <w:gridCol w:w="1476"/>
        <w:gridCol w:w="1476"/>
        <w:gridCol w:w="1003"/>
      </w:tblGrid>
      <w:tr w:rsidR="00430C7D" w:rsidRPr="00430C7D" w14:paraId="4ED7FFDB" w14:textId="77777777" w:rsidTr="00430C7D">
        <w:tc>
          <w:tcPr>
            <w:tcW w:w="0" w:type="auto"/>
            <w:hideMark/>
          </w:tcPr>
          <w:p w14:paraId="688FE092"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Particular</w:t>
            </w:r>
          </w:p>
        </w:tc>
        <w:tc>
          <w:tcPr>
            <w:tcW w:w="0" w:type="auto"/>
            <w:hideMark/>
          </w:tcPr>
          <w:p w14:paraId="72A74090"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FY2025</w:t>
            </w:r>
          </w:p>
        </w:tc>
        <w:tc>
          <w:tcPr>
            <w:tcW w:w="0" w:type="auto"/>
            <w:hideMark/>
          </w:tcPr>
          <w:p w14:paraId="1564DA5D"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FY2026</w:t>
            </w:r>
          </w:p>
        </w:tc>
        <w:tc>
          <w:tcPr>
            <w:tcW w:w="0" w:type="auto"/>
            <w:hideMark/>
          </w:tcPr>
          <w:p w14:paraId="5919D39C"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Change</w:t>
            </w:r>
          </w:p>
        </w:tc>
      </w:tr>
      <w:tr w:rsidR="00430C7D" w:rsidRPr="00430C7D" w14:paraId="78A5C863" w14:textId="77777777" w:rsidTr="00430C7D">
        <w:tc>
          <w:tcPr>
            <w:tcW w:w="0" w:type="auto"/>
            <w:hideMark/>
          </w:tcPr>
          <w:p w14:paraId="4F7F5BE2"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Revenue</w:t>
            </w:r>
          </w:p>
        </w:tc>
        <w:tc>
          <w:tcPr>
            <w:tcW w:w="0" w:type="auto"/>
            <w:hideMark/>
          </w:tcPr>
          <w:p w14:paraId="63F4D972"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₹1,62,990 Cr</w:t>
            </w:r>
          </w:p>
        </w:tc>
        <w:tc>
          <w:tcPr>
            <w:tcW w:w="0" w:type="auto"/>
            <w:hideMark/>
          </w:tcPr>
          <w:p w14:paraId="4346DD47"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₹1,78,650 Cr</w:t>
            </w:r>
          </w:p>
        </w:tc>
        <w:tc>
          <w:tcPr>
            <w:tcW w:w="0" w:type="auto"/>
            <w:hideMark/>
          </w:tcPr>
          <w:p w14:paraId="10A3D818"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+9.6%</w:t>
            </w:r>
          </w:p>
        </w:tc>
      </w:tr>
      <w:tr w:rsidR="00430C7D" w:rsidRPr="00430C7D" w14:paraId="33E05247" w14:textId="77777777" w:rsidTr="00430C7D">
        <w:tc>
          <w:tcPr>
            <w:tcW w:w="0" w:type="auto"/>
            <w:hideMark/>
          </w:tcPr>
          <w:p w14:paraId="0B057C99"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Operating Profit</w:t>
            </w:r>
          </w:p>
        </w:tc>
        <w:tc>
          <w:tcPr>
            <w:tcW w:w="0" w:type="auto"/>
            <w:hideMark/>
          </w:tcPr>
          <w:p w14:paraId="6C89AC28"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₹34,424 Cr</w:t>
            </w:r>
          </w:p>
        </w:tc>
        <w:tc>
          <w:tcPr>
            <w:tcW w:w="0" w:type="auto"/>
            <w:hideMark/>
          </w:tcPr>
          <w:p w14:paraId="789E6BAB"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₹36,254 Cr</w:t>
            </w:r>
          </w:p>
        </w:tc>
        <w:tc>
          <w:tcPr>
            <w:tcW w:w="0" w:type="auto"/>
            <w:hideMark/>
          </w:tcPr>
          <w:p w14:paraId="70958A1C"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+5.3%</w:t>
            </w:r>
          </w:p>
        </w:tc>
      </w:tr>
      <w:tr w:rsidR="00430C7D" w:rsidRPr="00430C7D" w14:paraId="76B4F7BC" w14:textId="77777777" w:rsidTr="00430C7D">
        <w:tc>
          <w:tcPr>
            <w:tcW w:w="0" w:type="auto"/>
            <w:hideMark/>
          </w:tcPr>
          <w:p w14:paraId="3FC13C3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Net Profit</w:t>
            </w:r>
          </w:p>
        </w:tc>
        <w:tc>
          <w:tcPr>
            <w:tcW w:w="0" w:type="auto"/>
            <w:hideMark/>
          </w:tcPr>
          <w:p w14:paraId="7330F72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₹26,713 Cr</w:t>
            </w:r>
          </w:p>
        </w:tc>
        <w:tc>
          <w:tcPr>
            <w:tcW w:w="0" w:type="auto"/>
            <w:hideMark/>
          </w:tcPr>
          <w:p w14:paraId="388785B0"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₹29,440 Cr</w:t>
            </w:r>
          </w:p>
        </w:tc>
        <w:tc>
          <w:tcPr>
            <w:tcW w:w="0" w:type="auto"/>
            <w:hideMark/>
          </w:tcPr>
          <w:p w14:paraId="4220930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+10.2%</w:t>
            </w:r>
          </w:p>
        </w:tc>
      </w:tr>
      <w:tr w:rsidR="00430C7D" w:rsidRPr="00430C7D" w14:paraId="255C26F3" w14:textId="77777777" w:rsidTr="00430C7D">
        <w:tc>
          <w:tcPr>
            <w:tcW w:w="0" w:type="auto"/>
            <w:hideMark/>
          </w:tcPr>
          <w:p w14:paraId="1790EE18"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EPS</w:t>
            </w:r>
          </w:p>
        </w:tc>
        <w:tc>
          <w:tcPr>
            <w:tcW w:w="0" w:type="auto"/>
            <w:hideMark/>
          </w:tcPr>
          <w:p w14:paraId="2E0ADFD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₹64.50</w:t>
            </w:r>
          </w:p>
        </w:tc>
        <w:tc>
          <w:tcPr>
            <w:tcW w:w="0" w:type="auto"/>
            <w:hideMark/>
          </w:tcPr>
          <w:p w14:paraId="723B169F"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₹71.58</w:t>
            </w:r>
          </w:p>
        </w:tc>
        <w:tc>
          <w:tcPr>
            <w:tcW w:w="0" w:type="auto"/>
            <w:hideMark/>
          </w:tcPr>
          <w:p w14:paraId="5FDFBCD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+11.0%</w:t>
            </w:r>
          </w:p>
        </w:tc>
      </w:tr>
      <w:tr w:rsidR="00430C7D" w:rsidRPr="00430C7D" w14:paraId="0024DF19" w14:textId="77777777" w:rsidTr="00430C7D">
        <w:tc>
          <w:tcPr>
            <w:tcW w:w="0" w:type="auto"/>
            <w:hideMark/>
          </w:tcPr>
          <w:p w14:paraId="5B4EFD82"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Operating Margin</w:t>
            </w:r>
          </w:p>
        </w:tc>
        <w:tc>
          <w:tcPr>
            <w:tcW w:w="0" w:type="auto"/>
            <w:hideMark/>
          </w:tcPr>
          <w:p w14:paraId="00605E24"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21.1%</w:t>
            </w:r>
          </w:p>
        </w:tc>
        <w:tc>
          <w:tcPr>
            <w:tcW w:w="0" w:type="auto"/>
            <w:hideMark/>
          </w:tcPr>
          <w:p w14:paraId="0C082C80"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20.3%</w:t>
            </w:r>
          </w:p>
        </w:tc>
        <w:tc>
          <w:tcPr>
            <w:tcW w:w="0" w:type="auto"/>
            <w:hideMark/>
          </w:tcPr>
          <w:p w14:paraId="309FDE6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-0.8 pp</w:t>
            </w:r>
          </w:p>
        </w:tc>
      </w:tr>
    </w:tbl>
    <w:p w14:paraId="218F6EB4"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Source: Infosys official FY2026 financial snapshot. (</w:t>
      </w:r>
      <w:hyperlink r:id="rId7" w:tooltip="Infosys – 4th Quarter, 2025-2026: IFRS | Financial Snapshot"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1696BC75"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Analysis</w:t>
      </w:r>
    </w:p>
    <w:p w14:paraId="2FC8A28B"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Infosys' revenue increased by 9.6%, while net profit increased by 10.2%. EPS increased by 11.0%, indicating higher earnings per share. However, operating margin decreased from 21.1% to 20.3%, indicating some pressure on operating profitability. Infosys reported that FY2026 operating profit included ₹1,289 crore of provisions related to India's Labour Codes. (</w:t>
      </w:r>
      <w:hyperlink r:id="rId8" w:tooltip="Infosys – 4th Quarter, 2025-2026: IFRS | Financial Snapshot"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3F107C03" w14:textId="194B9B4D" w:rsidR="00430C7D" w:rsidRPr="00430C7D" w:rsidRDefault="00430C7D" w:rsidP="00430C7D">
      <w:pPr>
        <w:jc w:val="both"/>
        <w:rPr>
          <w:rFonts w:ascii="Times New Roman" w:hAnsi="Times New Roman" w:cs="Times New Roman"/>
          <w:sz w:val="24"/>
          <w:szCs w:val="24"/>
        </w:rPr>
      </w:pPr>
    </w:p>
    <w:p w14:paraId="7672422F"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2.2 Balance Sheet Analysis</w:t>
      </w:r>
    </w:p>
    <w:tbl>
      <w:tblPr>
        <w:tblStyle w:val="TableGrid"/>
        <w:tblW w:w="0" w:type="auto"/>
        <w:tblLook w:val="04A0" w:firstRow="1" w:lastRow="0" w:firstColumn="1" w:lastColumn="0" w:noHBand="0" w:noVBand="1"/>
      </w:tblPr>
      <w:tblGrid>
        <w:gridCol w:w="2136"/>
        <w:gridCol w:w="1476"/>
        <w:gridCol w:w="1476"/>
      </w:tblGrid>
      <w:tr w:rsidR="00430C7D" w:rsidRPr="00430C7D" w14:paraId="1CE12E6A" w14:textId="77777777" w:rsidTr="00430C7D">
        <w:tc>
          <w:tcPr>
            <w:tcW w:w="0" w:type="auto"/>
            <w:hideMark/>
          </w:tcPr>
          <w:p w14:paraId="18620B59"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Particular</w:t>
            </w:r>
          </w:p>
        </w:tc>
        <w:tc>
          <w:tcPr>
            <w:tcW w:w="0" w:type="auto"/>
            <w:hideMark/>
          </w:tcPr>
          <w:p w14:paraId="045A1BFE"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FY2025</w:t>
            </w:r>
          </w:p>
        </w:tc>
        <w:tc>
          <w:tcPr>
            <w:tcW w:w="0" w:type="auto"/>
            <w:hideMark/>
          </w:tcPr>
          <w:p w14:paraId="0FF09DC4"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FY2026</w:t>
            </w:r>
          </w:p>
        </w:tc>
      </w:tr>
      <w:tr w:rsidR="00430C7D" w:rsidRPr="00430C7D" w14:paraId="5C113C26" w14:textId="77777777" w:rsidTr="00430C7D">
        <w:tc>
          <w:tcPr>
            <w:tcW w:w="0" w:type="auto"/>
            <w:hideMark/>
          </w:tcPr>
          <w:p w14:paraId="05BE538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Total Assets</w:t>
            </w:r>
          </w:p>
        </w:tc>
        <w:tc>
          <w:tcPr>
            <w:tcW w:w="0" w:type="auto"/>
            <w:hideMark/>
          </w:tcPr>
          <w:p w14:paraId="71982727"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₹1,48,903 Cr</w:t>
            </w:r>
          </w:p>
        </w:tc>
        <w:tc>
          <w:tcPr>
            <w:tcW w:w="0" w:type="auto"/>
            <w:hideMark/>
          </w:tcPr>
          <w:p w14:paraId="752308B0"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₹1,55,967 Cr</w:t>
            </w:r>
          </w:p>
        </w:tc>
      </w:tr>
      <w:tr w:rsidR="00430C7D" w:rsidRPr="00430C7D" w14:paraId="13BC6554" w14:textId="77777777" w:rsidTr="00430C7D">
        <w:tc>
          <w:tcPr>
            <w:tcW w:w="0" w:type="auto"/>
            <w:hideMark/>
          </w:tcPr>
          <w:p w14:paraId="1C3D738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Total Equity</w:t>
            </w:r>
          </w:p>
        </w:tc>
        <w:tc>
          <w:tcPr>
            <w:tcW w:w="0" w:type="auto"/>
            <w:hideMark/>
          </w:tcPr>
          <w:p w14:paraId="7C857680"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₹96,203 Cr</w:t>
            </w:r>
          </w:p>
        </w:tc>
        <w:tc>
          <w:tcPr>
            <w:tcW w:w="0" w:type="auto"/>
            <w:hideMark/>
          </w:tcPr>
          <w:p w14:paraId="27200DC1"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₹93,297 Cr</w:t>
            </w:r>
          </w:p>
        </w:tc>
      </w:tr>
      <w:tr w:rsidR="00430C7D" w:rsidRPr="00430C7D" w14:paraId="71EC67B4" w14:textId="77777777" w:rsidTr="00430C7D">
        <w:tc>
          <w:tcPr>
            <w:tcW w:w="0" w:type="auto"/>
            <w:hideMark/>
          </w:tcPr>
          <w:p w14:paraId="3D88148B"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Cash &amp; Equivalents</w:t>
            </w:r>
          </w:p>
        </w:tc>
        <w:tc>
          <w:tcPr>
            <w:tcW w:w="0" w:type="auto"/>
            <w:hideMark/>
          </w:tcPr>
          <w:p w14:paraId="2888E7D9"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₹24,455 Cr</w:t>
            </w:r>
          </w:p>
        </w:tc>
        <w:tc>
          <w:tcPr>
            <w:tcW w:w="0" w:type="auto"/>
            <w:hideMark/>
          </w:tcPr>
          <w:p w14:paraId="27333106"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₹22,201 Cr</w:t>
            </w:r>
          </w:p>
        </w:tc>
      </w:tr>
    </w:tbl>
    <w:p w14:paraId="15534AE5"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Analysis</w:t>
      </w:r>
    </w:p>
    <w:p w14:paraId="376CF940"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Total assets increased during FY2026. Cash and cash equivalents decreased compared with FY2025, while total equity also decreased. Infosys reported consolidated cash and investments of ₹43,075 crore, indicating a substantial liquidity position. (</w:t>
      </w:r>
      <w:hyperlink r:id="rId9" w:tooltip="Infosys Integrated Annual Report 2025-26"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6AA2DFB8" w14:textId="705D7AD9" w:rsidR="00430C7D" w:rsidRPr="00430C7D" w:rsidRDefault="00430C7D" w:rsidP="00430C7D">
      <w:pPr>
        <w:jc w:val="both"/>
        <w:rPr>
          <w:rFonts w:ascii="Times New Roman" w:hAnsi="Times New Roman" w:cs="Times New Roman"/>
          <w:sz w:val="24"/>
          <w:szCs w:val="24"/>
        </w:rPr>
      </w:pPr>
    </w:p>
    <w:p w14:paraId="056D7D06"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2.3 Cash Flow Analysis</w:t>
      </w:r>
    </w:p>
    <w:p w14:paraId="5462073A"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Infosys reported free cash flow of ₹33,097 crore in FY2026, with free-cash-flow conversion of 112.3% of net profit. (</w:t>
      </w:r>
      <w:hyperlink r:id="rId10" w:tooltip="Infosys Integrated Annual Report 2025-26"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4FBC10D0"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This indicates strong cash generation relative to reported earnings and is an important aspect of the company's financial analysis.</w:t>
      </w:r>
    </w:p>
    <w:p w14:paraId="7CDDE61B" w14:textId="4D3EC80C" w:rsidR="00430C7D" w:rsidRDefault="00430C7D" w:rsidP="00430C7D">
      <w:pPr>
        <w:jc w:val="both"/>
        <w:rPr>
          <w:rFonts w:ascii="Times New Roman" w:hAnsi="Times New Roman" w:cs="Times New Roman"/>
          <w:sz w:val="24"/>
          <w:szCs w:val="24"/>
        </w:rPr>
      </w:pPr>
    </w:p>
    <w:p w14:paraId="46813913" w14:textId="77777777" w:rsidR="00430C7D" w:rsidRPr="00430C7D" w:rsidRDefault="00430C7D" w:rsidP="00430C7D">
      <w:pPr>
        <w:jc w:val="both"/>
        <w:rPr>
          <w:rFonts w:ascii="Times New Roman" w:hAnsi="Times New Roman" w:cs="Times New Roman"/>
          <w:sz w:val="24"/>
          <w:szCs w:val="24"/>
        </w:rPr>
      </w:pPr>
    </w:p>
    <w:p w14:paraId="67D1A53F"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lastRenderedPageBreak/>
        <w:t>2.4 Key Financial Ratios</w:t>
      </w:r>
    </w:p>
    <w:tbl>
      <w:tblPr>
        <w:tblStyle w:val="TableGrid"/>
        <w:tblW w:w="0" w:type="auto"/>
        <w:tblLook w:val="04A0" w:firstRow="1" w:lastRow="0" w:firstColumn="1" w:lastColumn="0" w:noHBand="0" w:noVBand="1"/>
      </w:tblPr>
      <w:tblGrid>
        <w:gridCol w:w="2083"/>
        <w:gridCol w:w="1016"/>
      </w:tblGrid>
      <w:tr w:rsidR="00430C7D" w:rsidRPr="00430C7D" w14:paraId="0F0DFDF8" w14:textId="77777777" w:rsidTr="00430C7D">
        <w:tc>
          <w:tcPr>
            <w:tcW w:w="0" w:type="auto"/>
            <w:hideMark/>
          </w:tcPr>
          <w:p w14:paraId="70BD636F"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Ratio/Metric</w:t>
            </w:r>
          </w:p>
        </w:tc>
        <w:tc>
          <w:tcPr>
            <w:tcW w:w="0" w:type="auto"/>
            <w:hideMark/>
          </w:tcPr>
          <w:p w14:paraId="2C9C9BB3" w14:textId="77777777" w:rsidR="00430C7D" w:rsidRPr="00430C7D" w:rsidRDefault="00430C7D" w:rsidP="00430C7D">
            <w:pPr>
              <w:spacing w:after="160" w:line="259" w:lineRule="auto"/>
              <w:jc w:val="both"/>
              <w:rPr>
                <w:rFonts w:ascii="Times New Roman" w:hAnsi="Times New Roman" w:cs="Times New Roman"/>
                <w:b/>
                <w:bCs/>
                <w:sz w:val="24"/>
                <w:szCs w:val="24"/>
              </w:rPr>
            </w:pPr>
            <w:r w:rsidRPr="00430C7D">
              <w:rPr>
                <w:rFonts w:ascii="Times New Roman" w:hAnsi="Times New Roman" w:cs="Times New Roman"/>
                <w:b/>
                <w:bCs/>
                <w:sz w:val="24"/>
                <w:szCs w:val="24"/>
              </w:rPr>
              <w:t>FY2026</w:t>
            </w:r>
          </w:p>
        </w:tc>
      </w:tr>
      <w:tr w:rsidR="00430C7D" w:rsidRPr="00430C7D" w14:paraId="6A8B5C9C" w14:textId="77777777" w:rsidTr="00430C7D">
        <w:tc>
          <w:tcPr>
            <w:tcW w:w="0" w:type="auto"/>
            <w:hideMark/>
          </w:tcPr>
          <w:p w14:paraId="26D4C1B3"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ROE</w:t>
            </w:r>
          </w:p>
        </w:tc>
        <w:tc>
          <w:tcPr>
            <w:tcW w:w="0" w:type="auto"/>
            <w:hideMark/>
          </w:tcPr>
          <w:p w14:paraId="4B17C91E"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31.6%</w:t>
            </w:r>
          </w:p>
        </w:tc>
      </w:tr>
      <w:tr w:rsidR="00430C7D" w:rsidRPr="00430C7D" w14:paraId="39700567" w14:textId="77777777" w:rsidTr="00430C7D">
        <w:tc>
          <w:tcPr>
            <w:tcW w:w="0" w:type="auto"/>
            <w:hideMark/>
          </w:tcPr>
          <w:p w14:paraId="7F6CCF4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Operating Margin</w:t>
            </w:r>
          </w:p>
        </w:tc>
        <w:tc>
          <w:tcPr>
            <w:tcW w:w="0" w:type="auto"/>
            <w:hideMark/>
          </w:tcPr>
          <w:p w14:paraId="0C587AE9"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20.3%</w:t>
            </w:r>
          </w:p>
        </w:tc>
      </w:tr>
      <w:tr w:rsidR="00430C7D" w:rsidRPr="00430C7D" w14:paraId="6F2B1DCA" w14:textId="77777777" w:rsidTr="00430C7D">
        <w:tc>
          <w:tcPr>
            <w:tcW w:w="0" w:type="auto"/>
            <w:hideMark/>
          </w:tcPr>
          <w:p w14:paraId="198C023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Net Profit Margin</w:t>
            </w:r>
          </w:p>
        </w:tc>
        <w:tc>
          <w:tcPr>
            <w:tcW w:w="0" w:type="auto"/>
            <w:hideMark/>
          </w:tcPr>
          <w:p w14:paraId="2B3D712A"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16.5%</w:t>
            </w:r>
          </w:p>
        </w:tc>
      </w:tr>
      <w:tr w:rsidR="00430C7D" w:rsidRPr="00430C7D" w14:paraId="39FDB703" w14:textId="77777777" w:rsidTr="00430C7D">
        <w:tc>
          <w:tcPr>
            <w:tcW w:w="0" w:type="auto"/>
            <w:hideMark/>
          </w:tcPr>
          <w:p w14:paraId="6422BDCD"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EPS</w:t>
            </w:r>
          </w:p>
        </w:tc>
        <w:tc>
          <w:tcPr>
            <w:tcW w:w="0" w:type="auto"/>
            <w:hideMark/>
          </w:tcPr>
          <w:p w14:paraId="23D83F36"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₹71.58</w:t>
            </w:r>
          </w:p>
        </w:tc>
      </w:tr>
      <w:tr w:rsidR="00430C7D" w:rsidRPr="00430C7D" w14:paraId="4E65AA33" w14:textId="77777777" w:rsidTr="00430C7D">
        <w:tc>
          <w:tcPr>
            <w:tcW w:w="0" w:type="auto"/>
            <w:hideMark/>
          </w:tcPr>
          <w:p w14:paraId="5562B100"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Dividend per Share</w:t>
            </w:r>
          </w:p>
        </w:tc>
        <w:tc>
          <w:tcPr>
            <w:tcW w:w="0" w:type="auto"/>
            <w:hideMark/>
          </w:tcPr>
          <w:p w14:paraId="462D2EB5"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₹48</w:t>
            </w:r>
          </w:p>
        </w:tc>
      </w:tr>
      <w:tr w:rsidR="00430C7D" w:rsidRPr="00430C7D" w14:paraId="3C29DAF8" w14:textId="77777777" w:rsidTr="00430C7D">
        <w:tc>
          <w:tcPr>
            <w:tcW w:w="0" w:type="auto"/>
            <w:hideMark/>
          </w:tcPr>
          <w:p w14:paraId="2D3F3534"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P/E</w:t>
            </w:r>
          </w:p>
        </w:tc>
        <w:tc>
          <w:tcPr>
            <w:tcW w:w="0" w:type="auto"/>
            <w:hideMark/>
          </w:tcPr>
          <w:p w14:paraId="6CE8DB16" w14:textId="77777777" w:rsidR="00430C7D" w:rsidRPr="00430C7D" w:rsidRDefault="00430C7D" w:rsidP="00430C7D">
            <w:pPr>
              <w:spacing w:after="160" w:line="259" w:lineRule="auto"/>
              <w:jc w:val="both"/>
              <w:rPr>
                <w:rFonts w:ascii="Times New Roman" w:hAnsi="Times New Roman" w:cs="Times New Roman"/>
                <w:sz w:val="24"/>
                <w:szCs w:val="24"/>
              </w:rPr>
            </w:pPr>
            <w:r w:rsidRPr="00430C7D">
              <w:rPr>
                <w:rFonts w:ascii="Times New Roman" w:hAnsi="Times New Roman" w:cs="Times New Roman"/>
                <w:sz w:val="24"/>
                <w:szCs w:val="24"/>
              </w:rPr>
              <w:t>17.5×</w:t>
            </w:r>
          </w:p>
        </w:tc>
      </w:tr>
    </w:tbl>
    <w:p w14:paraId="2CC23F3A"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Infosys reported a 31.6% ROE, ₹71.58 EPS and ₹48 dividend per share for FY2026. (</w:t>
      </w:r>
      <w:hyperlink r:id="rId11" w:tooltip="Infosys Integrated Annual Report 2025-26" w:history="1">
        <w:r w:rsidRPr="00430C7D">
          <w:rPr>
            <w:rStyle w:val="Hyperlink"/>
            <w:rFonts w:ascii="Times New Roman" w:hAnsi="Times New Roman" w:cs="Times New Roman"/>
            <w:sz w:val="24"/>
            <w:szCs w:val="24"/>
          </w:rPr>
          <w:t>Infosys</w:t>
        </w:r>
      </w:hyperlink>
      <w:r w:rsidRPr="00430C7D">
        <w:rPr>
          <w:rFonts w:ascii="Times New Roman" w:hAnsi="Times New Roman" w:cs="Times New Roman"/>
          <w:sz w:val="24"/>
          <w:szCs w:val="24"/>
        </w:rPr>
        <w:t>)</w:t>
      </w:r>
    </w:p>
    <w:p w14:paraId="33005376" w14:textId="5BE8E306" w:rsidR="00430C7D" w:rsidRPr="00430C7D" w:rsidRDefault="00430C7D" w:rsidP="00430C7D">
      <w:pPr>
        <w:jc w:val="both"/>
        <w:rPr>
          <w:rFonts w:ascii="Times New Roman" w:hAnsi="Times New Roman" w:cs="Times New Roman"/>
          <w:sz w:val="24"/>
          <w:szCs w:val="24"/>
        </w:rPr>
      </w:pPr>
    </w:p>
    <w:p w14:paraId="2E8EA2F8"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2.5 Key Findings</w:t>
      </w:r>
    </w:p>
    <w:p w14:paraId="310EDA6A"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Revenue increased by 9.6% year over year.</w:t>
      </w:r>
    </w:p>
    <w:p w14:paraId="21DDD194"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Net profit increased by 10.2%.</w:t>
      </w:r>
    </w:p>
    <w:p w14:paraId="55BDCFAA"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EPS increased by 11.0%.</w:t>
      </w:r>
    </w:p>
    <w:p w14:paraId="6DD48FBC"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ROE improved to 31.6%.</w:t>
      </w:r>
    </w:p>
    <w:p w14:paraId="0E9B1D7B"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Free cash flow was ₹33,097 crore.</w:t>
      </w:r>
    </w:p>
    <w:p w14:paraId="6FC6A6A9" w14:textId="77777777" w:rsidR="00430C7D" w:rsidRPr="00430C7D" w:rsidRDefault="00430C7D" w:rsidP="00430C7D">
      <w:pPr>
        <w:numPr>
          <w:ilvl w:val="0"/>
          <w:numId w:val="2"/>
        </w:numPr>
        <w:jc w:val="both"/>
        <w:rPr>
          <w:rFonts w:ascii="Times New Roman" w:hAnsi="Times New Roman" w:cs="Times New Roman"/>
          <w:sz w:val="24"/>
          <w:szCs w:val="24"/>
        </w:rPr>
      </w:pPr>
      <w:r w:rsidRPr="00430C7D">
        <w:rPr>
          <w:rFonts w:ascii="Times New Roman" w:hAnsi="Times New Roman" w:cs="Times New Roman"/>
          <w:sz w:val="24"/>
          <w:szCs w:val="24"/>
        </w:rPr>
        <w:t>Operating margin declined from 21.1% to 20.3% and should therefore be monitored.</w:t>
      </w:r>
    </w:p>
    <w:p w14:paraId="32F49D54" w14:textId="105A487B" w:rsidR="00430C7D" w:rsidRPr="00430C7D" w:rsidRDefault="00430C7D" w:rsidP="00430C7D">
      <w:pPr>
        <w:jc w:val="both"/>
        <w:rPr>
          <w:rFonts w:ascii="Times New Roman" w:hAnsi="Times New Roman" w:cs="Times New Roman"/>
          <w:sz w:val="24"/>
          <w:szCs w:val="24"/>
        </w:rPr>
      </w:pPr>
    </w:p>
    <w:p w14:paraId="6D4463C6"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2.6 Conclusion</w:t>
      </w:r>
    </w:p>
    <w:p w14:paraId="73B48EF9"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Infosys demonstrated strong financial performance in FY2026, with growth in revenue, net profit and EPS. The company maintained substantial cash and investments and generated strong free cash flow. ROE also improved to 31.6%. However, the decline in operating margin indicates some pressure on operating profitability. The analysis demonstrates how financial statements and ratios can be used to understand a company's growth, profitability, liquidity and financial position.</w:t>
      </w:r>
    </w:p>
    <w:p w14:paraId="70DDE3F6" w14:textId="729B4E5A" w:rsidR="00430C7D" w:rsidRPr="00430C7D" w:rsidRDefault="00430C7D" w:rsidP="00430C7D">
      <w:pPr>
        <w:jc w:val="both"/>
        <w:rPr>
          <w:rFonts w:ascii="Times New Roman" w:hAnsi="Times New Roman" w:cs="Times New Roman"/>
          <w:sz w:val="24"/>
          <w:szCs w:val="24"/>
        </w:rPr>
      </w:pPr>
    </w:p>
    <w:p w14:paraId="0B7F37CD" w14:textId="77777777" w:rsidR="00430C7D" w:rsidRPr="00430C7D" w:rsidRDefault="00430C7D" w:rsidP="00430C7D">
      <w:pPr>
        <w:jc w:val="both"/>
        <w:rPr>
          <w:rFonts w:ascii="Times New Roman" w:hAnsi="Times New Roman" w:cs="Times New Roman"/>
          <w:b/>
          <w:bCs/>
          <w:sz w:val="24"/>
          <w:szCs w:val="24"/>
        </w:rPr>
      </w:pPr>
      <w:r w:rsidRPr="00430C7D">
        <w:rPr>
          <w:rFonts w:ascii="Times New Roman" w:hAnsi="Times New Roman" w:cs="Times New Roman"/>
          <w:b/>
          <w:bCs/>
          <w:sz w:val="24"/>
          <w:szCs w:val="24"/>
        </w:rPr>
        <w:t>Sources</w:t>
      </w:r>
    </w:p>
    <w:p w14:paraId="2A8C6873" w14:textId="77777777" w:rsidR="00430C7D" w:rsidRPr="00430C7D" w:rsidRDefault="00430C7D" w:rsidP="00430C7D">
      <w:pPr>
        <w:jc w:val="both"/>
        <w:rPr>
          <w:rFonts w:ascii="Times New Roman" w:hAnsi="Times New Roman" w:cs="Times New Roman"/>
          <w:sz w:val="24"/>
          <w:szCs w:val="24"/>
        </w:rPr>
      </w:pPr>
      <w:r w:rsidRPr="00430C7D">
        <w:rPr>
          <w:rFonts w:ascii="Times New Roman" w:hAnsi="Times New Roman" w:cs="Times New Roman"/>
          <w:sz w:val="24"/>
          <w:szCs w:val="24"/>
        </w:rPr>
        <w:t>Use these at the bottom of the document:</w:t>
      </w:r>
    </w:p>
    <w:p w14:paraId="678FC75C" w14:textId="77777777" w:rsidR="00430C7D" w:rsidRPr="00430C7D" w:rsidRDefault="00430C7D" w:rsidP="00430C7D">
      <w:pPr>
        <w:numPr>
          <w:ilvl w:val="0"/>
          <w:numId w:val="3"/>
        </w:numPr>
        <w:jc w:val="both"/>
        <w:rPr>
          <w:rFonts w:ascii="Times New Roman" w:hAnsi="Times New Roman" w:cs="Times New Roman"/>
          <w:sz w:val="24"/>
          <w:szCs w:val="24"/>
        </w:rPr>
      </w:pPr>
      <w:hyperlink r:id="rId12" w:history="1">
        <w:r w:rsidRPr="00430C7D">
          <w:rPr>
            <w:rStyle w:val="Hyperlink"/>
            <w:rFonts w:ascii="Times New Roman" w:hAnsi="Times New Roman" w:cs="Times New Roman"/>
            <w:sz w:val="24"/>
            <w:szCs w:val="24"/>
          </w:rPr>
          <w:t>Infosys Investor Relations – Annual Reports</w:t>
        </w:r>
      </w:hyperlink>
    </w:p>
    <w:p w14:paraId="11E00E7C" w14:textId="77777777" w:rsidR="00430C7D" w:rsidRPr="00430C7D" w:rsidRDefault="00430C7D" w:rsidP="00430C7D">
      <w:pPr>
        <w:numPr>
          <w:ilvl w:val="0"/>
          <w:numId w:val="3"/>
        </w:numPr>
        <w:jc w:val="both"/>
        <w:rPr>
          <w:rFonts w:ascii="Times New Roman" w:hAnsi="Times New Roman" w:cs="Times New Roman"/>
          <w:sz w:val="24"/>
          <w:szCs w:val="24"/>
        </w:rPr>
      </w:pPr>
      <w:hyperlink r:id="rId13" w:history="1">
        <w:r w:rsidRPr="00430C7D">
          <w:rPr>
            <w:rStyle w:val="Hyperlink"/>
            <w:rFonts w:ascii="Times New Roman" w:hAnsi="Times New Roman" w:cs="Times New Roman"/>
            <w:sz w:val="24"/>
            <w:szCs w:val="24"/>
          </w:rPr>
          <w:t>Infosys FY2026 Financial Snapshot</w:t>
        </w:r>
      </w:hyperlink>
    </w:p>
    <w:p w14:paraId="5B985A66" w14:textId="77777777" w:rsidR="00430C7D" w:rsidRPr="00430C7D" w:rsidRDefault="00430C7D" w:rsidP="00430C7D">
      <w:pPr>
        <w:numPr>
          <w:ilvl w:val="0"/>
          <w:numId w:val="3"/>
        </w:numPr>
        <w:jc w:val="both"/>
        <w:rPr>
          <w:rFonts w:ascii="Times New Roman" w:hAnsi="Times New Roman" w:cs="Times New Roman"/>
          <w:sz w:val="24"/>
          <w:szCs w:val="24"/>
        </w:rPr>
      </w:pPr>
      <w:hyperlink r:id="rId14" w:history="1">
        <w:r w:rsidRPr="00430C7D">
          <w:rPr>
            <w:rStyle w:val="Hyperlink"/>
            <w:rFonts w:ascii="Times New Roman" w:hAnsi="Times New Roman" w:cs="Times New Roman"/>
            <w:sz w:val="24"/>
            <w:szCs w:val="24"/>
          </w:rPr>
          <w:t>Infosys Integrated Annual Report 2025–26</w:t>
        </w:r>
      </w:hyperlink>
    </w:p>
    <w:p w14:paraId="43D494B6" w14:textId="106DCC40" w:rsidR="00430C7D" w:rsidRPr="00430C7D" w:rsidRDefault="00430C7D" w:rsidP="00430C7D">
      <w:pPr>
        <w:numPr>
          <w:ilvl w:val="0"/>
          <w:numId w:val="3"/>
        </w:numPr>
        <w:jc w:val="both"/>
        <w:rPr>
          <w:rFonts w:ascii="Times New Roman" w:hAnsi="Times New Roman" w:cs="Times New Roman"/>
          <w:sz w:val="24"/>
          <w:szCs w:val="24"/>
        </w:rPr>
      </w:pPr>
      <w:hyperlink r:id="rId15" w:history="1">
        <w:proofErr w:type="spellStart"/>
        <w:r w:rsidRPr="00430C7D">
          <w:rPr>
            <w:rStyle w:val="Hyperlink"/>
            <w:rFonts w:ascii="Times New Roman" w:hAnsi="Times New Roman" w:cs="Times New Roman"/>
            <w:sz w:val="24"/>
            <w:szCs w:val="24"/>
          </w:rPr>
          <w:t>Zerodha</w:t>
        </w:r>
        <w:proofErr w:type="spellEnd"/>
        <w:r w:rsidRPr="00430C7D">
          <w:rPr>
            <w:rStyle w:val="Hyperlink"/>
            <w:rFonts w:ascii="Times New Roman" w:hAnsi="Times New Roman" w:cs="Times New Roman"/>
            <w:sz w:val="24"/>
            <w:szCs w:val="24"/>
          </w:rPr>
          <w:t xml:space="preserve"> Varsity</w:t>
        </w:r>
      </w:hyperlink>
    </w:p>
    <w:sectPr w:rsidR="00430C7D" w:rsidRPr="00430C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D67"/>
    <w:multiLevelType w:val="multilevel"/>
    <w:tmpl w:val="535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2E4F"/>
    <w:multiLevelType w:val="multilevel"/>
    <w:tmpl w:val="794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157B0"/>
    <w:multiLevelType w:val="multilevel"/>
    <w:tmpl w:val="6A0E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012456">
    <w:abstractNumId w:val="0"/>
  </w:num>
  <w:num w:numId="2" w16cid:durableId="312411922">
    <w:abstractNumId w:val="1"/>
  </w:num>
  <w:num w:numId="3" w16cid:durableId="1333987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5D"/>
    <w:rsid w:val="000B7B5D"/>
    <w:rsid w:val="002F767E"/>
    <w:rsid w:val="003B2218"/>
    <w:rsid w:val="00430C7D"/>
    <w:rsid w:val="00842389"/>
    <w:rsid w:val="00861833"/>
    <w:rsid w:val="00A83A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5EE8"/>
  <w15:chartTrackingRefBased/>
  <w15:docId w15:val="{4C6C19D0-627C-453E-834E-02248AE5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B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B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B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B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B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B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B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B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B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B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B5D"/>
    <w:rPr>
      <w:rFonts w:eastAsiaTheme="majorEastAsia" w:cstheme="majorBidi"/>
      <w:color w:val="272727" w:themeColor="text1" w:themeTint="D8"/>
    </w:rPr>
  </w:style>
  <w:style w:type="paragraph" w:styleId="Title">
    <w:name w:val="Title"/>
    <w:basedOn w:val="Normal"/>
    <w:next w:val="Normal"/>
    <w:link w:val="TitleChar"/>
    <w:uiPriority w:val="10"/>
    <w:qFormat/>
    <w:rsid w:val="000B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B5D"/>
    <w:pPr>
      <w:spacing w:before="160"/>
      <w:jc w:val="center"/>
    </w:pPr>
    <w:rPr>
      <w:i/>
      <w:iCs/>
      <w:color w:val="404040" w:themeColor="text1" w:themeTint="BF"/>
    </w:rPr>
  </w:style>
  <w:style w:type="character" w:customStyle="1" w:styleId="QuoteChar">
    <w:name w:val="Quote Char"/>
    <w:basedOn w:val="DefaultParagraphFont"/>
    <w:link w:val="Quote"/>
    <w:uiPriority w:val="29"/>
    <w:rsid w:val="000B7B5D"/>
    <w:rPr>
      <w:i/>
      <w:iCs/>
      <w:color w:val="404040" w:themeColor="text1" w:themeTint="BF"/>
    </w:rPr>
  </w:style>
  <w:style w:type="paragraph" w:styleId="ListParagraph">
    <w:name w:val="List Paragraph"/>
    <w:basedOn w:val="Normal"/>
    <w:uiPriority w:val="34"/>
    <w:qFormat/>
    <w:rsid w:val="000B7B5D"/>
    <w:pPr>
      <w:ind w:left="720"/>
      <w:contextualSpacing/>
    </w:pPr>
  </w:style>
  <w:style w:type="character" w:styleId="IntenseEmphasis">
    <w:name w:val="Intense Emphasis"/>
    <w:basedOn w:val="DefaultParagraphFont"/>
    <w:uiPriority w:val="21"/>
    <w:qFormat/>
    <w:rsid w:val="000B7B5D"/>
    <w:rPr>
      <w:i/>
      <w:iCs/>
      <w:color w:val="2F5496" w:themeColor="accent1" w:themeShade="BF"/>
    </w:rPr>
  </w:style>
  <w:style w:type="paragraph" w:styleId="IntenseQuote">
    <w:name w:val="Intense Quote"/>
    <w:basedOn w:val="Normal"/>
    <w:next w:val="Normal"/>
    <w:link w:val="IntenseQuoteChar"/>
    <w:uiPriority w:val="30"/>
    <w:qFormat/>
    <w:rsid w:val="000B7B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B5D"/>
    <w:rPr>
      <w:i/>
      <w:iCs/>
      <w:color w:val="2F5496" w:themeColor="accent1" w:themeShade="BF"/>
    </w:rPr>
  </w:style>
  <w:style w:type="character" w:styleId="IntenseReference">
    <w:name w:val="Intense Reference"/>
    <w:basedOn w:val="DefaultParagraphFont"/>
    <w:uiPriority w:val="32"/>
    <w:qFormat/>
    <w:rsid w:val="000B7B5D"/>
    <w:rPr>
      <w:b/>
      <w:bCs/>
      <w:smallCaps/>
      <w:color w:val="2F5496" w:themeColor="accent1" w:themeShade="BF"/>
      <w:spacing w:val="5"/>
    </w:rPr>
  </w:style>
  <w:style w:type="character" w:styleId="Hyperlink">
    <w:name w:val="Hyperlink"/>
    <w:basedOn w:val="DefaultParagraphFont"/>
    <w:uiPriority w:val="99"/>
    <w:unhideWhenUsed/>
    <w:rsid w:val="00430C7D"/>
    <w:rPr>
      <w:color w:val="0563C1" w:themeColor="hyperlink"/>
      <w:u w:val="single"/>
    </w:rPr>
  </w:style>
  <w:style w:type="character" w:styleId="UnresolvedMention">
    <w:name w:val="Unresolved Mention"/>
    <w:basedOn w:val="DefaultParagraphFont"/>
    <w:uiPriority w:val="99"/>
    <w:semiHidden/>
    <w:unhideWhenUsed/>
    <w:rsid w:val="00430C7D"/>
    <w:rPr>
      <w:color w:val="605E5C"/>
      <w:shd w:val="clear" w:color="auto" w:fill="E1DFDD"/>
    </w:rPr>
  </w:style>
  <w:style w:type="table" w:styleId="TableGrid">
    <w:name w:val="Table Grid"/>
    <w:basedOn w:val="TableNormal"/>
    <w:uiPriority w:val="39"/>
    <w:rsid w:val="00430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sys.com/about/last-fiscal.html?utm_source=chatgpt.com" TargetMode="External"/><Relationship Id="rId13" Type="http://schemas.openxmlformats.org/officeDocument/2006/relationships/hyperlink" Target="https://www.infosys.com/about/last-fiscal.html?utm_source=chatgpt.com" TargetMode="External"/><Relationship Id="rId3" Type="http://schemas.openxmlformats.org/officeDocument/2006/relationships/settings" Target="settings.xml"/><Relationship Id="rId7" Type="http://schemas.openxmlformats.org/officeDocument/2006/relationships/hyperlink" Target="https://www.infosys.com/about/last-fiscal.html?utm_source=chatgpt.com" TargetMode="External"/><Relationship Id="rId12" Type="http://schemas.openxmlformats.org/officeDocument/2006/relationships/hyperlink" Target="https://www.infosys.com/investors/reports-filings/annual-report/annual-reports.html?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fosys.com/investors/shareholder-services/faqs.html?utm_source=chatgpt.com" TargetMode="External"/><Relationship Id="rId11" Type="http://schemas.openxmlformats.org/officeDocument/2006/relationships/hyperlink" Target="https://www.infosys.com/investors/reports-filings/annual-report/annual/documents/infosys-ar-26.pdf?utm_source=chatgpt.com" TargetMode="External"/><Relationship Id="rId5" Type="http://schemas.openxmlformats.org/officeDocument/2006/relationships/hyperlink" Target="https://www.infosys.com/investors/shareholder-services/faqs.html?utm_source=chatgpt.com" TargetMode="External"/><Relationship Id="rId15" Type="http://schemas.openxmlformats.org/officeDocument/2006/relationships/hyperlink" Target="https://zerodha.com/varsity/?utm_source=chatgpt.com" TargetMode="External"/><Relationship Id="rId10" Type="http://schemas.openxmlformats.org/officeDocument/2006/relationships/hyperlink" Target="https://www.infosys.com/investors/reports-filings/annual-report/annual/documents/infosys-ar-26.pdf?utm_source=chatgpt.com" TargetMode="External"/><Relationship Id="rId4" Type="http://schemas.openxmlformats.org/officeDocument/2006/relationships/webSettings" Target="webSettings.xml"/><Relationship Id="rId9" Type="http://schemas.openxmlformats.org/officeDocument/2006/relationships/hyperlink" Target="https://www.infosys.com/investors/reports-filings/annual-report/annual/documents/infosys-ar-26.pdf?utm_source=chatgpt.com" TargetMode="External"/><Relationship Id="rId14" Type="http://schemas.openxmlformats.org/officeDocument/2006/relationships/hyperlink" Target="https://www.infosys.com/investors/reports-filings/annual-report/annual/documents/infosys-ar-26.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1002</Words>
  <Characters>5717</Characters>
  <Application>Microsoft Office Word</Application>
  <DocSecurity>0</DocSecurity>
  <Lines>47</Lines>
  <Paragraphs>13</Paragraphs>
  <ScaleCrop>false</ScaleCrop>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babasaheb bhosale</dc:creator>
  <cp:keywords/>
  <dc:description/>
  <cp:lastModifiedBy>babasaheb bhosale</cp:lastModifiedBy>
  <cp:revision>2</cp:revision>
  <dcterms:created xsi:type="dcterms:W3CDTF">2026-09-15T18:32:00Z</dcterms:created>
  <dcterms:modified xsi:type="dcterms:W3CDTF">2026-09-16T17:54:00Z</dcterms:modified>
</cp:coreProperties>
</file>