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80"/>
        <w:jc w:val="center"/>
      </w:pPr>
      <w:r>
        <w:rPr>
          <w:rFonts w:ascii="Calibri" w:hAnsi="Calibri"/>
          <w:b/>
          <w:color w:val="2E74B5"/>
          <w:sz w:val="22"/>
        </w:rPr>
        <w:t>SPEAKWISE</w:t>
      </w:r>
    </w:p>
    <w:p>
      <w:pPr>
        <w:spacing w:after="160"/>
        <w:jc w:val="center"/>
      </w:pPr>
      <w:r>
        <w:rPr>
          <w:rFonts w:ascii="Calibri" w:hAnsi="Calibri"/>
          <w:b/>
          <w:color w:val="0B2545"/>
          <w:sz w:val="60"/>
        </w:rPr>
        <w:t>Backend Development</w:t>
        <w:br/>
        <w:t>Notes</w:t>
      </w:r>
    </w:p>
    <w:p>
      <w:pPr>
        <w:spacing w:after="520"/>
        <w:jc w:val="center"/>
      </w:pPr>
      <w:r>
        <w:rPr>
          <w:rFonts w:ascii="Calibri" w:hAnsi="Calibri"/>
          <w:color w:val="5B6573"/>
          <w:sz w:val="26"/>
        </w:rPr>
        <w:t>Architecture, implementation progress, and next milestones</w:t>
      </w:r>
    </w:p>
    <w:p>
      <w:pPr>
        <w:spacing w:after="1600"/>
        <w:jc w:val="center"/>
      </w:pPr>
      <w:r>
        <w:rPr>
          <w:rFonts w:ascii="Calibri" w:hAnsi="Calibri"/>
          <w:b/>
          <w:color w:val="2E74B5"/>
          <w:sz w:val="21"/>
        </w:rPr>
        <w:t>Developer handover reference</w:t>
      </w:r>
    </w:p>
    <w:p>
      <w:pPr>
        <w:jc w:val="center"/>
      </w:pPr>
      <w:r>
        <w:rPr>
          <w:rFonts w:ascii="Calibri" w:hAnsi="Calibri"/>
          <w:color w:val="5B6573"/>
          <w:sz w:val="20"/>
        </w:rPr>
        <w:t>Status captured: 11 August 2026</w:t>
      </w:r>
    </w:p>
    <w:p>
      <w:r>
        <w:br w:type="page"/>
      </w:r>
    </w:p>
    <w:p>
      <w:pPr>
        <w:pStyle w:val="Heading1"/>
      </w:pPr>
      <w:r>
        <w:t>1. Project Overview</w:t>
      </w:r>
    </w:p>
    <w:p>
      <w:pPr/>
      <w:r>
        <w:rPr>
          <w:rFonts w:ascii="Calibri" w:hAnsi="Calibri"/>
          <w:color w:val="111111"/>
          <w:sz w:val="22"/>
        </w:rPr>
        <w:t>SpeakWise is an AI-powered public-speaking coach. It is intended to analyze speech content, voice characteristics, eye contact, hand gestures, body posture, and facial expressions, then turn those signals into practical coaching feedback.</w:t>
      </w:r>
    </w:p>
    <w:p>
      <w:pPr/>
      <w:r>
        <w:rPr>
          <w:rFonts w:ascii="Calibri" w:hAnsi="Calibri"/>
          <w:color w:val="111111"/>
          <w:sz w:val="22"/>
        </w:rPr>
        <w:t>The backend is being built with FastAPI and a layered architecture so that delivery can grow from authentication and persistence into AI analysis without mixing responsibilities.</w:t>
      </w:r>
    </w:p>
    <w:p>
      <w:pPr>
        <w:pStyle w:val="Heading2"/>
      </w:pPr>
      <w:r>
        <w:t>Current Backend Architecture</w:t>
      </w:r>
    </w:p>
    <w:p>
      <w:pPr>
        <w:spacing w:before="80" w:after="160" w:line="252" w:lineRule="auto"/>
        <w:ind w:left="317" w:right="173"/>
        <w:shd w:fill="F5F7FA"/>
        <w:pBdr>
          <w:left w:val="single" w:sz="12" w:space="8" w:color="2E74B5"/>
        </w:pBdr>
      </w:pPr>
      <w:r>
        <w:rPr>
          <w:rFonts w:ascii="Consolas" w:hAnsi="Consolas"/>
          <w:color w:val="263238"/>
          <w:sz w:val="17"/>
        </w:rPr>
        <w:t>Client</w:t>
      </w:r>
      <w:r>
        <w:br/>
      </w:r>
      <w:r>
        <w:rPr>
          <w:rFonts w:ascii="Consolas" w:hAnsi="Consolas"/>
          <w:color w:val="263238"/>
          <w:sz w:val="17"/>
        </w:rPr>
        <w:t xml:space="preserve">  |</w:t>
      </w:r>
      <w:r>
        <w:br/>
      </w:r>
      <w:r>
        <w:rPr>
          <w:rFonts w:ascii="Consolas" w:hAnsi="Consolas"/>
          <w:color w:val="263238"/>
          <w:sz w:val="17"/>
        </w:rPr>
        <w:t xml:space="preserve">  v</w:t>
      </w:r>
      <w:r>
        <w:br/>
      </w:r>
      <w:r>
        <w:rPr>
          <w:rFonts w:ascii="Consolas" w:hAnsi="Consolas"/>
          <w:color w:val="263238"/>
          <w:sz w:val="17"/>
        </w:rPr>
        <w:t>FastAPI Routes</w:t>
      </w:r>
      <w:r>
        <w:br/>
      </w:r>
      <w:r>
        <w:rPr>
          <w:rFonts w:ascii="Consolas" w:hAnsi="Consolas"/>
          <w:color w:val="263238"/>
          <w:sz w:val="17"/>
        </w:rPr>
        <w:t xml:space="preserve">  |</w:t>
      </w:r>
      <w:r>
        <w:br/>
      </w:r>
      <w:r>
        <w:rPr>
          <w:rFonts w:ascii="Consolas" w:hAnsi="Consolas"/>
          <w:color w:val="263238"/>
          <w:sz w:val="17"/>
        </w:rPr>
        <w:t xml:space="preserve">  v</w:t>
      </w:r>
      <w:r>
        <w:br/>
      </w:r>
      <w:r>
        <w:rPr>
          <w:rFonts w:ascii="Consolas" w:hAnsi="Consolas"/>
          <w:color w:val="263238"/>
          <w:sz w:val="17"/>
        </w:rPr>
        <w:t>Service Layer</w:t>
      </w:r>
      <w:r>
        <w:br/>
      </w:r>
      <w:r>
        <w:rPr>
          <w:rFonts w:ascii="Consolas" w:hAnsi="Consolas"/>
          <w:color w:val="263238"/>
          <w:sz w:val="17"/>
        </w:rPr>
        <w:t xml:space="preserve">  |</w:t>
      </w:r>
      <w:r>
        <w:br/>
      </w:r>
      <w:r>
        <w:rPr>
          <w:rFonts w:ascii="Consolas" w:hAnsi="Consolas"/>
          <w:color w:val="263238"/>
          <w:sz w:val="17"/>
        </w:rPr>
        <w:t xml:space="preserve">  v</w:t>
      </w:r>
      <w:r>
        <w:br/>
      </w:r>
      <w:r>
        <w:rPr>
          <w:rFonts w:ascii="Consolas" w:hAnsi="Consolas"/>
          <w:color w:val="263238"/>
          <w:sz w:val="17"/>
        </w:rPr>
        <w:t>CRUD Layer</w:t>
      </w:r>
      <w:r>
        <w:br/>
      </w:r>
      <w:r>
        <w:rPr>
          <w:rFonts w:ascii="Consolas" w:hAnsi="Consolas"/>
          <w:color w:val="263238"/>
          <w:sz w:val="17"/>
        </w:rPr>
        <w:t xml:space="preserve">  |</w:t>
      </w:r>
      <w:r>
        <w:br/>
      </w:r>
      <w:r>
        <w:rPr>
          <w:rFonts w:ascii="Consolas" w:hAnsi="Consolas"/>
          <w:color w:val="263238"/>
          <w:sz w:val="17"/>
        </w:rPr>
        <w:t xml:space="preserve">  v</w:t>
      </w:r>
      <w:r>
        <w:br/>
      </w:r>
      <w:r>
        <w:rPr>
          <w:rFonts w:ascii="Consolas" w:hAnsi="Consolas"/>
          <w:color w:val="263238"/>
          <w:sz w:val="17"/>
        </w:rPr>
        <w:t>SQLAlchemy ORM</w:t>
      </w:r>
      <w:r>
        <w:br/>
      </w:r>
      <w:r>
        <w:rPr>
          <w:rFonts w:ascii="Consolas" w:hAnsi="Consolas"/>
          <w:color w:val="263238"/>
          <w:sz w:val="17"/>
        </w:rPr>
        <w:t xml:space="preserve">  |</w:t>
      </w:r>
      <w:r>
        <w:br/>
      </w:r>
      <w:r>
        <w:rPr>
          <w:rFonts w:ascii="Consolas" w:hAnsi="Consolas"/>
          <w:color w:val="263238"/>
          <w:sz w:val="17"/>
        </w:rPr>
        <w:t xml:space="preserve">  v</w:t>
      </w:r>
      <w:r>
        <w:br/>
      </w:r>
      <w:r>
        <w:rPr>
          <w:rFonts w:ascii="Consolas" w:hAnsi="Consolas"/>
          <w:color w:val="263238"/>
          <w:sz w:val="17"/>
        </w:rPr>
        <w:t>PostgreSQL</w:t>
      </w:r>
    </w:p>
    <w:p>
      <w:pPr/>
      <w:r>
        <w:rPr>
          <w:rFonts w:ascii="Calibri" w:hAnsi="Calibri"/>
          <w:color w:val="111111"/>
          <w:sz w:val="22"/>
        </w:rPr>
        <w:t>Each layer has one responsibility: routes coordinate HTTP, services apply business rules, CRUD functions access data, models represent tables, and schemas represent API payloads.</w:t>
      </w:r>
    </w:p>
    <w:p>
      <w:pPr>
        <w:pStyle w:val="Heading2"/>
      </w:pPr>
      <w:r>
        <w:t>Backend Folder Structure</w:t>
      </w:r>
    </w:p>
    <w:p>
      <w:pPr>
        <w:spacing w:before="80" w:after="160" w:line="252" w:lineRule="auto"/>
        <w:ind w:left="317" w:right="173"/>
        <w:shd w:fill="F5F7FA"/>
        <w:pBdr>
          <w:left w:val="single" w:sz="12" w:space="8" w:color="2E74B5"/>
        </w:pBdr>
      </w:pPr>
      <w:r>
        <w:rPr>
          <w:rFonts w:ascii="Consolas" w:hAnsi="Consolas"/>
          <w:color w:val="263238"/>
          <w:sz w:val="17"/>
        </w:rPr>
        <w:t>backend/</w:t>
      </w:r>
      <w:r>
        <w:br/>
      </w:r>
      <w:r>
        <w:rPr>
          <w:rFonts w:ascii="Consolas" w:hAnsi="Consolas"/>
          <w:color w:val="263238"/>
          <w:sz w:val="17"/>
        </w:rPr>
        <w:t>|-- app/</w:t>
      </w:r>
      <w:r>
        <w:br/>
      </w:r>
      <w:r>
        <w:rPr>
          <w:rFonts w:ascii="Consolas" w:hAnsi="Consolas"/>
          <w:color w:val="263238"/>
          <w:sz w:val="17"/>
        </w:rPr>
        <w:t>|   |-- api/routes/</w:t>
      </w:r>
      <w:r>
        <w:br/>
      </w:r>
      <w:r>
        <w:rPr>
          <w:rFonts w:ascii="Consolas" w:hAnsi="Consolas"/>
          <w:color w:val="263238"/>
          <w:sz w:val="17"/>
        </w:rPr>
        <w:t>|   |   |-- health.py</w:t>
      </w:r>
      <w:r>
        <w:br/>
      </w:r>
      <w:r>
        <w:rPr>
          <w:rFonts w:ascii="Consolas" w:hAnsi="Consolas"/>
          <w:color w:val="263238"/>
          <w:sz w:val="17"/>
        </w:rPr>
        <w:t>|   |   |-- speech.py</w:t>
      </w:r>
      <w:r>
        <w:br/>
      </w:r>
      <w:r>
        <w:rPr>
          <w:rFonts w:ascii="Consolas" w:hAnsi="Consolas"/>
          <w:color w:val="263238"/>
          <w:sz w:val="17"/>
        </w:rPr>
        <w:t>|   |   |-- users.py</w:t>
      </w:r>
      <w:r>
        <w:br/>
      </w:r>
      <w:r>
        <w:rPr>
          <w:rFonts w:ascii="Consolas" w:hAnsi="Consolas"/>
          <w:color w:val="263238"/>
          <w:sz w:val="17"/>
        </w:rPr>
        <w:t>|   |   `-- auth.py</w:t>
      </w:r>
      <w:r>
        <w:br/>
      </w:r>
      <w:r>
        <w:rPr>
          <w:rFonts w:ascii="Consolas" w:hAnsi="Consolas"/>
          <w:color w:val="263238"/>
          <w:sz w:val="17"/>
        </w:rPr>
        <w:t>|   |-- auth/</w:t>
      </w:r>
      <w:r>
        <w:br/>
      </w:r>
      <w:r>
        <w:rPr>
          <w:rFonts w:ascii="Consolas" w:hAnsi="Consolas"/>
          <w:color w:val="263238"/>
          <w:sz w:val="17"/>
        </w:rPr>
        <w:t>|   |   |-- hashing.py</w:t>
      </w:r>
      <w:r>
        <w:br/>
      </w:r>
      <w:r>
        <w:rPr>
          <w:rFonts w:ascii="Consolas" w:hAnsi="Consolas"/>
          <w:color w:val="263238"/>
          <w:sz w:val="17"/>
        </w:rPr>
        <w:t>|   |   `-- jwt_handler.py</w:t>
      </w:r>
      <w:r>
        <w:br/>
      </w:r>
      <w:r>
        <w:rPr>
          <w:rFonts w:ascii="Consolas" w:hAnsi="Consolas"/>
          <w:color w:val="263238"/>
          <w:sz w:val="17"/>
        </w:rPr>
        <w:t>|   |-- core/config.py</w:t>
      </w:r>
      <w:r>
        <w:br/>
      </w:r>
      <w:r>
        <w:rPr>
          <w:rFonts w:ascii="Consolas" w:hAnsi="Consolas"/>
          <w:color w:val="263238"/>
          <w:sz w:val="17"/>
        </w:rPr>
        <w:t>|   |-- crud/user.py</w:t>
      </w:r>
      <w:r>
        <w:br/>
      </w:r>
      <w:r>
        <w:rPr>
          <w:rFonts w:ascii="Consolas" w:hAnsi="Consolas"/>
          <w:color w:val="263238"/>
          <w:sz w:val="17"/>
        </w:rPr>
        <w:t>|   |-- db/</w:t>
      </w:r>
      <w:r>
        <w:br/>
      </w:r>
      <w:r>
        <w:rPr>
          <w:rFonts w:ascii="Consolas" w:hAnsi="Consolas"/>
          <w:color w:val="263238"/>
          <w:sz w:val="17"/>
        </w:rPr>
        <w:t>|   |   |-- database.py</w:t>
      </w:r>
      <w:r>
        <w:br/>
      </w:r>
      <w:r>
        <w:rPr>
          <w:rFonts w:ascii="Consolas" w:hAnsi="Consolas"/>
          <w:color w:val="263238"/>
          <w:sz w:val="17"/>
        </w:rPr>
        <w:t>|   |   `-- session.py</w:t>
      </w:r>
      <w:r>
        <w:br/>
      </w:r>
      <w:r>
        <w:rPr>
          <w:rFonts w:ascii="Consolas" w:hAnsi="Consolas"/>
          <w:color w:val="263238"/>
          <w:sz w:val="17"/>
        </w:rPr>
        <w:t>|   |-- models/user.py</w:t>
      </w:r>
      <w:r>
        <w:br/>
      </w:r>
      <w:r>
        <w:rPr>
          <w:rFonts w:ascii="Consolas" w:hAnsi="Consolas"/>
          <w:color w:val="263238"/>
          <w:sz w:val="17"/>
        </w:rPr>
        <w:t>|   |-- schemas/</w:t>
      </w:r>
      <w:r>
        <w:br/>
      </w:r>
      <w:r>
        <w:rPr>
          <w:rFonts w:ascii="Consolas" w:hAnsi="Consolas"/>
          <w:color w:val="263238"/>
          <w:sz w:val="17"/>
        </w:rPr>
        <w:t>|   |   |-- speech.py</w:t>
      </w:r>
      <w:r>
        <w:br/>
      </w:r>
      <w:r>
        <w:rPr>
          <w:rFonts w:ascii="Consolas" w:hAnsi="Consolas"/>
          <w:color w:val="263238"/>
          <w:sz w:val="17"/>
        </w:rPr>
        <w:t>|   |   |-- user.py</w:t>
      </w:r>
      <w:r>
        <w:br/>
      </w:r>
      <w:r>
        <w:rPr>
          <w:rFonts w:ascii="Consolas" w:hAnsi="Consolas"/>
          <w:color w:val="263238"/>
          <w:sz w:val="17"/>
        </w:rPr>
        <w:t>|   |   `-- auth.py</w:t>
      </w:r>
      <w:r>
        <w:br/>
      </w:r>
      <w:r>
        <w:rPr>
          <w:rFonts w:ascii="Consolas" w:hAnsi="Consolas"/>
          <w:color w:val="263238"/>
          <w:sz w:val="17"/>
        </w:rPr>
        <w:t>|   |-- services/</w:t>
      </w:r>
      <w:r>
        <w:br/>
      </w:r>
      <w:r>
        <w:rPr>
          <w:rFonts w:ascii="Consolas" w:hAnsi="Consolas"/>
          <w:color w:val="263238"/>
          <w:sz w:val="17"/>
        </w:rPr>
        <w:t>|   |   |-- speech_service.py</w:t>
      </w:r>
      <w:r>
        <w:br/>
      </w:r>
      <w:r>
        <w:rPr>
          <w:rFonts w:ascii="Consolas" w:hAnsi="Consolas"/>
          <w:color w:val="263238"/>
          <w:sz w:val="17"/>
        </w:rPr>
        <w:t>|   |   |-- user_service.py</w:t>
      </w:r>
      <w:r>
        <w:br/>
      </w:r>
      <w:r>
        <w:rPr>
          <w:rFonts w:ascii="Consolas" w:hAnsi="Consolas"/>
          <w:color w:val="263238"/>
          <w:sz w:val="17"/>
        </w:rPr>
        <w:t>|   |   `-- auth_service.py</w:t>
      </w:r>
      <w:r>
        <w:br/>
      </w:r>
      <w:r>
        <w:rPr>
          <w:rFonts w:ascii="Consolas" w:hAnsi="Consolas"/>
          <w:color w:val="263238"/>
          <w:sz w:val="17"/>
        </w:rPr>
        <w:t>|   `-- main.py</w:t>
      </w:r>
      <w:r>
        <w:br/>
      </w:r>
      <w:r>
        <w:rPr>
          <w:rFonts w:ascii="Consolas" w:hAnsi="Consolas"/>
          <w:color w:val="263238"/>
          <w:sz w:val="17"/>
        </w:rPr>
        <w:t>|-- requirements.txt</w:t>
      </w:r>
      <w:r>
        <w:br/>
      </w:r>
      <w:r>
        <w:rPr>
          <w:rFonts w:ascii="Consolas" w:hAnsi="Consolas"/>
          <w:color w:val="263238"/>
          <w:sz w:val="17"/>
        </w:rPr>
        <w:t>|-- .env</w:t>
      </w:r>
      <w:r>
        <w:br/>
      </w:r>
      <w:r>
        <w:rPr>
          <w:rFonts w:ascii="Consolas" w:hAnsi="Consolas"/>
          <w:color w:val="263238"/>
          <w:sz w:val="17"/>
        </w:rPr>
        <w:t>`-- README.md</w:t>
      </w:r>
    </w:p>
    <w:p>
      <w:r>
        <w:br w:type="page"/>
      </w:r>
    </w:p>
    <w:p>
      <w:pPr>
        <w:pStyle w:val="Heading1"/>
      </w:pPr>
      <w:r>
        <w:t>2. Delivery Progress</w:t>
      </w:r>
    </w:p>
    <w:p>
      <w:pPr>
        <w:pStyle w:val="Heading2"/>
      </w:pPr>
      <w:r>
        <w:t>Sprint Breakdown</w:t>
      </w:r>
    </w:p>
    <w:tbl>
      <w:tblPr>
        <w:tblW w:type="dxa" w:w="9360"/>
        <w:jc w:val="left"/>
        <w:tblLayout w:type="fixed"/>
        <w:tblLook w:firstColumn="1" w:firstRow="1" w:lastColumn="0" w:lastRow="0" w:noHBand="0" w:noVBand="1" w:val="04A0"/>
        <w:tblInd w:type="dxa" w:w="120"/>
      </w:tblPr>
      <w:tblGrid>
        <w:gridCol w:w="1200"/>
        <w:gridCol w:w="2500"/>
        <w:gridCol w:w="1300"/>
        <w:gridCol w:w="4360"/>
      </w:tblGrid>
      <w:tr>
        <w:trPr>
          <w:tblHeader w:val="true"/>
        </w:trPr>
        <w:tc>
          <w:tcPr>
            <w:tcW w:type="dxa" w:w="12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Sprint</w:t>
            </w:r>
          </w:p>
        </w:tc>
        <w:tc>
          <w:tcPr>
            <w:tcW w:type="dxa" w:w="25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Focus</w:t>
            </w:r>
          </w:p>
        </w:tc>
        <w:tc>
          <w:tcPr>
            <w:tcW w:type="dxa" w:w="13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Status</w:t>
            </w:r>
          </w:p>
        </w:tc>
        <w:tc>
          <w:tcPr>
            <w:tcW w:type="dxa" w:w="436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Key Outcomes</w:t>
            </w:r>
          </w:p>
        </w:tc>
      </w:tr>
      <w:tr>
        <w:trPr/>
        <w:tc>
          <w:tcPr>
            <w:tcW w:type="dxa" w:w="1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Sprint 1</w:t>
            </w:r>
          </w:p>
        </w:tc>
        <w:tc>
          <w:tcPr>
            <w:tcW w:type="dxa" w:w="2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Backend foundation</w:t>
            </w:r>
          </w:p>
        </w:tc>
        <w:tc>
          <w:tcPr>
            <w:tcW w:type="dxa" w:w="13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Complete</w:t>
            </w:r>
          </w:p>
        </w:tc>
        <w:tc>
          <w:tcPr>
            <w:tcW w:type="dxa" w:w="43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FastAPI app, configuration, routes, schemas, service boundaries, health and speech placeholders.</w:t>
            </w:r>
          </w:p>
        </w:tc>
      </w:tr>
      <w:tr>
        <w:trPr/>
        <w:tc>
          <w:tcPr>
            <w:tcW w:type="dxa" w:w="1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Sprint 2</w:t>
            </w:r>
          </w:p>
        </w:tc>
        <w:tc>
          <w:tcPr>
            <w:tcW w:type="dxa" w:w="2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Database and authentication</w:t>
            </w:r>
          </w:p>
        </w:tc>
        <w:tc>
          <w:tcPr>
            <w:tcW w:type="dxa" w:w="13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Mostly complete</w:t>
            </w:r>
          </w:p>
        </w:tc>
        <w:tc>
          <w:tcPr>
            <w:tcW w:type="dxa" w:w="43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PostgreSQL, SQLAlchemy, user registration, bcrypt hashing, JWT creation, and login endpoint.</w:t>
            </w:r>
          </w:p>
        </w:tc>
      </w:tr>
    </w:tbl>
    <w:p>
      <w:pPr>
        <w:spacing w:after="20"/>
      </w:pPr>
    </w:p>
    <w:p>
      <w:pPr>
        <w:pStyle w:val="Heading2"/>
      </w:pPr>
      <w:r>
        <w:t>Completed Features</w:t>
      </w:r>
    </w:p>
    <w:tbl>
      <w:tblPr>
        <w:tblW w:type="dxa" w:w="9360"/>
        <w:jc w:val="left"/>
        <w:tblLayout w:type="fixed"/>
        <w:tblLook w:firstColumn="1" w:firstRow="1" w:lastColumn="0" w:lastRow="0" w:noHBand="0" w:noVBand="1" w:val="04A0"/>
        <w:tblInd w:type="dxa" w:w="120"/>
      </w:tblPr>
      <w:tblGrid>
        <w:gridCol w:w="1800"/>
        <w:gridCol w:w="3150"/>
        <w:gridCol w:w="4410"/>
      </w:tblGrid>
      <w:tr>
        <w:trPr>
          <w:tblHeader w:val="true"/>
        </w:trPr>
        <w:tc>
          <w:tcPr>
            <w:tcW w:type="dxa" w:w="18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Area</w:t>
            </w:r>
          </w:p>
        </w:tc>
        <w:tc>
          <w:tcPr>
            <w:tcW w:type="dxa" w:w="315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Implemented</w:t>
            </w:r>
          </w:p>
        </w:tc>
        <w:tc>
          <w:tcPr>
            <w:tcW w:type="dxa" w:w="441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Notes</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API</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FastAPI application and Swagger documentation</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Interactive API documentation is available at /docs.</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Configuration</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Environment-based settings</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Project metadata, host, port, JWT secret, algorithm, and expiry are loaded from .env.</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Persistence</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PostgreSQL + SQLAlchemy</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Engine, session factory, declarative base, and dependency-injected database sessions are in place.</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Users</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Registration with duplicate-email protection</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Request validation and response models keep the password out of returned data.</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Security</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bcrypt password hashing</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Passwords are hashed before they are persisted and verified during login.</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Authentication</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JWT creation and login</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Successful login returns a bearer access token; verification/protected routes remain next.</w:t>
            </w:r>
          </w:p>
        </w:tc>
      </w:tr>
      <w:tr>
        <w:trPr/>
        <w:tc>
          <w:tcPr>
            <w:tcW w:type="dxa" w:w="18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Speech</w:t>
            </w:r>
          </w:p>
        </w:tc>
        <w:tc>
          <w:tcPr>
            <w:tcW w:type="dxa" w:w="31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Initial route and service placeholder</w:t>
            </w:r>
          </w:p>
        </w:tc>
        <w:tc>
          <w:tcPr>
            <w:tcW w:type="dxa" w:w="44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The structure is ready for Whisper transcription and subsequent speech analysis.</w:t>
            </w:r>
          </w:p>
        </w:tc>
      </w:tr>
    </w:tbl>
    <w:p>
      <w:pPr>
        <w:spacing w:after="20"/>
      </w:pPr>
    </w:p>
    <w:p>
      <w:pPr>
        <w:pStyle w:val="Heading2"/>
      </w:pPr>
      <w:r>
        <w:t>Sprint 1 - Backend Foundation</w:t>
      </w:r>
    </w:p>
    <w:p>
      <w:pPr>
        <w:pStyle w:val="ListBullet"/>
        <w:spacing w:after="80" w:line="300" w:lineRule="auto"/>
        <w:ind w:left="540" w:hanging="271"/>
      </w:pPr>
      <w:r>
        <w:rPr>
          <w:rFonts w:ascii="Calibri" w:hAnsi="Calibri"/>
          <w:color w:val="111111"/>
          <w:sz w:val="22"/>
        </w:rPr>
        <w:t>Created the FastAPI application and configured project name, version, host, and port.</w:t>
      </w:r>
    </w:p>
    <w:p>
      <w:pPr>
        <w:pStyle w:val="ListBullet"/>
        <w:spacing w:after="80" w:line="300" w:lineRule="auto"/>
        <w:ind w:left="540" w:hanging="271"/>
      </w:pPr>
      <w:r>
        <w:rPr>
          <w:rFonts w:ascii="Calibri" w:hAnsi="Calibri"/>
          <w:color w:val="111111"/>
          <w:sz w:val="22"/>
        </w:rPr>
        <w:t>Added Swagger documentation through FastAPI's built-in /docs endpoint.</w:t>
      </w:r>
    </w:p>
    <w:p>
      <w:pPr>
        <w:pStyle w:val="ListBullet"/>
        <w:spacing w:after="80" w:line="300" w:lineRule="auto"/>
        <w:ind w:left="540" w:hanging="271"/>
      </w:pPr>
      <w:r>
        <w:rPr>
          <w:rFonts w:ascii="Calibri" w:hAnsi="Calibri"/>
          <w:color w:val="111111"/>
          <w:sz w:val="22"/>
        </w:rPr>
        <w:t>Centralized application configuration in app/core/config.py and loaded values from .env.</w:t>
      </w:r>
    </w:p>
    <w:p>
      <w:pPr>
        <w:pStyle w:val="ListBullet"/>
        <w:spacing w:after="80" w:line="300" w:lineRule="auto"/>
        <w:ind w:left="540" w:hanging="271"/>
      </w:pPr>
      <w:r>
        <w:rPr>
          <w:rFonts w:ascii="Calibri" w:hAnsi="Calibri"/>
          <w:color w:val="111111"/>
          <w:sz w:val="22"/>
        </w:rPr>
        <w:t>Implemented a health endpoint for deployment and runtime checks.</w:t>
      </w:r>
    </w:p>
    <w:p>
      <w:pPr>
        <w:pStyle w:val="ListBullet"/>
        <w:spacing w:after="80" w:line="300" w:lineRule="auto"/>
        <w:ind w:left="540" w:hanging="271"/>
      </w:pPr>
      <w:r>
        <w:rPr>
          <w:rFonts w:ascii="Calibri" w:hAnsi="Calibri"/>
          <w:color w:val="111111"/>
          <w:sz w:val="22"/>
        </w:rPr>
        <w:t>Created an initial speech route and service as an architectural placeholder for the AI pipeline.</w:t>
      </w:r>
    </w:p>
    <w:p>
      <w:pPr>
        <w:pStyle w:val="ListBullet"/>
        <w:spacing w:after="80" w:line="300" w:lineRule="auto"/>
        <w:ind w:left="540" w:hanging="271"/>
      </w:pPr>
      <w:r>
        <w:rPr>
          <w:rFonts w:ascii="Calibri" w:hAnsi="Calibri"/>
          <w:color w:val="111111"/>
          <w:sz w:val="22"/>
        </w:rPr>
        <w:t>Introduced Pydantic schemas and separated HTTP routes from business logic.</w:t>
      </w:r>
    </w:p>
    <w:p>
      <w:r>
        <w:br w:type="page"/>
      </w:r>
    </w:p>
    <w:p>
      <w:pPr>
        <w:pStyle w:val="Heading1"/>
      </w:pPr>
      <w:r>
        <w:t>3. Database and Authentication</w:t>
      </w:r>
    </w:p>
    <w:p>
      <w:pPr>
        <w:pStyle w:val="Heading2"/>
      </w:pPr>
      <w:r>
        <w:t>Sprint 2 - Database Integration</w:t>
      </w:r>
    </w:p>
    <w:p>
      <w:pPr/>
      <w:r>
        <w:rPr>
          <w:rFonts w:ascii="Calibri" w:hAnsi="Calibri"/>
          <w:color w:val="111111"/>
          <w:sz w:val="22"/>
        </w:rPr>
        <w:t>PostgreSQL 17 and pgAdmin 4 were installed, and the FastAPI backend was connected to the speakwise_db database using SQLAlchemy, Alembic, and psycopg2.</w:t>
      </w:r>
    </w:p>
    <w:p>
      <w:pPr>
        <w:pStyle w:val="Heading2"/>
      </w:pPr>
      <w:r>
        <w:t>Database Design</w:t>
      </w:r>
    </w:p>
    <w:tbl>
      <w:tblPr>
        <w:tblW w:type="dxa" w:w="9360"/>
        <w:jc w:val="left"/>
        <w:tblLayout w:type="fixed"/>
        <w:tblLook w:firstColumn="1" w:firstRow="1" w:lastColumn="0" w:lastRow="0" w:noHBand="0" w:noVBand="1" w:val="04A0"/>
        <w:tblInd w:type="dxa" w:w="120"/>
      </w:tblPr>
      <w:tblGrid>
        <w:gridCol w:w="1750"/>
        <w:gridCol w:w="2600"/>
        <w:gridCol w:w="5010"/>
      </w:tblGrid>
      <w:tr>
        <w:trPr>
          <w:tblHeader w:val="true"/>
        </w:trPr>
        <w:tc>
          <w:tcPr>
            <w:tcW w:type="dxa" w:w="175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Component</w:t>
            </w:r>
          </w:p>
        </w:tc>
        <w:tc>
          <w:tcPr>
            <w:tcW w:type="dxa" w:w="26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Responsibility</w:t>
            </w:r>
          </w:p>
        </w:tc>
        <w:tc>
          <w:tcPr>
            <w:tcW w:type="dxa" w:w="501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Current Details</w:t>
            </w:r>
          </w:p>
        </w:tc>
      </w:tr>
      <w:tr>
        <w:trPr/>
        <w:tc>
          <w:tcPr>
            <w:tcW w:type="dxa" w:w="17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database.py</w:t>
            </w:r>
          </w:p>
        </w:tc>
        <w:tc>
          <w:tcPr>
            <w:tcW w:type="dxa" w:w="2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Database setup</w:t>
            </w:r>
          </w:p>
        </w:tc>
        <w:tc>
          <w:tcPr>
            <w:tcW w:type="dxa" w:w="50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Defines the engine, SessionLocal factory, and SQLAlchemy Base.</w:t>
            </w:r>
          </w:p>
        </w:tc>
      </w:tr>
      <w:tr>
        <w:trPr/>
        <w:tc>
          <w:tcPr>
            <w:tcW w:type="dxa" w:w="17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session.py</w:t>
            </w:r>
          </w:p>
        </w:tc>
        <w:tc>
          <w:tcPr>
            <w:tcW w:type="dxa" w:w="2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Session lifecycle</w:t>
            </w:r>
          </w:p>
        </w:tc>
        <w:tc>
          <w:tcPr>
            <w:tcW w:type="dxa" w:w="50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Provides get_db(), which opens a session, yields it to the route/service flow, and closes it automatically.</w:t>
            </w:r>
          </w:p>
        </w:tc>
      </w:tr>
      <w:tr>
        <w:trPr/>
        <w:tc>
          <w:tcPr>
            <w:tcW w:type="dxa" w:w="17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User model</w:t>
            </w:r>
          </w:p>
        </w:tc>
        <w:tc>
          <w:tcPr>
            <w:tcW w:type="dxa" w:w="2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users table mapping</w:t>
            </w:r>
          </w:p>
        </w:tc>
        <w:tc>
          <w:tcPr>
            <w:tcW w:type="dxa" w:w="50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Current fields: id, name, email, password.</w:t>
            </w:r>
          </w:p>
        </w:tc>
      </w:tr>
      <w:tr>
        <w:trPr/>
        <w:tc>
          <w:tcPr>
            <w:tcW w:type="dxa" w:w="17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Automatic tables</w:t>
            </w:r>
          </w:p>
        </w:tc>
        <w:tc>
          <w:tcPr>
            <w:tcW w:type="dxa" w:w="2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Development convenience</w:t>
            </w:r>
          </w:p>
        </w:tc>
        <w:tc>
          <w:tcPr>
            <w:tcW w:type="dxa" w:w="50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Base.metadata.create_all() is used in development; production should move to Alembic migrations.</w:t>
            </w:r>
          </w:p>
        </w:tc>
      </w:tr>
      <w:tr>
        <w:trPr/>
        <w:tc>
          <w:tcPr>
            <w:tcW w:type="dxa" w:w="17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crud/user.py</w:t>
            </w:r>
          </w:p>
        </w:tc>
        <w:tc>
          <w:tcPr>
            <w:tcW w:type="dxa" w:w="2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Data operations</w:t>
            </w:r>
          </w:p>
        </w:tc>
        <w:tc>
          <w:tcPr>
            <w:tcW w:type="dxa" w:w="501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Retrieves a user by email and creates a user; it contains no validation or higher-level policy.</w:t>
            </w:r>
          </w:p>
        </w:tc>
      </w:tr>
    </w:tbl>
    <w:p>
      <w:pPr>
        <w:spacing w:after="20"/>
      </w:pPr>
    </w:p>
    <w:p>
      <w:pPr>
        <w:pStyle w:val="Heading2"/>
      </w:pPr>
      <w:r>
        <w:t>Registration Flow</w:t>
      </w:r>
    </w:p>
    <w:p>
      <w:pPr>
        <w:spacing w:before="80" w:after="160" w:line="252" w:lineRule="auto"/>
        <w:ind w:left="317" w:right="173"/>
        <w:shd w:fill="F5F7FA"/>
        <w:pBdr>
          <w:left w:val="single" w:sz="12" w:space="8" w:color="2E74B5"/>
        </w:pBdr>
      </w:pPr>
      <w:r>
        <w:rPr>
          <w:rFonts w:ascii="Consolas" w:hAnsi="Consolas"/>
          <w:color w:val="263238"/>
          <w:sz w:val="17"/>
        </w:rPr>
        <w:t>POST /users/register</w:t>
      </w:r>
      <w:r>
        <w:br/>
      </w:r>
      <w:r>
        <w:rPr>
          <w:rFonts w:ascii="Consolas" w:hAnsi="Consolas"/>
          <w:color w:val="263238"/>
          <w:sz w:val="17"/>
        </w:rPr>
      </w:r>
      <w:r>
        <w:br/>
      </w:r>
      <w:r>
        <w:rPr>
          <w:rFonts w:ascii="Consolas" w:hAnsi="Consolas"/>
          <w:color w:val="263238"/>
          <w:sz w:val="17"/>
        </w:rPr>
        <w:t>Client -&gt; request validation -&gt; user service -&gt; CRUD -&gt; PostgreSQL</w:t>
      </w:r>
      <w:r>
        <w:br/>
      </w:r>
      <w:r>
        <w:rPr>
          <w:rFonts w:ascii="Consolas" w:hAnsi="Consolas"/>
          <w:color w:val="263238"/>
          <w:sz w:val="17"/>
        </w:rPr>
      </w:r>
      <w:r>
        <w:br/>
      </w:r>
      <w:r>
        <w:rPr>
          <w:rFonts w:ascii="Consolas" w:hAnsi="Consolas"/>
          <w:color w:val="263238"/>
          <w:sz w:val="17"/>
        </w:rPr>
        <w:t>Key checks: duplicate email detection, password hashing before insert, password excluded from response</w:t>
      </w:r>
    </w:p>
    <w:p>
      <w:pPr>
        <w:pStyle w:val="Heading2"/>
      </w:pPr>
      <w:r>
        <w:t>Authentication Flow</w:t>
      </w:r>
    </w:p>
    <w:p>
      <w:pPr>
        <w:spacing w:before="80" w:after="160" w:line="252" w:lineRule="auto"/>
        <w:ind w:left="317" w:right="173"/>
        <w:shd w:fill="F5F7FA"/>
        <w:pBdr>
          <w:left w:val="single" w:sz="12" w:space="8" w:color="2E74B5"/>
        </w:pBdr>
      </w:pPr>
      <w:r>
        <w:rPr>
          <w:rFonts w:ascii="Consolas" w:hAnsi="Consolas"/>
          <w:color w:val="263238"/>
          <w:sz w:val="17"/>
        </w:rPr>
        <w:t>POST /auth/login</w:t>
      </w:r>
      <w:r>
        <w:br/>
      </w:r>
      <w:r>
        <w:rPr>
          <w:rFonts w:ascii="Consolas" w:hAnsi="Consolas"/>
          <w:color w:val="263238"/>
          <w:sz w:val="17"/>
        </w:rPr>
      </w:r>
      <w:r>
        <w:br/>
      </w:r>
      <w:r>
        <w:rPr>
          <w:rFonts w:ascii="Consolas" w:hAnsi="Consolas"/>
          <w:color w:val="263238"/>
          <w:sz w:val="17"/>
        </w:rPr>
        <w:t>Client -&gt; find user by email -&gt; verify bcrypt hash -&gt; create JWT -&gt; return bearer token</w:t>
      </w:r>
      <w:r>
        <w:br/>
      </w:r>
      <w:r>
        <w:rPr>
          <w:rFonts w:ascii="Consolas" w:hAnsi="Consolas"/>
          <w:color w:val="263238"/>
          <w:sz w:val="17"/>
        </w:rPr>
      </w:r>
      <w:r>
        <w:br/>
      </w:r>
      <w:r>
        <w:rPr>
          <w:rFonts w:ascii="Consolas" w:hAnsi="Consolas"/>
          <w:color w:val="263238"/>
          <w:sz w:val="17"/>
        </w:rPr>
        <w:t>Response</w:t>
      </w:r>
      <w:r>
        <w:br/>
      </w:r>
      <w:r>
        <w:rPr>
          <w:rFonts w:ascii="Consolas" w:hAnsi="Consolas"/>
          <w:color w:val="263238"/>
          <w:sz w:val="17"/>
        </w:rPr>
        <w:t>{</w:t>
      </w:r>
      <w:r>
        <w:br/>
      </w:r>
      <w:r>
        <w:rPr>
          <w:rFonts w:ascii="Consolas" w:hAnsi="Consolas"/>
          <w:color w:val="263238"/>
          <w:sz w:val="17"/>
        </w:rPr>
        <w:t xml:space="preserve">  "access_token": "&lt;jwt_token&gt;",</w:t>
      </w:r>
      <w:r>
        <w:br/>
      </w:r>
      <w:r>
        <w:rPr>
          <w:rFonts w:ascii="Consolas" w:hAnsi="Consolas"/>
          <w:color w:val="263238"/>
          <w:sz w:val="17"/>
        </w:rPr>
        <w:t xml:space="preserve">  "token_type": "bearer"</w:t>
      </w:r>
      <w:r>
        <w:br/>
      </w:r>
      <w:r>
        <w:rPr>
          <w:rFonts w:ascii="Consolas" w:hAnsi="Consolas"/>
          <w:color w:val="263238"/>
          <w:sz w:val="17"/>
        </w:rPr>
        <w:t>}</w:t>
      </w:r>
    </w:p>
    <w:p>
      <w:pPr>
        <w:pStyle w:val="Heading2"/>
      </w:pPr>
      <w:r>
        <w:t>Security Decisions</w:t>
      </w:r>
    </w:p>
    <w:p>
      <w:pPr>
        <w:pStyle w:val="ListBullet"/>
        <w:spacing w:after="80" w:line="300" w:lineRule="auto"/>
        <w:ind w:left="540" w:hanging="271"/>
      </w:pPr>
      <w:r>
        <w:rPr>
          <w:rFonts w:ascii="Calibri" w:hAnsi="Calibri"/>
          <w:color w:val="111111"/>
          <w:sz w:val="22"/>
        </w:rPr>
        <w:t>Plain-text password storage was replaced with bcrypt hashing via auth/hashing.py.</w:t>
      </w:r>
    </w:p>
    <w:p>
      <w:pPr>
        <w:pStyle w:val="ListBullet"/>
        <w:spacing w:after="80" w:line="300" w:lineRule="auto"/>
        <w:ind w:left="540" w:hanging="271"/>
      </w:pPr>
      <w:r>
        <w:rPr>
          <w:rFonts w:ascii="Calibri" w:hAnsi="Calibri"/>
          <w:color w:val="111111"/>
          <w:sz w:val="22"/>
        </w:rPr>
        <w:t>JWT creation, signing, and expiry are isolated in auth/jwt_handler.py.</w:t>
      </w:r>
    </w:p>
    <w:p>
      <w:pPr>
        <w:pStyle w:val="ListBullet"/>
        <w:spacing w:after="80" w:line="300" w:lineRule="auto"/>
        <w:ind w:left="540" w:hanging="271"/>
      </w:pPr>
      <w:r>
        <w:rPr>
          <w:rFonts w:ascii="Calibri" w:hAnsi="Calibri"/>
          <w:color w:val="111111"/>
          <w:sz w:val="22"/>
        </w:rPr>
        <w:t>The JWT secret, algorithm (HS256), and access-token expiry are read from .env instead of being hard-coded in application code.</w:t>
      </w:r>
    </w:p>
    <w:p>
      <w:pPr>
        <w:pStyle w:val="ListBullet"/>
        <w:spacing w:after="80" w:line="300" w:lineRule="auto"/>
        <w:ind w:left="540" w:hanging="271"/>
      </w:pPr>
      <w:r>
        <w:rPr>
          <w:rFonts w:ascii="Calibri" w:hAnsi="Calibri"/>
          <w:color w:val="111111"/>
          <w:sz w:val="22"/>
        </w:rPr>
        <w:t>A compatibility issue between passlib 1.7.4 and bcrypt 5.0.0 was resolved by pinning bcrypt==4.0.1. Dependency versions should remain pinned in requirements.txt.</w:t>
      </w:r>
    </w:p>
    <w:p>
      <w:r>
        <w:br w:type="page"/>
      </w:r>
    </w:p>
    <w:p>
      <w:pPr>
        <w:pStyle w:val="Heading1"/>
      </w:pPr>
      <w:r>
        <w:t>4. Architecture and Development Guidelines</w:t>
      </w:r>
    </w:p>
    <w:p>
      <w:pPr>
        <w:pStyle w:val="Heading2"/>
      </w:pPr>
      <w:r>
        <w:t>Layer Responsibilities</w:t>
      </w:r>
    </w:p>
    <w:tbl>
      <w:tblPr>
        <w:tblW w:type="dxa" w:w="9360"/>
        <w:jc w:val="left"/>
        <w:tblLayout w:type="fixed"/>
        <w:tblLook w:firstColumn="1" w:firstRow="1" w:lastColumn="0" w:lastRow="0" w:noHBand="0" w:noVBand="1" w:val="04A0"/>
        <w:tblInd w:type="dxa" w:w="120"/>
      </w:tblPr>
      <w:tblGrid>
        <w:gridCol w:w="1500"/>
        <w:gridCol w:w="4200"/>
        <w:gridCol w:w="3660"/>
      </w:tblGrid>
      <w:tr>
        <w:trPr>
          <w:tblHeader w:val="true"/>
        </w:trPr>
        <w:tc>
          <w:tcPr>
            <w:tcW w:type="dxa" w:w="15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Layer</w:t>
            </w:r>
          </w:p>
        </w:tc>
        <w:tc>
          <w:tcPr>
            <w:tcW w:type="dxa" w:w="42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Responsible For</w:t>
            </w:r>
          </w:p>
        </w:tc>
        <w:tc>
          <w:tcPr>
            <w:tcW w:type="dxa" w:w="366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Must Not Do</w:t>
            </w:r>
          </w:p>
        </w:tc>
      </w:tr>
      <w:tr>
        <w:trPr/>
        <w:tc>
          <w:tcPr>
            <w:tcW w:type="dxa" w:w="1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Routes</w:t>
            </w:r>
          </w:p>
        </w:tc>
        <w:tc>
          <w:tcPr>
            <w:tcW w:type="dxa" w:w="4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Receive requests, depend on services, and return HTTP responses.</w:t>
            </w:r>
          </w:p>
        </w:tc>
        <w:tc>
          <w:tcPr>
            <w:tcW w:type="dxa" w:w="36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Contain business rules or direct SQL.</w:t>
            </w:r>
          </w:p>
        </w:tc>
      </w:tr>
      <w:tr>
        <w:trPr/>
        <w:tc>
          <w:tcPr>
            <w:tcW w:type="dxa" w:w="1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Services</w:t>
            </w:r>
          </w:p>
        </w:tc>
        <w:tc>
          <w:tcPr>
            <w:tcW w:type="dxa" w:w="4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Apply business rules, coordinate validation, authenticate, and hash/verify passwords.</w:t>
            </w:r>
          </w:p>
        </w:tc>
        <w:tc>
          <w:tcPr>
            <w:tcW w:type="dxa" w:w="36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Execute SQL queries directly.</w:t>
            </w:r>
          </w:p>
        </w:tc>
      </w:tr>
      <w:tr>
        <w:trPr/>
        <w:tc>
          <w:tcPr>
            <w:tcW w:type="dxa" w:w="1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CRUD</w:t>
            </w:r>
          </w:p>
        </w:tc>
        <w:tc>
          <w:tcPr>
            <w:tcW w:type="dxa" w:w="4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Perform focused database operations.</w:t>
            </w:r>
          </w:p>
        </w:tc>
        <w:tc>
          <w:tcPr>
            <w:tcW w:type="dxa" w:w="36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Contain validation or business-policy decisions.</w:t>
            </w:r>
          </w:p>
        </w:tc>
      </w:tr>
      <w:tr>
        <w:trPr/>
        <w:tc>
          <w:tcPr>
            <w:tcW w:type="dxa" w:w="1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Models</w:t>
            </w:r>
          </w:p>
        </w:tc>
        <w:tc>
          <w:tcPr>
            <w:tcW w:type="dxa" w:w="4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Represent database tables and relationships.</w:t>
            </w:r>
          </w:p>
        </w:tc>
        <w:tc>
          <w:tcPr>
            <w:tcW w:type="dxa" w:w="36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Define request/response contracts.</w:t>
            </w:r>
          </w:p>
        </w:tc>
      </w:tr>
      <w:tr>
        <w:trPr/>
        <w:tc>
          <w:tcPr>
            <w:tcW w:type="dxa" w:w="15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Schemas</w:t>
            </w:r>
          </w:p>
        </w:tc>
        <w:tc>
          <w:tcPr>
            <w:tcW w:type="dxa" w:w="42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Define validated request and response payloads.</w:t>
            </w:r>
          </w:p>
        </w:tc>
        <w:tc>
          <w:tcPr>
            <w:tcW w:type="dxa" w:w="36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Expose secrets or persisted password values.</w:t>
            </w:r>
          </w:p>
        </w:tc>
      </w:tr>
    </w:tbl>
    <w:p>
      <w:pPr>
        <w:spacing w:after="20"/>
      </w:pPr>
    </w:p>
    <w:p>
      <w:pPr>
        <w:pStyle w:val="Heading2"/>
      </w:pPr>
      <w:r>
        <w:t>Working Rules for New Features</w:t>
      </w:r>
    </w:p>
    <w:p>
      <w:pPr>
        <w:pStyle w:val="ListBullet"/>
        <w:spacing w:after="80" w:line="300" w:lineRule="auto"/>
        <w:ind w:left="540" w:hanging="271"/>
      </w:pPr>
      <w:r>
        <w:rPr>
          <w:rFonts w:ascii="Calibri" w:hAnsi="Calibri"/>
          <w:color w:val="111111"/>
          <w:sz w:val="22"/>
        </w:rPr>
        <w:t>Keep routes thin: all meaningful decision-making belongs in a service.</w:t>
      </w:r>
    </w:p>
    <w:p>
      <w:pPr>
        <w:pStyle w:val="ListBullet"/>
        <w:spacing w:after="80" w:line="300" w:lineRule="auto"/>
        <w:ind w:left="540" w:hanging="271"/>
      </w:pPr>
      <w:r>
        <w:rPr>
          <w:rFonts w:ascii="Calibri" w:hAnsi="Calibri"/>
          <w:color w:val="111111"/>
          <w:sz w:val="22"/>
        </w:rPr>
        <w:t>Keep services database-agnostic: move database reads and writes into CRUD functions.</w:t>
      </w:r>
    </w:p>
    <w:p>
      <w:pPr>
        <w:pStyle w:val="ListBullet"/>
        <w:spacing w:after="80" w:line="300" w:lineRule="auto"/>
        <w:ind w:left="540" w:hanging="271"/>
      </w:pPr>
      <w:r>
        <w:rPr>
          <w:rFonts w:ascii="Calibri" w:hAnsi="Calibri"/>
          <w:color w:val="111111"/>
          <w:sz w:val="22"/>
        </w:rPr>
        <w:t>Create request and response schemas for every new API endpoint.</w:t>
      </w:r>
    </w:p>
    <w:p>
      <w:pPr>
        <w:pStyle w:val="ListBullet"/>
        <w:spacing w:after="80" w:line="300" w:lineRule="auto"/>
        <w:ind w:left="540" w:hanging="271"/>
      </w:pPr>
      <w:r>
        <w:rPr>
          <w:rFonts w:ascii="Calibri" w:hAnsi="Calibri"/>
          <w:color w:val="111111"/>
          <w:sz w:val="22"/>
        </w:rPr>
        <w:t>Load secrets, connection details, and model configuration from .env through the centralized settings module.</w:t>
      </w:r>
    </w:p>
    <w:p>
      <w:pPr>
        <w:pStyle w:val="ListBullet"/>
        <w:spacing w:after="80" w:line="300" w:lineRule="auto"/>
        <w:ind w:left="540" w:hanging="271"/>
      </w:pPr>
      <w:r>
        <w:rPr>
          <w:rFonts w:ascii="Calibri" w:hAnsi="Calibri"/>
          <w:color w:val="111111"/>
          <w:sz w:val="22"/>
        </w:rPr>
        <w:t>Never return passwords, hashes, or secrets in API responses or logs.</w:t>
      </w:r>
    </w:p>
    <w:p>
      <w:pPr>
        <w:pStyle w:val="ListBullet"/>
        <w:spacing w:after="80" w:line="300" w:lineRule="auto"/>
        <w:ind w:left="540" w:hanging="271"/>
      </w:pPr>
      <w:r>
        <w:rPr>
          <w:rFonts w:ascii="Calibri" w:hAnsi="Calibri"/>
          <w:color w:val="111111"/>
          <w:sz w:val="22"/>
        </w:rPr>
        <w:t>Preserve the existing route -&gt; service -&gt; CRUD -&gt; model structure when adding analysis modules.</w:t>
      </w:r>
    </w:p>
    <w:p>
      <w:pPr>
        <w:pStyle w:val="ListBullet"/>
        <w:spacing w:after="80" w:line="300" w:lineRule="auto"/>
        <w:ind w:left="540" w:hanging="271"/>
      </w:pPr>
      <w:r>
        <w:rPr>
          <w:rFonts w:ascii="Calibri" w:hAnsi="Calibri"/>
          <w:color w:val="111111"/>
          <w:sz w:val="22"/>
        </w:rPr>
        <w:t>Use Alembic migrations before production deployment instead of relying on automatic table creation.</w:t>
      </w:r>
    </w:p>
    <w:p>
      <w:pPr>
        <w:pStyle w:val="Heading2"/>
      </w:pPr>
      <w:r>
        <w:t>Suggested Verification Routine</w:t>
      </w:r>
    </w:p>
    <w:p>
      <w:pPr>
        <w:pStyle w:val="ListNumber"/>
        <w:spacing w:after="80" w:line="300" w:lineRule="auto"/>
        <w:ind w:left="540" w:hanging="271"/>
      </w:pPr>
      <w:r>
        <w:rPr>
          <w:rFonts w:ascii="Calibri" w:hAnsi="Calibri"/>
          <w:color w:val="111111"/>
          <w:sz w:val="22"/>
        </w:rPr>
        <w:t>Run the FastAPI server and inspect the API in Swagger at /docs.</w:t>
      </w:r>
    </w:p>
    <w:p>
      <w:pPr>
        <w:pStyle w:val="ListNumber"/>
        <w:spacing w:after="80" w:line="300" w:lineRule="auto"/>
        <w:ind w:left="540" w:hanging="271"/>
      </w:pPr>
      <w:r>
        <w:rPr>
          <w:rFonts w:ascii="Calibri" w:hAnsi="Calibri"/>
          <w:color w:val="111111"/>
          <w:sz w:val="22"/>
        </w:rPr>
        <w:t>Test valid and duplicate registration requests; confirm duplicate emails receive a 400 response.</w:t>
      </w:r>
    </w:p>
    <w:p>
      <w:pPr>
        <w:pStyle w:val="ListNumber"/>
        <w:spacing w:after="80" w:line="300" w:lineRule="auto"/>
        <w:ind w:left="540" w:hanging="271"/>
      </w:pPr>
      <w:r>
        <w:rPr>
          <w:rFonts w:ascii="Calibri" w:hAnsi="Calibri"/>
          <w:color w:val="111111"/>
          <w:sz w:val="22"/>
        </w:rPr>
        <w:t>Inspect the users table in pgAdmin to verify a password is stored as a bcrypt hash, not plain text.</w:t>
      </w:r>
    </w:p>
    <w:p>
      <w:pPr>
        <w:pStyle w:val="ListNumber"/>
        <w:spacing w:after="80" w:line="300" w:lineRule="auto"/>
        <w:ind w:left="540" w:hanging="271"/>
      </w:pPr>
      <w:r>
        <w:rPr>
          <w:rFonts w:ascii="Calibri" w:hAnsi="Calibri"/>
          <w:color w:val="111111"/>
          <w:sz w:val="22"/>
        </w:rPr>
        <w:t>Test login with a registered user and verify the response returns a bearer access token.</w:t>
      </w:r>
    </w:p>
    <w:p>
      <w:pPr>
        <w:pStyle w:val="ListNumber"/>
        <w:spacing w:after="80" w:line="300" w:lineRule="auto"/>
        <w:ind w:left="540" w:hanging="271"/>
      </w:pPr>
      <w:r>
        <w:rPr>
          <w:rFonts w:ascii="Calibri" w:hAnsi="Calibri"/>
          <w:color w:val="111111"/>
          <w:sz w:val="22"/>
        </w:rPr>
        <w:t>Before adding protected functionality, implement JWT verification and test an endpoint with and without an Authorization: Bearer token.</w:t>
      </w:r>
    </w:p>
    <w:p>
      <w:r>
        <w:br w:type="page"/>
      </w:r>
    </w:p>
    <w:p>
      <w:pPr>
        <w:pStyle w:val="Heading1"/>
      </w:pPr>
      <w:r>
        <w:t>5. Current Status and Planned Data Model</w:t>
      </w:r>
    </w:p>
    <w:p>
      <w:pPr>
        <w:pStyle w:val="Heading2"/>
      </w:pPr>
      <w:r>
        <w:t>Current State</w:t>
      </w:r>
    </w:p>
    <w:p>
      <w:pPr/>
      <w:r>
        <w:rPr>
          <w:rFonts w:ascii="Calibri" w:hAnsi="Calibri"/>
          <w:color w:val="111111"/>
          <w:sz w:val="22"/>
        </w:rPr>
        <w:t>Milestone 1, Backend Foundation and Authentication, is substantially complete. Registration, secure password storage, token generation, and login are implemented. The remaining authentication work is token verification and authorization enforcement on protected routes.</w:t>
      </w:r>
    </w:p>
    <w:tbl>
      <w:tblPr>
        <w:tblW w:type="dxa" w:w="9360"/>
        <w:jc w:val="left"/>
        <w:tblLayout w:type="fixed"/>
        <w:tblLook w:firstColumn="1" w:firstRow="1" w:lastColumn="0" w:lastRow="0" w:noHBand="0" w:noVBand="1" w:val="04A0"/>
        <w:tblInd w:type="dxa" w:w="120"/>
      </w:tblPr>
      <w:tblGrid>
        <w:gridCol w:w="2650"/>
        <w:gridCol w:w="1650"/>
        <w:gridCol w:w="5060"/>
      </w:tblGrid>
      <w:tr>
        <w:trPr>
          <w:tblHeader w:val="true"/>
        </w:trPr>
        <w:tc>
          <w:tcPr>
            <w:tcW w:type="dxa" w:w="265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Capability</w:t>
            </w:r>
          </w:p>
        </w:tc>
        <w:tc>
          <w:tcPr>
            <w:tcW w:type="dxa" w:w="165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State</w:t>
            </w:r>
          </w:p>
        </w:tc>
        <w:tc>
          <w:tcPr>
            <w:tcW w:type="dxa" w:w="506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Next Action</w:t>
            </w:r>
          </w:p>
        </w:tc>
      </w:tr>
      <w:tr>
        <w:trPr/>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FastAPI / Swagger</w:t>
            </w:r>
          </w:p>
        </w:tc>
        <w:tc>
          <w:tcPr>
            <w:tcW w:type="dxa" w:w="1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Ready</w:t>
            </w:r>
          </w:p>
        </w:tc>
        <w:tc>
          <w:tcPr>
            <w:tcW w:type="dxa" w:w="5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Maintain as the integration and test surface.</w:t>
            </w:r>
          </w:p>
        </w:tc>
      </w:tr>
      <w:tr>
        <w:trPr/>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PostgreSQL / SQLAlchemy</w:t>
            </w:r>
          </w:p>
        </w:tc>
        <w:tc>
          <w:tcPr>
            <w:tcW w:type="dxa" w:w="1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Ready</w:t>
            </w:r>
          </w:p>
        </w:tc>
        <w:tc>
          <w:tcPr>
            <w:tcW w:type="dxa" w:w="5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Introduce Alembic migrations before production.</w:t>
            </w:r>
          </w:p>
        </w:tc>
      </w:tr>
      <w:tr>
        <w:trPr/>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Registration</w:t>
            </w:r>
          </w:p>
        </w:tc>
        <w:tc>
          <w:tcPr>
            <w:tcW w:type="dxa" w:w="1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Ready</w:t>
            </w:r>
          </w:p>
        </w:tc>
        <w:tc>
          <w:tcPr>
            <w:tcW w:type="dxa" w:w="5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Add profile retrieval/update as user functionality grows.</w:t>
            </w:r>
          </w:p>
        </w:tc>
      </w:tr>
      <w:tr>
        <w:trPr/>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Login / JWT creation</w:t>
            </w:r>
          </w:p>
        </w:tc>
        <w:tc>
          <w:tcPr>
            <w:tcW w:type="dxa" w:w="1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Ready</w:t>
            </w:r>
          </w:p>
        </w:tc>
        <w:tc>
          <w:tcPr>
            <w:tcW w:type="dxa" w:w="5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Implement token decoding and a current-user dependency.</w:t>
            </w:r>
          </w:p>
        </w:tc>
      </w:tr>
      <w:tr>
        <w:trPr/>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Protected routes</w:t>
            </w:r>
          </w:p>
        </w:tc>
        <w:tc>
          <w:tcPr>
            <w:tcW w:type="dxa" w:w="1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Pending</w:t>
            </w:r>
          </w:p>
        </w:tc>
        <w:tc>
          <w:tcPr>
            <w:tcW w:type="dxa" w:w="5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Reject unauthenticated requests and add role/ownership checks as required.</w:t>
            </w:r>
          </w:p>
        </w:tc>
      </w:tr>
      <w:tr>
        <w:trPr/>
        <w:tc>
          <w:tcPr>
            <w:tcW w:type="dxa" w:w="2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AI analysis pipelines</w:t>
            </w:r>
          </w:p>
        </w:tc>
        <w:tc>
          <w:tcPr>
            <w:tcW w:type="dxa" w:w="165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Planned</w:t>
            </w:r>
          </w:p>
        </w:tc>
        <w:tc>
          <w:tcPr>
            <w:tcW w:type="dxa" w:w="5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Begin after authentication completion.</w:t>
            </w:r>
          </w:p>
        </w:tc>
      </w:tr>
    </w:tbl>
    <w:p>
      <w:pPr>
        <w:spacing w:after="20"/>
      </w:pPr>
    </w:p>
    <w:p>
      <w:pPr>
        <w:pStyle w:val="Heading2"/>
      </w:pPr>
      <w:r>
        <w:t>Planned Future Models</w:t>
      </w:r>
    </w:p>
    <w:p>
      <w:pPr>
        <w:spacing w:before="80" w:after="160" w:line="252" w:lineRule="auto"/>
        <w:ind w:left="317" w:right="173"/>
        <w:shd w:fill="F5F7FA"/>
        <w:pBdr>
          <w:left w:val="single" w:sz="12" w:space="8" w:color="2E74B5"/>
        </w:pBdr>
      </w:pPr>
      <w:r>
        <w:rPr>
          <w:rFonts w:ascii="Consolas" w:hAnsi="Consolas"/>
          <w:color w:val="263238"/>
          <w:sz w:val="17"/>
        </w:rPr>
        <w:t>User</w:t>
      </w:r>
      <w:r>
        <w:br/>
      </w:r>
      <w:r>
        <w:rPr>
          <w:rFonts w:ascii="Consolas" w:hAnsi="Consolas"/>
          <w:color w:val="263238"/>
          <w:sz w:val="17"/>
        </w:rPr>
        <w:t>PracticeSession</w:t>
      </w:r>
      <w:r>
        <w:br/>
      </w:r>
      <w:r>
        <w:rPr>
          <w:rFonts w:ascii="Consolas" w:hAnsi="Consolas"/>
          <w:color w:val="263238"/>
          <w:sz w:val="17"/>
        </w:rPr>
        <w:t>SpeechAnalysis</w:t>
      </w:r>
      <w:r>
        <w:br/>
      </w:r>
      <w:r>
        <w:rPr>
          <w:rFonts w:ascii="Consolas" w:hAnsi="Consolas"/>
          <w:color w:val="263238"/>
          <w:sz w:val="17"/>
        </w:rPr>
        <w:t>BodyAnalysis</w:t>
      </w:r>
      <w:r>
        <w:br/>
      </w:r>
      <w:r>
        <w:rPr>
          <w:rFonts w:ascii="Consolas" w:hAnsi="Consolas"/>
          <w:color w:val="263238"/>
          <w:sz w:val="17"/>
        </w:rPr>
        <w:t>FacialAnalysis</w:t>
      </w:r>
      <w:r>
        <w:br/>
      </w:r>
      <w:r>
        <w:rPr>
          <w:rFonts w:ascii="Consolas" w:hAnsi="Consolas"/>
          <w:color w:val="263238"/>
          <w:sz w:val="17"/>
        </w:rPr>
        <w:t>SpeechTranscript</w:t>
      </w:r>
      <w:r>
        <w:br/>
      </w:r>
      <w:r>
        <w:rPr>
          <w:rFonts w:ascii="Consolas" w:hAnsi="Consolas"/>
          <w:color w:val="263238"/>
          <w:sz w:val="17"/>
        </w:rPr>
        <w:t>Feedback</w:t>
      </w:r>
      <w:r>
        <w:br/>
      </w:r>
      <w:r>
        <w:rPr>
          <w:rFonts w:ascii="Consolas" w:hAnsi="Consolas"/>
          <w:color w:val="263238"/>
          <w:sz w:val="17"/>
        </w:rPr>
        <w:t>ProgressMetrics</w:t>
      </w:r>
    </w:p>
    <w:p>
      <w:pPr/>
      <w:r>
        <w:rPr>
          <w:rFonts w:ascii="Calibri" w:hAnsi="Calibri"/>
          <w:color w:val="111111"/>
          <w:sz w:val="22"/>
        </w:rPr>
        <w:t>The future model set should associate each analysis artifact and feedback record with a practice session and its owning user. This will support session history, dashboards, comparisons over time, and progress tracking.</w:t>
      </w:r>
    </w:p>
    <w:p>
      <w:r>
        <w:br w:type="page"/>
      </w:r>
    </w:p>
    <w:p>
      <w:pPr>
        <w:pStyle w:val="Heading1"/>
      </w:pPr>
      <w:r>
        <w:t>6. Roadmap and Next Milestones</w:t>
      </w:r>
    </w:p>
    <w:p>
      <w:pPr>
        <w:pStyle w:val="Heading2"/>
      </w:pPr>
      <w:r>
        <w:t>Immediate Next Sprint - Complete Authentication</w:t>
      </w:r>
    </w:p>
    <w:p>
      <w:pPr>
        <w:pStyle w:val="ListBullet"/>
        <w:spacing w:after="80" w:line="300" w:lineRule="auto"/>
        <w:ind w:left="540" w:hanging="271"/>
      </w:pPr>
      <w:r>
        <w:rPr>
          <w:rFonts w:ascii="Calibri" w:hAnsi="Calibri"/>
          <w:color w:val="111111"/>
          <w:sz w:val="22"/>
        </w:rPr>
        <w:t>Add JWT verification and a reusable dependency for the currently authenticated user.</w:t>
      </w:r>
    </w:p>
    <w:p>
      <w:pPr>
        <w:pStyle w:val="ListBullet"/>
        <w:spacing w:after="80" w:line="300" w:lineRule="auto"/>
        <w:ind w:left="540" w:hanging="271"/>
      </w:pPr>
      <w:r>
        <w:rPr>
          <w:rFonts w:ascii="Calibri" w:hAnsi="Calibri"/>
          <w:color w:val="111111"/>
          <w:sz w:val="22"/>
        </w:rPr>
        <w:t>Protect user-specific endpoints, including future speech/video uploads and session history.</w:t>
      </w:r>
    </w:p>
    <w:p>
      <w:pPr>
        <w:pStyle w:val="ListBullet"/>
        <w:spacing w:after="80" w:line="300" w:lineRule="auto"/>
        <w:ind w:left="540" w:hanging="271"/>
      </w:pPr>
      <w:r>
        <w:rPr>
          <w:rFonts w:ascii="Calibri" w:hAnsi="Calibri"/>
          <w:color w:val="111111"/>
          <w:sz w:val="22"/>
        </w:rPr>
        <w:t>Add logout behavior appropriate to the chosen token strategy and assess refresh tokens as an optional enhancement.</w:t>
      </w:r>
    </w:p>
    <w:p>
      <w:pPr>
        <w:pStyle w:val="Heading2"/>
      </w:pPr>
      <w:r>
        <w:t>AI and Analysis Roadmap</w:t>
      </w:r>
    </w:p>
    <w:tbl>
      <w:tblPr>
        <w:tblW w:type="dxa" w:w="9360"/>
        <w:jc w:val="left"/>
        <w:tblLayout w:type="fixed"/>
        <w:tblLook w:firstColumn="1" w:firstRow="1" w:lastColumn="0" w:lastRow="0" w:noHBand="0" w:noVBand="1" w:val="04A0"/>
        <w:tblInd w:type="dxa" w:w="120"/>
      </w:tblPr>
      <w:tblGrid>
        <w:gridCol w:w="1700"/>
        <w:gridCol w:w="4600"/>
        <w:gridCol w:w="3060"/>
      </w:tblGrid>
      <w:tr>
        <w:trPr>
          <w:tblHeader w:val="true"/>
        </w:trPr>
        <w:tc>
          <w:tcPr>
            <w:tcW w:type="dxa" w:w="17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Phase</w:t>
            </w:r>
          </w:p>
        </w:tc>
        <w:tc>
          <w:tcPr>
            <w:tcW w:type="dxa" w:w="460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Pipeline</w:t>
            </w:r>
          </w:p>
        </w:tc>
        <w:tc>
          <w:tcPr>
            <w:tcW w:type="dxa" w:w="3060"/>
            <w:shd w:fill="E8EEF5"/>
            <w:vAlign w:val="center"/>
            <w:tcMar>
              <w:top w:w="80" w:type="dxa"/>
              <w:bottom w:w="80" w:type="dxa"/>
              <w:start w:w="120" w:type="dxa"/>
              <w:end w:w="120" w:type="dxa"/>
            </w:tcMar>
          </w:tcPr>
          <w:p>
            <w:pPr>
              <w:spacing w:before="0" w:after="0" w:line="264" w:lineRule="auto"/>
              <w:jc w:val="left"/>
            </w:pPr>
            <w:r>
              <w:rPr>
                <w:rFonts w:ascii="Calibri" w:hAnsi="Calibri"/>
                <w:b/>
                <w:color w:val="0B2545"/>
                <w:sz w:val="19"/>
              </w:rPr>
              <w:t>Expected Output</w:t>
            </w:r>
          </w:p>
        </w:tc>
      </w:tr>
      <w:tr>
        <w:trPr/>
        <w:tc>
          <w:tcPr>
            <w:tcW w:type="dxa" w:w="17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Speech analysis</w:t>
            </w:r>
          </w:p>
        </w:tc>
        <w:tc>
          <w:tcPr>
            <w:tcW w:type="dxa" w:w="4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Audio upload -&gt; Whisper -&gt; transcript -&gt; speech analysis -&gt; feedback -&gt; database</w:t>
            </w:r>
          </w:p>
        </w:tc>
        <w:tc>
          <w:tcPr>
            <w:tcW w:type="dxa" w:w="3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Transcript, pacing/filler-word metrics, and coaching feedback.</w:t>
            </w:r>
          </w:p>
        </w:tc>
      </w:tr>
      <w:tr>
        <w:trPr/>
        <w:tc>
          <w:tcPr>
            <w:tcW w:type="dxa" w:w="17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Vision analysis</w:t>
            </w:r>
          </w:p>
        </w:tc>
        <w:tc>
          <w:tcPr>
            <w:tcW w:type="dxa" w:w="4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Video upload -&gt; MediaPipe -&gt; pose/eye contact/gesture/facial analysis -&gt; scoring</w:t>
            </w:r>
          </w:p>
        </w:tc>
        <w:tc>
          <w:tcPr>
            <w:tcW w:type="dxa" w:w="3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Body-language signals and confidence-related scores.</w:t>
            </w:r>
          </w:p>
        </w:tc>
      </w:tr>
      <w:tr>
        <w:trPr/>
        <w:tc>
          <w:tcPr>
            <w:tcW w:type="dxa" w:w="17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Feedback synthesis</w:t>
            </w:r>
          </w:p>
        </w:tc>
        <w:tc>
          <w:tcPr>
            <w:tcW w:type="dxa" w:w="4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Aggregate speech, voice, posture, gesture, eye-contact, and facial metrics with an LLM</w:t>
            </w:r>
          </w:p>
        </w:tc>
        <w:tc>
          <w:tcPr>
            <w:tcW w:type="dxa" w:w="3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Personalized, actionable coaching recommendations.</w:t>
            </w:r>
          </w:p>
        </w:tc>
      </w:tr>
      <w:tr>
        <w:trPr/>
        <w:tc>
          <w:tcPr>
            <w:tcW w:type="dxa" w:w="17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Progress tracking</w:t>
            </w:r>
          </w:p>
        </w:tc>
        <w:tc>
          <w:tcPr>
            <w:tcW w:type="dxa" w:w="460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Persist practice sessions and analytics over time</w:t>
            </w:r>
          </w:p>
        </w:tc>
        <w:tc>
          <w:tcPr>
            <w:tcW w:type="dxa" w:w="3060"/>
            <w:vAlign w:val="center"/>
            <w:tcMar>
              <w:top w:w="80" w:type="dxa"/>
              <w:bottom w:w="80" w:type="dxa"/>
              <w:start w:w="120" w:type="dxa"/>
              <w:end w:w="120" w:type="dxa"/>
            </w:tcMar>
          </w:tcPr>
          <w:p>
            <w:pPr>
              <w:spacing w:before="0" w:after="0" w:line="264" w:lineRule="auto"/>
              <w:jc w:val="left"/>
            </w:pPr>
            <w:r>
              <w:rPr>
                <w:rFonts w:ascii="Calibri" w:hAnsi="Calibri"/>
                <w:b w:val="0"/>
                <w:color w:val="111111"/>
                <w:sz w:val="19"/>
              </w:rPr>
              <w:t>History, trends, and measurable improvement indicators.</w:t>
            </w:r>
          </w:p>
        </w:tc>
      </w:tr>
    </w:tbl>
    <w:p>
      <w:pPr>
        <w:spacing w:after="20"/>
      </w:pPr>
    </w:p>
    <w:p>
      <w:pPr>
        <w:pStyle w:val="Heading2"/>
      </w:pPr>
      <w:r>
        <w:t>Recommended Commit Milestones</w:t>
      </w:r>
    </w:p>
    <w:p>
      <w:pPr>
        <w:spacing w:before="80" w:after="160" w:line="252" w:lineRule="auto"/>
        <w:ind w:left="317" w:right="173"/>
        <w:shd w:fill="F5F7FA"/>
        <w:pBdr>
          <w:left w:val="single" w:sz="12" w:space="8" w:color="2E74B5"/>
        </w:pBdr>
      </w:pPr>
      <w:r>
        <w:rPr>
          <w:rFonts w:ascii="Consolas" w:hAnsi="Consolas"/>
          <w:color w:val="263238"/>
          <w:sz w:val="17"/>
        </w:rPr>
        <w:t>feat(auth): add JWT-protected routes</w:t>
      </w:r>
      <w:r>
        <w:br/>
      </w:r>
      <w:r>
        <w:rPr>
          <w:rFonts w:ascii="Consolas" w:hAnsi="Consolas"/>
          <w:color w:val="263238"/>
          <w:sz w:val="17"/>
        </w:rPr>
        <w:t>feat(ai): integrate Whisper speech transcription</w:t>
      </w:r>
      <w:r>
        <w:br/>
      </w:r>
      <w:r>
        <w:rPr>
          <w:rFonts w:ascii="Consolas" w:hAnsi="Consolas"/>
          <w:color w:val="263238"/>
          <w:sz w:val="17"/>
        </w:rPr>
        <w:t>feat(cv): implement MediaPipe posture and gesture analysis</w:t>
      </w:r>
      <w:r>
        <w:br/>
      </w:r>
      <w:r>
        <w:rPr>
          <w:rFonts w:ascii="Consolas" w:hAnsi="Consolas"/>
          <w:color w:val="263238"/>
          <w:sz w:val="17"/>
        </w:rPr>
        <w:t>feat(ai): add LLM-powered communication feedback</w:t>
      </w:r>
      <w:r>
        <w:br/>
      </w:r>
      <w:r>
        <w:rPr>
          <w:rFonts w:ascii="Consolas" w:hAnsi="Consolas"/>
          <w:color w:val="263238"/>
          <w:sz w:val="17"/>
        </w:rPr>
        <w:t>feat(analytics): implement practice history and progress tracking</w:t>
      </w:r>
    </w:p>
    <w:p>
      <w:pPr>
        <w:pStyle w:val="Heading2"/>
      </w:pPr>
      <w:r>
        <w:t>Developer Handover Summary</w:t>
      </w:r>
    </w:p>
    <w:p>
      <w:pPr/>
      <w:r>
        <w:rPr>
          <w:rFonts w:ascii="Calibri" w:hAnsi="Calibri"/>
          <w:color w:val="111111"/>
          <w:sz w:val="22"/>
        </w:rPr>
        <w:t>A new contributor should preserve the layered backend design, complete JWT verification before exposing user-owned resources, and then build the analysis pipelines as independent services that store their results against a practice session. The existing authentication and database foundation is the base for every subsequent SpeakWise feature.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SpeakWise - internal development reference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SPEAKWISE  |  BACKEND DEVELOPMENT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SpeakWise Backend Development Notes</dc:title>
  <dc:subject>Backend architecture, progress, and roadmap</dc:subject>
  <dc:creator>SpeakWise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