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0A467" w14:textId="0C821258" w:rsidR="008C11DB" w:rsidRPr="00EA136B" w:rsidRDefault="00EA136B" w:rsidP="00EA136B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4" w:color="000000" w:themeColor="text1"/>
        </w:pBdr>
        <w:shd w:val="clear" w:color="auto" w:fill="DAEEF3" w:themeFill="accent5" w:themeFillTint="33"/>
        <w:tabs>
          <w:tab w:val="left" w:pos="3131"/>
          <w:tab w:val="center" w:pos="7699"/>
        </w:tabs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FB6B35" w:rsidRPr="00FB6B35">
        <w:rPr>
          <w:rFonts w:ascii="Times New Roman" w:hAnsi="Times New Roman" w:cs="Times New Roman"/>
          <w:b/>
          <w:bCs/>
          <w:sz w:val="40"/>
          <w:szCs w:val="40"/>
        </w:rPr>
        <w:t>Comparative Analysis of Selected Research Papers</w:t>
      </w:r>
    </w:p>
    <w:p w14:paraId="4E869003" w14:textId="1B4F9B48" w:rsidR="004A3A3B" w:rsidRPr="00AA441F" w:rsidRDefault="004A3A3B" w:rsidP="0044118D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tbl>
      <w:tblPr>
        <w:tblStyle w:val="GridTable2-Accent1"/>
        <w:tblW w:w="15862" w:type="dxa"/>
        <w:tblLook w:val="04A0" w:firstRow="1" w:lastRow="0" w:firstColumn="1" w:lastColumn="0" w:noHBand="0" w:noVBand="1"/>
      </w:tblPr>
      <w:tblGrid>
        <w:gridCol w:w="989"/>
        <w:gridCol w:w="90"/>
        <w:gridCol w:w="1550"/>
        <w:gridCol w:w="1979"/>
        <w:gridCol w:w="2520"/>
        <w:gridCol w:w="6300"/>
        <w:gridCol w:w="2434"/>
      </w:tblGrid>
      <w:tr w:rsidR="008116B4" w:rsidRPr="00AA441F" w14:paraId="41ACCFED" w14:textId="77777777" w:rsidTr="00C72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gridSpan w:val="2"/>
            <w:shd w:val="clear" w:color="auto" w:fill="FBD4B4" w:themeFill="accent6" w:themeFillTint="66"/>
          </w:tcPr>
          <w:p w14:paraId="0CE17B33" w14:textId="1CC8982C" w:rsidR="004A3A3B" w:rsidRPr="00AA441F" w:rsidRDefault="004A3A3B" w:rsidP="00F45021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441F">
              <w:rPr>
                <w:rFonts w:ascii="Times New Roman" w:hAnsi="Times New Roman" w:cs="Times New Roman"/>
                <w:sz w:val="26"/>
                <w:szCs w:val="26"/>
              </w:rPr>
              <w:t>SL. No.</w:t>
            </w:r>
          </w:p>
        </w:tc>
        <w:tc>
          <w:tcPr>
            <w:tcW w:w="1550" w:type="dxa"/>
            <w:shd w:val="clear" w:color="auto" w:fill="FBD4B4" w:themeFill="accent6" w:themeFillTint="66"/>
          </w:tcPr>
          <w:p w14:paraId="4140049B" w14:textId="45763766" w:rsidR="004A3A3B" w:rsidRPr="00AA441F" w:rsidRDefault="00C72855" w:rsidP="00F4502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72855">
              <w:rPr>
                <w:rFonts w:ascii="Times New Roman" w:hAnsi="Times New Roman" w:cs="Times New Roman"/>
                <w:sz w:val="26"/>
                <w:szCs w:val="26"/>
              </w:rPr>
              <w:t>Reference</w:t>
            </w:r>
          </w:p>
        </w:tc>
        <w:tc>
          <w:tcPr>
            <w:tcW w:w="1979" w:type="dxa"/>
            <w:shd w:val="clear" w:color="auto" w:fill="FBD4B4" w:themeFill="accent6" w:themeFillTint="66"/>
          </w:tcPr>
          <w:p w14:paraId="4FFD872C" w14:textId="7FD34B7D" w:rsidR="004A3A3B" w:rsidRPr="00AA441F" w:rsidRDefault="00C72855" w:rsidP="00F4502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72855">
              <w:rPr>
                <w:rFonts w:ascii="Times New Roman" w:hAnsi="Times New Roman" w:cs="Times New Roman"/>
                <w:sz w:val="26"/>
                <w:szCs w:val="26"/>
              </w:rPr>
              <w:t>Research Area</w:t>
            </w:r>
          </w:p>
        </w:tc>
        <w:tc>
          <w:tcPr>
            <w:tcW w:w="2520" w:type="dxa"/>
            <w:shd w:val="clear" w:color="auto" w:fill="FBD4B4" w:themeFill="accent6" w:themeFillTint="66"/>
          </w:tcPr>
          <w:p w14:paraId="4C378D28" w14:textId="5DE8182E" w:rsidR="004A3A3B" w:rsidRPr="00AA441F" w:rsidRDefault="00C72855" w:rsidP="00F4502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72855">
              <w:rPr>
                <w:rFonts w:ascii="Times New Roman" w:hAnsi="Times New Roman" w:cs="Times New Roman"/>
                <w:sz w:val="26"/>
                <w:szCs w:val="26"/>
              </w:rPr>
              <w:t>Application Domain</w:t>
            </w:r>
          </w:p>
        </w:tc>
        <w:tc>
          <w:tcPr>
            <w:tcW w:w="6300" w:type="dxa"/>
            <w:shd w:val="clear" w:color="auto" w:fill="FBD4B4" w:themeFill="accent6" w:themeFillTint="66"/>
          </w:tcPr>
          <w:p w14:paraId="0A2F2022" w14:textId="74A86199" w:rsidR="004A3A3B" w:rsidRPr="00AA441F" w:rsidRDefault="00C72855" w:rsidP="00F4502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72855">
              <w:rPr>
                <w:rFonts w:ascii="Times New Roman" w:hAnsi="Times New Roman" w:cs="Times New Roman"/>
                <w:sz w:val="26"/>
                <w:szCs w:val="26"/>
              </w:rPr>
              <w:t>Main Contribution</w:t>
            </w:r>
          </w:p>
        </w:tc>
        <w:tc>
          <w:tcPr>
            <w:tcW w:w="2434" w:type="dxa"/>
            <w:shd w:val="clear" w:color="auto" w:fill="FBD4B4" w:themeFill="accent6" w:themeFillTint="66"/>
          </w:tcPr>
          <w:p w14:paraId="4CF081B5" w14:textId="07C74405" w:rsidR="004A3A3B" w:rsidRPr="00AA441F" w:rsidRDefault="00C72855" w:rsidP="00F4502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72855">
              <w:rPr>
                <w:rFonts w:ascii="Times New Roman" w:hAnsi="Times New Roman" w:cs="Times New Roman"/>
                <w:sz w:val="26"/>
                <w:szCs w:val="26"/>
              </w:rPr>
              <w:t>Publication Source</w:t>
            </w:r>
          </w:p>
        </w:tc>
      </w:tr>
      <w:tr w:rsidR="00C72855" w:rsidRPr="00AA441F" w14:paraId="7B70657F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1DB18267" w14:textId="565EB3D9" w:rsidR="004A3A3B" w:rsidRPr="00AA441F" w:rsidRDefault="000F664E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01.</w:t>
            </w:r>
          </w:p>
        </w:tc>
        <w:tc>
          <w:tcPr>
            <w:tcW w:w="1640" w:type="dxa"/>
            <w:gridSpan w:val="2"/>
          </w:tcPr>
          <w:p w14:paraId="3DE471F3" w14:textId="08F9CA48" w:rsidR="004A3A3B" w:rsidRPr="00AA441F" w:rsidRDefault="008C55C6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Dershem et al. (2026)</w:t>
            </w:r>
          </w:p>
        </w:tc>
        <w:tc>
          <w:tcPr>
            <w:tcW w:w="1979" w:type="dxa"/>
          </w:tcPr>
          <w:p w14:paraId="7FF44A85" w14:textId="2B2405E9" w:rsidR="004A3A3B" w:rsidRPr="00AA441F" w:rsidRDefault="008C55C6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Healthcare Innovation / Emerging Tech</w:t>
            </w:r>
          </w:p>
        </w:tc>
        <w:tc>
          <w:tcPr>
            <w:tcW w:w="2520" w:type="dxa"/>
          </w:tcPr>
          <w:p w14:paraId="59DBC8F3" w14:textId="3CA074B8" w:rsidR="004A3A3B" w:rsidRPr="00AA441F" w:rsidRDefault="008C55C6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Decentralized &amp; Intelligent Digital Health</w:t>
            </w:r>
          </w:p>
        </w:tc>
        <w:tc>
          <w:tcPr>
            <w:tcW w:w="6300" w:type="dxa"/>
          </w:tcPr>
          <w:p w14:paraId="5FB8FD33" w14:textId="77C8E126" w:rsidR="004A3A3B" w:rsidRPr="00AA441F" w:rsidRDefault="008C55C6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Synthesizes 2026 forecasts on converging Agentic AI, Blockchain (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DeSci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, DIDs), and Post-Quantum Cryptography into a regulatory-compliant framework.</w:t>
            </w:r>
          </w:p>
        </w:tc>
        <w:tc>
          <w:tcPr>
            <w:tcW w:w="2434" w:type="dxa"/>
          </w:tcPr>
          <w:p w14:paraId="56D66F15" w14:textId="1BE22232" w:rsidR="004A3A3B" w:rsidRPr="00AA441F" w:rsidRDefault="000F664E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lockchain in Healthcare Today</w:t>
            </w:r>
          </w:p>
        </w:tc>
      </w:tr>
      <w:tr w:rsidR="00382BBD" w:rsidRPr="00AA441F" w14:paraId="17C5EBF1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21F2B66B" w14:textId="7832C09A" w:rsidR="004A3A3B" w:rsidRPr="00AA441F" w:rsidRDefault="000F664E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02.</w:t>
            </w:r>
          </w:p>
        </w:tc>
        <w:tc>
          <w:tcPr>
            <w:tcW w:w="1640" w:type="dxa"/>
            <w:gridSpan w:val="2"/>
          </w:tcPr>
          <w:p w14:paraId="774CF551" w14:textId="4A1B2A66" w:rsidR="004A3A3B" w:rsidRPr="00AA441F" w:rsidRDefault="008A7F82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Lorenzo (2024)</w:t>
            </w:r>
          </w:p>
        </w:tc>
        <w:tc>
          <w:tcPr>
            <w:tcW w:w="1979" w:type="dxa"/>
          </w:tcPr>
          <w:p w14:paraId="5E6C2B72" w14:textId="64B35DB3" w:rsidR="004A3A3B" w:rsidRPr="00AA441F" w:rsidRDefault="008A7F82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Process Automation / Supply Chain</w:t>
            </w:r>
          </w:p>
        </w:tc>
        <w:tc>
          <w:tcPr>
            <w:tcW w:w="2520" w:type="dxa"/>
          </w:tcPr>
          <w:p w14:paraId="76CB9A8A" w14:textId="2F348EB5" w:rsidR="004A3A3B" w:rsidRPr="00AA441F" w:rsidRDefault="008A7F82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Healthcare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logstics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and inventory tracking</w:t>
            </w:r>
          </w:p>
        </w:tc>
        <w:tc>
          <w:tcPr>
            <w:tcW w:w="6300" w:type="dxa"/>
          </w:tcPr>
          <w:p w14:paraId="7BF49013" w14:textId="0D9176D2" w:rsidR="004A3A3B" w:rsidRPr="00AA441F" w:rsidRDefault="008A7F82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Leverages</w:t>
            </w:r>
            <w:proofErr w:type="gram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cloud-based ERP platforms and predictive analytics to minimize supply stock-outs and track expired inventory.</w:t>
            </w:r>
          </w:p>
        </w:tc>
        <w:tc>
          <w:tcPr>
            <w:tcW w:w="2434" w:type="dxa"/>
          </w:tcPr>
          <w:p w14:paraId="70481120" w14:textId="4B54BF2B" w:rsidR="004A3A3B" w:rsidRPr="00AA441F" w:rsidRDefault="008A7F82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Università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Ca'Foscari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Venezia (Master's Thesis)</w:t>
            </w:r>
          </w:p>
        </w:tc>
      </w:tr>
      <w:tr w:rsidR="00C72855" w:rsidRPr="00AA441F" w14:paraId="4F83942D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1EF94502" w14:textId="107B9CE5" w:rsidR="004A3A3B" w:rsidRPr="00AA441F" w:rsidRDefault="000F664E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03.</w:t>
            </w:r>
          </w:p>
        </w:tc>
        <w:tc>
          <w:tcPr>
            <w:tcW w:w="1640" w:type="dxa"/>
            <w:gridSpan w:val="2"/>
          </w:tcPr>
          <w:p w14:paraId="5BD92A01" w14:textId="7F9FD1D8" w:rsidR="004A3A3B" w:rsidRPr="00AA441F" w:rsidRDefault="008A7F82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Kvak et al. (2026)</w:t>
            </w:r>
          </w:p>
        </w:tc>
        <w:tc>
          <w:tcPr>
            <w:tcW w:w="1979" w:type="dxa"/>
          </w:tcPr>
          <w:p w14:paraId="352D3EC2" w14:textId="14ADDA54" w:rsidR="004A3A3B" w:rsidRPr="00AA441F" w:rsidRDefault="008A7F82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Medical Imaging</w:t>
            </w:r>
          </w:p>
        </w:tc>
        <w:tc>
          <w:tcPr>
            <w:tcW w:w="2520" w:type="dxa"/>
          </w:tcPr>
          <w:p w14:paraId="23CD5C83" w14:textId="3C8E9ABB" w:rsidR="004A3A3B" w:rsidRPr="00AA441F" w:rsidRDefault="008A7F82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Mammography Risk Assessment</w:t>
            </w:r>
          </w:p>
        </w:tc>
        <w:tc>
          <w:tcPr>
            <w:tcW w:w="6300" w:type="dxa"/>
          </w:tcPr>
          <w:p w14:paraId="1862E4BC" w14:textId="29C577BC" w:rsidR="004A3A3B" w:rsidRPr="00AA441F" w:rsidRDefault="008A7F82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Carebot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AI MMG tool utilizing BI-RADS clinical triage optimization under low-prevalence screening conditions.</w:t>
            </w:r>
          </w:p>
        </w:tc>
        <w:tc>
          <w:tcPr>
            <w:tcW w:w="2434" w:type="dxa"/>
          </w:tcPr>
          <w:p w14:paraId="24EDBD4A" w14:textId="26B631F3" w:rsidR="004A3A3B" w:rsidRPr="00AA441F" w:rsidRDefault="001431A9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AiMH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' 2026 Proceedings</w:t>
            </w:r>
          </w:p>
        </w:tc>
      </w:tr>
      <w:tr w:rsidR="00382BBD" w:rsidRPr="00AA441F" w14:paraId="4723E446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05D86974" w14:textId="159C3EAB" w:rsidR="004A3A3B" w:rsidRPr="00AA441F" w:rsidRDefault="000F664E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04.</w:t>
            </w:r>
          </w:p>
        </w:tc>
        <w:tc>
          <w:tcPr>
            <w:tcW w:w="1640" w:type="dxa"/>
            <w:gridSpan w:val="2"/>
          </w:tcPr>
          <w:p w14:paraId="5A523838" w14:textId="5F49AD7B" w:rsidR="004A3A3B" w:rsidRPr="00AA441F" w:rsidRDefault="001431A9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Al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Mouzani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(2025)</w:t>
            </w:r>
          </w:p>
        </w:tc>
        <w:tc>
          <w:tcPr>
            <w:tcW w:w="1979" w:type="dxa"/>
          </w:tcPr>
          <w:p w14:paraId="1F439536" w14:textId="4F258206" w:rsidR="004A3A3B" w:rsidRPr="00AA441F" w:rsidRDefault="001431A9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Deep Learning / Diagnostics</w:t>
            </w:r>
          </w:p>
        </w:tc>
        <w:tc>
          <w:tcPr>
            <w:tcW w:w="2520" w:type="dxa"/>
          </w:tcPr>
          <w:p w14:paraId="7EBFFC6C" w14:textId="4351E65C" w:rsidR="004A3A3B" w:rsidRPr="00AA441F" w:rsidRDefault="001431A9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Pulmonology (Pneumonia detection)</w:t>
            </w:r>
          </w:p>
        </w:tc>
        <w:tc>
          <w:tcPr>
            <w:tcW w:w="6300" w:type="dxa"/>
          </w:tcPr>
          <w:p w14:paraId="2643CA33" w14:textId="39BCE297" w:rsidR="004A3A3B" w:rsidRPr="00AA441F" w:rsidRDefault="001431A9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mplements an automated neural network pipeline using the ChestX-ray14 dataset that achieves a 0.92 recall rate.</w:t>
            </w:r>
          </w:p>
        </w:tc>
        <w:tc>
          <w:tcPr>
            <w:tcW w:w="2434" w:type="dxa"/>
          </w:tcPr>
          <w:p w14:paraId="11B0CFE3" w14:textId="68A8580E" w:rsidR="004A3A3B" w:rsidRPr="00AA441F" w:rsidRDefault="001431A9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Centria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University of Applied Sciences (Bachelor's Thesis)</w:t>
            </w:r>
          </w:p>
        </w:tc>
      </w:tr>
      <w:tr w:rsidR="00C72855" w:rsidRPr="00AA441F" w14:paraId="3E6FB405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46F91CBC" w14:textId="75C4013F" w:rsidR="004A3A3B" w:rsidRPr="00AA441F" w:rsidRDefault="001431A9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05.</w:t>
            </w:r>
          </w:p>
        </w:tc>
        <w:tc>
          <w:tcPr>
            <w:tcW w:w="1640" w:type="dxa"/>
            <w:gridSpan w:val="2"/>
          </w:tcPr>
          <w:p w14:paraId="5DD020D3" w14:textId="4EB20F71" w:rsidR="004A3A3B" w:rsidRPr="00AA441F" w:rsidRDefault="004A4A0A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Edara et al. (2026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1979" w:type="dxa"/>
          </w:tcPr>
          <w:p w14:paraId="14883844" w14:textId="0CB31ED2" w:rsidR="004A3A3B" w:rsidRPr="00AA441F" w:rsidRDefault="004A4A0A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Bibliometric Survey / AI General</w:t>
            </w:r>
          </w:p>
        </w:tc>
        <w:tc>
          <w:tcPr>
            <w:tcW w:w="2520" w:type="dxa"/>
          </w:tcPr>
          <w:p w14:paraId="48E3349C" w14:textId="71212DDD" w:rsidR="004A3A3B" w:rsidRPr="00AA441F" w:rsidRDefault="004A4A0A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Global clinical AI research classification</w:t>
            </w:r>
          </w:p>
        </w:tc>
        <w:tc>
          <w:tcPr>
            <w:tcW w:w="6300" w:type="dxa"/>
          </w:tcPr>
          <w:p w14:paraId="4F662F72" w14:textId="5C910EBA" w:rsidR="004A3A3B" w:rsidRPr="00AA441F" w:rsidRDefault="004A4A0A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Uses a BERT deep learning text classifier to filter 49,394 PubMed articles down to 2,966 mature clinical implementation studies.</w:t>
            </w:r>
          </w:p>
        </w:tc>
        <w:tc>
          <w:tcPr>
            <w:tcW w:w="2434" w:type="dxa"/>
          </w:tcPr>
          <w:p w14:paraId="1E36FC09" w14:textId="44FB157B" w:rsidR="004A3A3B" w:rsidRPr="00AA441F" w:rsidRDefault="004A4A0A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medRxiv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(Preprint)</w:t>
            </w:r>
          </w:p>
        </w:tc>
      </w:tr>
      <w:tr w:rsidR="00382BBD" w:rsidRPr="00AA441F" w14:paraId="1A048616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5E59F9FB" w14:textId="10D1BF76" w:rsidR="004A3A3B" w:rsidRPr="00AA441F" w:rsidRDefault="001431A9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06.</w:t>
            </w:r>
          </w:p>
        </w:tc>
        <w:tc>
          <w:tcPr>
            <w:tcW w:w="1640" w:type="dxa"/>
            <w:gridSpan w:val="2"/>
          </w:tcPr>
          <w:p w14:paraId="3CD80E0A" w14:textId="4047EEAA" w:rsidR="004A3A3B" w:rsidRPr="00AA441F" w:rsidRDefault="004A4A0A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Wada et al. (2023)</w:t>
            </w:r>
          </w:p>
        </w:tc>
        <w:tc>
          <w:tcPr>
            <w:tcW w:w="1979" w:type="dxa"/>
          </w:tcPr>
          <w:p w14:paraId="479F7923" w14:textId="0F60E4CE" w:rsidR="004A3A3B" w:rsidRPr="00AA441F" w:rsidRDefault="00CB353A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Image-Guided Ablation / Propensity Analysis</w:t>
            </w:r>
          </w:p>
        </w:tc>
        <w:tc>
          <w:tcPr>
            <w:tcW w:w="2520" w:type="dxa"/>
          </w:tcPr>
          <w:p w14:paraId="4BF715F2" w14:textId="4DA487BF" w:rsidR="004A3A3B" w:rsidRPr="00AA441F" w:rsidRDefault="00CB353A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Early-stage perivascular hepatocellular carcinoma (HCC)</w:t>
            </w:r>
          </w:p>
        </w:tc>
        <w:tc>
          <w:tcPr>
            <w:tcW w:w="6300" w:type="dxa"/>
          </w:tcPr>
          <w:p w14:paraId="6111C3C6" w14:textId="2B5D0F71" w:rsidR="004A3A3B" w:rsidRPr="00AA441F" w:rsidRDefault="00CB353A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Evaluates non-thermal Irreversible Electroporation (IRE) against thermal methods (RFA, MWA) via propensity score matching, proving IRE yields a 0.0% 2-year local tumor progression rate.</w:t>
            </w:r>
          </w:p>
        </w:tc>
        <w:tc>
          <w:tcPr>
            <w:tcW w:w="2434" w:type="dxa"/>
          </w:tcPr>
          <w:p w14:paraId="01905B20" w14:textId="03503696" w:rsidR="004A3A3B" w:rsidRPr="00AA441F" w:rsidRDefault="00CB353A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Cancers (MDPI)</w:t>
            </w:r>
          </w:p>
        </w:tc>
      </w:tr>
      <w:tr w:rsidR="00C72855" w:rsidRPr="00AA441F" w14:paraId="219D4739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3A98BAF5" w14:textId="00631FB5" w:rsidR="004A3A3B" w:rsidRPr="00AA441F" w:rsidRDefault="001431A9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07.</w:t>
            </w:r>
          </w:p>
        </w:tc>
        <w:tc>
          <w:tcPr>
            <w:tcW w:w="1640" w:type="dxa"/>
            <w:gridSpan w:val="2"/>
          </w:tcPr>
          <w:p w14:paraId="10491A7E" w14:textId="0F0C9D5C" w:rsidR="004A3A3B" w:rsidRPr="00AA441F" w:rsidRDefault="005A1CB7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Madinabonu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(2024)</w:t>
            </w:r>
          </w:p>
        </w:tc>
        <w:tc>
          <w:tcPr>
            <w:tcW w:w="1979" w:type="dxa"/>
          </w:tcPr>
          <w:p w14:paraId="5F8A0885" w14:textId="662E9F96" w:rsidR="004A3A3B" w:rsidRPr="00AA441F" w:rsidRDefault="005A1CB7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Comparative Law / Governance</w:t>
            </w:r>
          </w:p>
        </w:tc>
        <w:tc>
          <w:tcPr>
            <w:tcW w:w="2520" w:type="dxa"/>
          </w:tcPr>
          <w:p w14:paraId="4D75D1B9" w14:textId="7F4BBF38" w:rsidR="004A3A3B" w:rsidRPr="00AA441F" w:rsidRDefault="005A1CB7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Critical infrastructure protection</w:t>
            </w:r>
          </w:p>
        </w:tc>
        <w:tc>
          <w:tcPr>
            <w:tcW w:w="6300" w:type="dxa"/>
          </w:tcPr>
          <w:p w14:paraId="3BFB8644" w14:textId="6823196E" w:rsidR="004A3A3B" w:rsidRPr="00AA441F" w:rsidRDefault="005A1CB7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Evaluates legal gaps in Uzbekistan's 2021 Law "On Cyber Security" regarding defensive AI threat mitigation.</w:t>
            </w:r>
          </w:p>
        </w:tc>
        <w:tc>
          <w:tcPr>
            <w:tcW w:w="2434" w:type="dxa"/>
          </w:tcPr>
          <w:p w14:paraId="3B5AB34C" w14:textId="154B1B5B" w:rsidR="004A3A3B" w:rsidRPr="00AA441F" w:rsidRDefault="005A1CB7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nternational Journal of Law and Policy</w:t>
            </w:r>
          </w:p>
        </w:tc>
      </w:tr>
      <w:tr w:rsidR="008116B4" w:rsidRPr="00AA441F" w14:paraId="31933E08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7906B4B6" w14:textId="399157C3" w:rsidR="005A1CB7" w:rsidRPr="00AA441F" w:rsidRDefault="005A1CB7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08.</w:t>
            </w:r>
          </w:p>
        </w:tc>
        <w:tc>
          <w:tcPr>
            <w:tcW w:w="1640" w:type="dxa"/>
            <w:gridSpan w:val="2"/>
          </w:tcPr>
          <w:p w14:paraId="114FA753" w14:textId="3DA89D4A" w:rsidR="005A1CB7" w:rsidRPr="00AA441F" w:rsidRDefault="005A1CB7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Ortega-Fernández (2024)</w:t>
            </w:r>
          </w:p>
        </w:tc>
        <w:tc>
          <w:tcPr>
            <w:tcW w:w="1979" w:type="dxa"/>
          </w:tcPr>
          <w:p w14:paraId="37D2E2B6" w14:textId="6BD1BAB1" w:rsidR="005A1CB7" w:rsidRPr="00AA441F" w:rsidRDefault="005A1CB7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Cybersecurity / Explainable AI</w:t>
            </w:r>
          </w:p>
        </w:tc>
        <w:tc>
          <w:tcPr>
            <w:tcW w:w="2520" w:type="dxa"/>
          </w:tcPr>
          <w:p w14:paraId="30502581" w14:textId="411D8733" w:rsidR="005A1CB7" w:rsidRPr="00AA441F" w:rsidRDefault="002F5034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Real-time cyberattack detection</w:t>
            </w:r>
          </w:p>
        </w:tc>
        <w:tc>
          <w:tcPr>
            <w:tcW w:w="6300" w:type="dxa"/>
          </w:tcPr>
          <w:p w14:paraId="0DBB80FC" w14:textId="5D70E76E" w:rsidR="005A1CB7" w:rsidRPr="00AA441F" w:rsidRDefault="002F5034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Proposes interpretable machine learning approaches for anomaly detection and network intrusion defense.</w:t>
            </w:r>
          </w:p>
        </w:tc>
        <w:tc>
          <w:tcPr>
            <w:tcW w:w="2434" w:type="dxa"/>
          </w:tcPr>
          <w:p w14:paraId="6D500315" w14:textId="231675DD" w:rsidR="005A1CB7" w:rsidRPr="00AA441F" w:rsidRDefault="002F5034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Universidade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de Vigo (PhD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Dissertation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n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8116B4" w:rsidRPr="00AA441F" w14:paraId="3CFA62D0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1B9B238B" w14:textId="1704505E" w:rsidR="005A1CB7" w:rsidRPr="00AA441F" w:rsidRDefault="002F5034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09.</w:t>
            </w:r>
          </w:p>
        </w:tc>
        <w:tc>
          <w:tcPr>
            <w:tcW w:w="1640" w:type="dxa"/>
            <w:gridSpan w:val="2"/>
          </w:tcPr>
          <w:p w14:paraId="29AF4DF6" w14:textId="4E572B01" w:rsidR="005A1CB7" w:rsidRPr="00AA441F" w:rsidRDefault="002F5034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Sivalokanathan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(2022)</w:t>
            </w:r>
          </w:p>
        </w:tc>
        <w:tc>
          <w:tcPr>
            <w:tcW w:w="1979" w:type="dxa"/>
          </w:tcPr>
          <w:p w14:paraId="454E8E44" w14:textId="06F96506" w:rsidR="005A1CB7" w:rsidRPr="00AA441F" w:rsidRDefault="002F5034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Medical Imaging / Tissue Characterization</w:t>
            </w:r>
          </w:p>
        </w:tc>
        <w:tc>
          <w:tcPr>
            <w:tcW w:w="2520" w:type="dxa"/>
          </w:tcPr>
          <w:p w14:paraId="71B48D82" w14:textId="7BDABF7F" w:rsidR="005A1CB7" w:rsidRPr="00AA441F" w:rsidRDefault="002F5034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Hypertrophic Cardiomyopathy (HCM) risk stratification</w:t>
            </w:r>
          </w:p>
        </w:tc>
        <w:tc>
          <w:tcPr>
            <w:tcW w:w="6300" w:type="dxa"/>
          </w:tcPr>
          <w:p w14:paraId="36A5A705" w14:textId="62C0F933" w:rsidR="002F5034" w:rsidRPr="00AA441F" w:rsidRDefault="002F5034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Synthesizes multiparametric CMR capabilities (Late Gadolinium Enhancement, T1/T2 mapping,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cDTI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) to detect early interstitial fibrosis and microvascular dysfunction before anatomical remodeling</w:t>
            </w:r>
          </w:p>
        </w:tc>
        <w:tc>
          <w:tcPr>
            <w:tcW w:w="2434" w:type="dxa"/>
          </w:tcPr>
          <w:p w14:paraId="0C0528C9" w14:textId="696DDEC7" w:rsidR="005A1CB7" w:rsidRPr="00AA441F" w:rsidRDefault="002F5034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Diagnostics (MDPI)</w:t>
            </w:r>
          </w:p>
        </w:tc>
      </w:tr>
      <w:tr w:rsidR="008116B4" w:rsidRPr="00AA441F" w14:paraId="6FAF2505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3EB5A529" w14:textId="64195C8E" w:rsidR="005A1CB7" w:rsidRPr="00AA441F" w:rsidRDefault="002F5034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10.</w:t>
            </w:r>
          </w:p>
        </w:tc>
        <w:tc>
          <w:tcPr>
            <w:tcW w:w="1640" w:type="dxa"/>
            <w:gridSpan w:val="2"/>
          </w:tcPr>
          <w:p w14:paraId="598DE3BE" w14:textId="34391769" w:rsidR="005A1CB7" w:rsidRPr="00AA441F" w:rsidRDefault="005E4733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Capobianco et al. (2025)</w:t>
            </w:r>
          </w:p>
        </w:tc>
        <w:tc>
          <w:tcPr>
            <w:tcW w:w="1979" w:type="dxa"/>
          </w:tcPr>
          <w:p w14:paraId="3366E5A9" w14:textId="73C74AD9" w:rsidR="005A1CB7" w:rsidRPr="00AA441F" w:rsidRDefault="005E4733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Clinical Validation / Safety</w:t>
            </w:r>
          </w:p>
        </w:tc>
        <w:tc>
          <w:tcPr>
            <w:tcW w:w="2520" w:type="dxa"/>
          </w:tcPr>
          <w:p w14:paraId="0D8564FB" w14:textId="2235FE8D" w:rsidR="005A1CB7" w:rsidRPr="00AA441F" w:rsidRDefault="005E4733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Oncology and cancer care workflows</w:t>
            </w:r>
          </w:p>
        </w:tc>
        <w:tc>
          <w:tcPr>
            <w:tcW w:w="6300" w:type="dxa"/>
          </w:tcPr>
          <w:p w14:paraId="517FA9D4" w14:textId="54E114D4" w:rsidR="005A1CB7" w:rsidRPr="00AA441F" w:rsidRDefault="005E4733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Audits clinical accuracy and safety parameters following public demonstrations of generative LLMs (GPT-5).</w:t>
            </w:r>
          </w:p>
        </w:tc>
        <w:tc>
          <w:tcPr>
            <w:tcW w:w="2434" w:type="dxa"/>
          </w:tcPr>
          <w:p w14:paraId="29A31025" w14:textId="20DA25C5" w:rsidR="005E4733" w:rsidRPr="00AA441F" w:rsidRDefault="005E4733" w:rsidP="005E4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Journal of Medical Systems</w:t>
            </w:r>
          </w:p>
        </w:tc>
      </w:tr>
      <w:tr w:rsidR="008116B4" w:rsidRPr="00AA441F" w14:paraId="2E73CDB0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68DD72E7" w14:textId="071E1E3B" w:rsidR="005A1CB7" w:rsidRPr="00AA441F" w:rsidRDefault="005E4733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11.</w:t>
            </w:r>
          </w:p>
        </w:tc>
        <w:tc>
          <w:tcPr>
            <w:tcW w:w="1640" w:type="dxa"/>
            <w:gridSpan w:val="2"/>
          </w:tcPr>
          <w:p w14:paraId="128DFCBC" w14:textId="71BABBE2" w:rsidR="005A1CB7" w:rsidRPr="00AA441F" w:rsidRDefault="005E4733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Amedior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(2023)</w:t>
            </w:r>
          </w:p>
        </w:tc>
        <w:tc>
          <w:tcPr>
            <w:tcW w:w="1979" w:type="dxa"/>
          </w:tcPr>
          <w:p w14:paraId="6C257297" w14:textId="67BB9ABB" w:rsidR="005A1CB7" w:rsidRPr="00AA441F" w:rsidRDefault="005E4733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Bioethics / Regulatory Science</w:t>
            </w:r>
          </w:p>
        </w:tc>
        <w:tc>
          <w:tcPr>
            <w:tcW w:w="2520" w:type="dxa"/>
          </w:tcPr>
          <w:p w14:paraId="73A9F0D4" w14:textId="22725154" w:rsidR="005E4733" w:rsidRPr="00AA441F" w:rsidRDefault="005E4733" w:rsidP="005E4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Ethical resource allocation in LMICs</w:t>
            </w:r>
          </w:p>
        </w:tc>
        <w:tc>
          <w:tcPr>
            <w:tcW w:w="6300" w:type="dxa"/>
          </w:tcPr>
          <w:p w14:paraId="5988FD75" w14:textId="1BD87C6A" w:rsidR="00382BBD" w:rsidRPr="00AA441F" w:rsidRDefault="00382BBD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Evaluates macro-level risks across six parameters (privacy, bias, transparency, accountability, consent, empathy) with an emphasis on low-income healthcare settings.</w:t>
            </w:r>
          </w:p>
        </w:tc>
        <w:tc>
          <w:tcPr>
            <w:tcW w:w="2434" w:type="dxa"/>
          </w:tcPr>
          <w:p w14:paraId="777068DD" w14:textId="0D1693A9" w:rsidR="00382BBD" w:rsidRPr="00AA441F" w:rsidRDefault="00382BBD" w:rsidP="00382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Proceedings of the 36th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iSTEAMS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Accra Conference</w:t>
            </w:r>
          </w:p>
        </w:tc>
      </w:tr>
      <w:tr w:rsidR="008116B4" w:rsidRPr="00AA441F" w14:paraId="788CF302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23CE131D" w14:textId="14017C97" w:rsidR="005A1CB7" w:rsidRPr="00AA441F" w:rsidRDefault="00382BBD" w:rsidP="00F45021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12.</w:t>
            </w:r>
          </w:p>
        </w:tc>
        <w:tc>
          <w:tcPr>
            <w:tcW w:w="1640" w:type="dxa"/>
            <w:gridSpan w:val="2"/>
          </w:tcPr>
          <w:p w14:paraId="33C011F5" w14:textId="0A939978" w:rsidR="005A1CB7" w:rsidRPr="00AA441F" w:rsidRDefault="00382BBD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Dangal &amp; Dangal (2024)</w:t>
            </w:r>
          </w:p>
        </w:tc>
        <w:tc>
          <w:tcPr>
            <w:tcW w:w="1979" w:type="dxa"/>
          </w:tcPr>
          <w:p w14:paraId="6A7DB659" w14:textId="35FD991F" w:rsidR="005A1CB7" w:rsidRPr="00AA441F" w:rsidRDefault="00382BBD" w:rsidP="00382BBD">
            <w:pPr>
              <w:tabs>
                <w:tab w:val="left" w:pos="122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Global Medicine / System Review</w:t>
            </w:r>
          </w:p>
        </w:tc>
        <w:tc>
          <w:tcPr>
            <w:tcW w:w="2520" w:type="dxa"/>
          </w:tcPr>
          <w:p w14:paraId="73C96612" w14:textId="6763ABAB" w:rsidR="005A1CB7" w:rsidRPr="00AA441F" w:rsidRDefault="00382BBD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Physician burnout and clinical triage</w:t>
            </w:r>
          </w:p>
        </w:tc>
        <w:tc>
          <w:tcPr>
            <w:tcW w:w="6300" w:type="dxa"/>
          </w:tcPr>
          <w:p w14:paraId="105DB668" w14:textId="7883AAE7" w:rsidR="005A1CB7" w:rsidRPr="00AA441F" w:rsidRDefault="00382BBD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Synthesizes historical progress from rule-based expert tools (1972 MYCIN) to contemporary systems like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DeepDx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Prostate Pro</w:t>
            </w:r>
            <w:r w:rsidR="00596F5E" w:rsidRPr="00AA441F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2434" w:type="dxa"/>
          </w:tcPr>
          <w:p w14:paraId="762B5C9D" w14:textId="527C4B88" w:rsidR="005A1CB7" w:rsidRPr="00AA441F" w:rsidRDefault="00596F5E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Journal of Nepal Health Research Council</w:t>
            </w:r>
          </w:p>
        </w:tc>
      </w:tr>
      <w:tr w:rsidR="008116B4" w:rsidRPr="00AA441F" w14:paraId="077ED604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0DDFD108" w14:textId="419AC0CA" w:rsidR="005A1CB7" w:rsidRPr="00AA441F" w:rsidRDefault="00596F5E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13.</w:t>
            </w:r>
          </w:p>
        </w:tc>
        <w:tc>
          <w:tcPr>
            <w:tcW w:w="1640" w:type="dxa"/>
            <w:gridSpan w:val="2"/>
          </w:tcPr>
          <w:p w14:paraId="5E62D328" w14:textId="45F6D3AB" w:rsidR="005A1CB7" w:rsidRPr="00AA441F" w:rsidRDefault="00596F5E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Wahabi et al. (2023)</w:t>
            </w:r>
          </w:p>
        </w:tc>
        <w:tc>
          <w:tcPr>
            <w:tcW w:w="1979" w:type="dxa"/>
          </w:tcPr>
          <w:p w14:paraId="104B88AA" w14:textId="44E59122" w:rsidR="005A1CB7" w:rsidRPr="00AA441F" w:rsidRDefault="00596F5E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Public Health / Epidemiology</w:t>
            </w:r>
          </w:p>
        </w:tc>
        <w:tc>
          <w:tcPr>
            <w:tcW w:w="2520" w:type="dxa"/>
          </w:tcPr>
          <w:p w14:paraId="3CC6A126" w14:textId="19F57870" w:rsidR="005A1CB7" w:rsidRPr="00AA441F" w:rsidRDefault="00596F5E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Community health allocation and intervention</w:t>
            </w:r>
          </w:p>
        </w:tc>
        <w:tc>
          <w:tcPr>
            <w:tcW w:w="6300" w:type="dxa"/>
          </w:tcPr>
          <w:p w14:paraId="2B20FBE8" w14:textId="46748023" w:rsidR="005A1CB7" w:rsidRPr="00AA441F" w:rsidRDefault="00596F5E" w:rsidP="004B16A2">
            <w:pPr>
              <w:tabs>
                <w:tab w:val="left" w:pos="122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Conducts a large-scale scoping review (39 studies; 640,952 participants) mapping high BMI prevalence drops across a 10-year period utilizing stratified Stata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Metaprop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pooling.</w:t>
            </w:r>
          </w:p>
        </w:tc>
        <w:tc>
          <w:tcPr>
            <w:tcW w:w="2434" w:type="dxa"/>
          </w:tcPr>
          <w:p w14:paraId="2B6CC99A" w14:textId="0ADC74AB" w:rsidR="005A1CB7" w:rsidRPr="00AA441F" w:rsidRDefault="00596F5E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Healthcare (MDPI)</w:t>
            </w:r>
          </w:p>
        </w:tc>
      </w:tr>
      <w:tr w:rsidR="008116B4" w:rsidRPr="00AA441F" w14:paraId="730C96DB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22487C3E" w14:textId="3C017F01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14.</w:t>
            </w:r>
          </w:p>
        </w:tc>
        <w:tc>
          <w:tcPr>
            <w:tcW w:w="1640" w:type="dxa"/>
            <w:gridSpan w:val="2"/>
          </w:tcPr>
          <w:p w14:paraId="51D30E1F" w14:textId="19A3CDA3" w:rsidR="005A1CB7" w:rsidRPr="00AA441F" w:rsidRDefault="00185268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Bita PA et al. (2026)</w:t>
            </w:r>
          </w:p>
        </w:tc>
        <w:tc>
          <w:tcPr>
            <w:tcW w:w="1979" w:type="dxa"/>
          </w:tcPr>
          <w:p w14:paraId="28D18C90" w14:textId="3896A265" w:rsidR="005A1CB7" w:rsidRPr="00AA441F" w:rsidRDefault="00185268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Healthcare Management / RCM</w:t>
            </w:r>
          </w:p>
        </w:tc>
        <w:tc>
          <w:tcPr>
            <w:tcW w:w="2520" w:type="dxa"/>
          </w:tcPr>
          <w:p w14:paraId="0A0A26DD" w14:textId="60831B37" w:rsidR="005A1CB7" w:rsidRPr="00AA441F" w:rsidRDefault="00805D4B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Enterprise resource planning and patient flow</w:t>
            </w:r>
          </w:p>
        </w:tc>
        <w:tc>
          <w:tcPr>
            <w:tcW w:w="6300" w:type="dxa"/>
          </w:tcPr>
          <w:p w14:paraId="4281A8C1" w14:textId="3E094431" w:rsidR="005A1CB7" w:rsidRPr="00AA441F" w:rsidRDefault="00805D4B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Synthesizes evidence on operational AI infrastructure (ambient documentation, auto-coding, predictive throughput centers) to evaluate macro savings of 5–10%.</w:t>
            </w:r>
          </w:p>
        </w:tc>
        <w:tc>
          <w:tcPr>
            <w:tcW w:w="2434" w:type="dxa"/>
          </w:tcPr>
          <w:p w14:paraId="3EAC34F2" w14:textId="77777777" w:rsidR="00805D4B" w:rsidRPr="00AA441F" w:rsidRDefault="00805D4B" w:rsidP="00805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Style w:val="Emphasis"/>
                <w:rFonts w:ascii="Times New Roman" w:hAnsi="Times New Roman" w:cs="Times New Roman"/>
                <w:sz w:val="23"/>
                <w:szCs w:val="23"/>
              </w:rPr>
              <w:t>KOS Journal of AIML, Data Science, and Robotics</w:t>
            </w:r>
          </w:p>
          <w:p w14:paraId="0333BDFF" w14:textId="77777777" w:rsidR="005A1CB7" w:rsidRPr="00AA441F" w:rsidRDefault="005A1CB7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8116B4" w:rsidRPr="00AA441F" w14:paraId="36BEA1D4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22F67720" w14:textId="3DBB4EE4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15.</w:t>
            </w:r>
          </w:p>
        </w:tc>
        <w:tc>
          <w:tcPr>
            <w:tcW w:w="1640" w:type="dxa"/>
            <w:gridSpan w:val="2"/>
          </w:tcPr>
          <w:p w14:paraId="6444D320" w14:textId="69187D95" w:rsidR="005A1CB7" w:rsidRPr="00AA441F" w:rsidRDefault="00805D4B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Biagioni et al. (2023)</w:t>
            </w:r>
          </w:p>
        </w:tc>
        <w:tc>
          <w:tcPr>
            <w:tcW w:w="1979" w:type="dxa"/>
          </w:tcPr>
          <w:p w14:paraId="3F645DEC" w14:textId="4AA9104F" w:rsidR="005A1CB7" w:rsidRPr="00AA441F" w:rsidRDefault="00805D4B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Critical Care / Antimicrobial Prophylaxis</w:t>
            </w:r>
          </w:p>
        </w:tc>
        <w:tc>
          <w:tcPr>
            <w:tcW w:w="2520" w:type="dxa"/>
          </w:tcPr>
          <w:p w14:paraId="087404C6" w14:textId="6E3A0B92" w:rsidR="005A1CB7" w:rsidRPr="00AA441F" w:rsidRDefault="00805D4B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Ventilator-Associated Pneumonia (VAP) mitigation</w:t>
            </w:r>
          </w:p>
        </w:tc>
        <w:tc>
          <w:tcPr>
            <w:tcW w:w="6300" w:type="dxa"/>
          </w:tcPr>
          <w:p w14:paraId="65E7D1D4" w14:textId="32CF3F9B" w:rsidR="005A1CB7" w:rsidRPr="00AA441F" w:rsidRDefault="00805D4B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Evaluates Selective Digestive Decontamination (SDD) via multivariate Cox proportional hazards, demonstrating a significant reduction in late-onset VAP (HR 0.536) without increasing multidrug-resistant bacteria.</w:t>
            </w:r>
          </w:p>
        </w:tc>
        <w:tc>
          <w:tcPr>
            <w:tcW w:w="2434" w:type="dxa"/>
          </w:tcPr>
          <w:p w14:paraId="0969B12C" w14:textId="003E7319" w:rsidR="005A1CB7" w:rsidRPr="00AA441F" w:rsidRDefault="00805D4B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Journal of Clinical Medicine (MDPI)</w:t>
            </w:r>
          </w:p>
        </w:tc>
      </w:tr>
      <w:tr w:rsidR="008116B4" w:rsidRPr="00AA441F" w14:paraId="31179D91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7392D8C0" w14:textId="323B8205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16.</w:t>
            </w:r>
          </w:p>
        </w:tc>
        <w:tc>
          <w:tcPr>
            <w:tcW w:w="1640" w:type="dxa"/>
            <w:gridSpan w:val="2"/>
          </w:tcPr>
          <w:p w14:paraId="6392229A" w14:textId="0AF1781A" w:rsidR="005A1CB7" w:rsidRPr="00AA441F" w:rsidRDefault="00AB4D26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Izuchukwu et al. (2026)</w:t>
            </w:r>
          </w:p>
        </w:tc>
        <w:tc>
          <w:tcPr>
            <w:tcW w:w="1979" w:type="dxa"/>
          </w:tcPr>
          <w:p w14:paraId="78465AAA" w14:textId="15542377" w:rsidR="005A1CB7" w:rsidRPr="00AA441F" w:rsidRDefault="00AB4D26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Clinical Summarization / NLP</w:t>
            </w:r>
          </w:p>
        </w:tc>
        <w:tc>
          <w:tcPr>
            <w:tcW w:w="2520" w:type="dxa"/>
          </w:tcPr>
          <w:p w14:paraId="3E111B1A" w14:textId="1366AD7C" w:rsidR="005A1CB7" w:rsidRPr="00AA441F" w:rsidRDefault="00AB4D26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Healthcare document processing</w:t>
            </w:r>
          </w:p>
        </w:tc>
        <w:tc>
          <w:tcPr>
            <w:tcW w:w="6300" w:type="dxa"/>
          </w:tcPr>
          <w:p w14:paraId="31498B4A" w14:textId="6F831299" w:rsidR="005A1CB7" w:rsidRPr="00AA441F" w:rsidRDefault="00AB4D26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Evaluates recursive vs. direct BART models using ROUGE, BLEU, and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BERTScore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alongside 24 public health human experts to validate text fidelity in the One Health framework.</w:t>
            </w:r>
          </w:p>
        </w:tc>
        <w:tc>
          <w:tcPr>
            <w:tcW w:w="2434" w:type="dxa"/>
          </w:tcPr>
          <w:p w14:paraId="6D715D5D" w14:textId="7CD34137" w:rsidR="005A1CB7" w:rsidRPr="00AA441F" w:rsidRDefault="00AB4D26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Journal of Information Systems Applied Research and Analytics</w:t>
            </w:r>
          </w:p>
        </w:tc>
      </w:tr>
      <w:tr w:rsidR="008116B4" w:rsidRPr="00AA441F" w14:paraId="67601819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6123F375" w14:textId="4558D42C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17.</w:t>
            </w:r>
          </w:p>
        </w:tc>
        <w:tc>
          <w:tcPr>
            <w:tcW w:w="1640" w:type="dxa"/>
            <w:gridSpan w:val="2"/>
          </w:tcPr>
          <w:p w14:paraId="3B3FB675" w14:textId="014A7750" w:rsidR="005A1CB7" w:rsidRPr="00AA441F" w:rsidRDefault="005A427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Paranjape (2022)</w:t>
            </w:r>
          </w:p>
        </w:tc>
        <w:tc>
          <w:tcPr>
            <w:tcW w:w="1979" w:type="dxa"/>
          </w:tcPr>
          <w:p w14:paraId="16477003" w14:textId="3D84BBB3" w:rsidR="005A1CB7" w:rsidRPr="00AA441F" w:rsidRDefault="005A427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Clinical AI Integration / Healthcare Policy</w:t>
            </w:r>
          </w:p>
        </w:tc>
        <w:tc>
          <w:tcPr>
            <w:tcW w:w="2520" w:type="dxa"/>
          </w:tcPr>
          <w:p w14:paraId="4DA0DDD5" w14:textId="51470885" w:rsidR="005A1CB7" w:rsidRPr="00AA441F" w:rsidRDefault="005A427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Sepsis, Oncology, and Medical Education</w:t>
            </w:r>
          </w:p>
        </w:tc>
        <w:tc>
          <w:tcPr>
            <w:tcW w:w="6300" w:type="dxa"/>
          </w:tcPr>
          <w:p w14:paraId="2F6B1DCE" w14:textId="28891A46" w:rsidR="005A1CB7" w:rsidRPr="004B16A2" w:rsidRDefault="005A427F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4B16A2">
              <w:rPr>
                <w:rFonts w:ascii="Times New Roman" w:hAnsi="Times New Roman" w:cs="Times New Roman"/>
                <w:sz w:val="23"/>
                <w:szCs w:val="23"/>
              </w:rPr>
              <w:t xml:space="preserve">Outlines clinical workflow transition rules for retrospective deep learning models while highlighting algorithmic translation parameters like </w:t>
            </w:r>
            <w:proofErr w:type="spellStart"/>
            <w:r w:rsidRPr="004B16A2">
              <w:rPr>
                <w:rFonts w:ascii="Times New Roman" w:hAnsi="Times New Roman" w:cs="Times New Roman"/>
                <w:sz w:val="23"/>
                <w:szCs w:val="23"/>
              </w:rPr>
              <w:t>explainability</w:t>
            </w:r>
            <w:proofErr w:type="spellEnd"/>
            <w:r w:rsidRPr="004B16A2">
              <w:rPr>
                <w:rFonts w:ascii="Times New Roman" w:hAnsi="Times New Roman" w:cs="Times New Roman"/>
                <w:sz w:val="23"/>
                <w:szCs w:val="23"/>
              </w:rPr>
              <w:t xml:space="preserve">, algorithmic bias, and </w:t>
            </w:r>
            <w:proofErr w:type="gramStart"/>
            <w:r w:rsidRPr="004B16A2">
              <w:rPr>
                <w:rFonts w:ascii="Times New Roman" w:hAnsi="Times New Roman" w:cs="Times New Roman"/>
                <w:sz w:val="23"/>
                <w:szCs w:val="23"/>
              </w:rPr>
              <w:t>macro HIPAA</w:t>
            </w:r>
            <w:proofErr w:type="gramEnd"/>
            <w:r w:rsidRPr="004B16A2">
              <w:rPr>
                <w:rFonts w:ascii="Times New Roman" w:hAnsi="Times New Roman" w:cs="Times New Roman"/>
                <w:sz w:val="23"/>
                <w:szCs w:val="23"/>
              </w:rPr>
              <w:t>/GDPR regulatory data controls.</w:t>
            </w:r>
          </w:p>
        </w:tc>
        <w:tc>
          <w:tcPr>
            <w:tcW w:w="2434" w:type="dxa"/>
          </w:tcPr>
          <w:p w14:paraId="48A6C058" w14:textId="77777777" w:rsidR="005A427F" w:rsidRPr="004B16A2" w:rsidRDefault="005A427F" w:rsidP="005A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4B16A2">
              <w:rPr>
                <w:rStyle w:val="Emphasis"/>
                <w:rFonts w:ascii="Times New Roman" w:hAnsi="Times New Roman" w:cs="Times New Roman"/>
                <w:i w:val="0"/>
                <w:iCs w:val="0"/>
                <w:sz w:val="23"/>
                <w:szCs w:val="23"/>
              </w:rPr>
              <w:t>Vrije Universiteit Amsterdam (PhD Thesis)</w:t>
            </w:r>
          </w:p>
          <w:p w14:paraId="3B63311E" w14:textId="77777777" w:rsidR="005A1CB7" w:rsidRPr="004B16A2" w:rsidRDefault="005A1CB7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8116B4" w:rsidRPr="00AA441F" w14:paraId="195B2F8B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50C0D07A" w14:textId="773C2B98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18.</w:t>
            </w:r>
          </w:p>
        </w:tc>
        <w:tc>
          <w:tcPr>
            <w:tcW w:w="1640" w:type="dxa"/>
            <w:gridSpan w:val="2"/>
          </w:tcPr>
          <w:p w14:paraId="100AB35D" w14:textId="1691EE0D" w:rsidR="005A1CB7" w:rsidRPr="00AA441F" w:rsidRDefault="005A427F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Alowais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et al. (2023)</w:t>
            </w:r>
          </w:p>
        </w:tc>
        <w:tc>
          <w:tcPr>
            <w:tcW w:w="1979" w:type="dxa"/>
          </w:tcPr>
          <w:p w14:paraId="058F9E80" w14:textId="4A61D6AA" w:rsidR="005A1CB7" w:rsidRPr="00AA441F" w:rsidRDefault="005A427F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Clinical Practice / Medical Education</w:t>
            </w:r>
          </w:p>
        </w:tc>
        <w:tc>
          <w:tcPr>
            <w:tcW w:w="2520" w:type="dxa"/>
          </w:tcPr>
          <w:p w14:paraId="71C05250" w14:textId="35171F38" w:rsidR="005A1CB7" w:rsidRPr="00AA441F" w:rsidRDefault="005A427F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Translational medicine &amp; multi-specialty workflows</w:t>
            </w:r>
          </w:p>
        </w:tc>
        <w:tc>
          <w:tcPr>
            <w:tcW w:w="6300" w:type="dxa"/>
          </w:tcPr>
          <w:p w14:paraId="7A22C1A4" w14:textId="4D31B67C" w:rsidR="005A1CB7" w:rsidRPr="00AA441F" w:rsidRDefault="005A427F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Synthesizes global benchmarks for machine learning adoption across radiology (mammogram false-positive drops), genomic subtyping, dose optimization platforms (CURATE.AI), and conversational virtual triage </w:t>
            </w:r>
            <w:proofErr w:type="spellStart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triage</w:t>
            </w:r>
            <w:proofErr w:type="spellEnd"/>
            <w:r w:rsidRPr="00AA441F">
              <w:rPr>
                <w:rFonts w:ascii="Times New Roman" w:hAnsi="Times New Roman" w:cs="Times New Roman"/>
                <w:sz w:val="23"/>
                <w:szCs w:val="23"/>
              </w:rPr>
              <w:t xml:space="preserve"> filters.</w:t>
            </w:r>
          </w:p>
        </w:tc>
        <w:tc>
          <w:tcPr>
            <w:tcW w:w="2434" w:type="dxa"/>
          </w:tcPr>
          <w:p w14:paraId="4B22FBC7" w14:textId="77777777" w:rsidR="005A427F" w:rsidRPr="00AA441F" w:rsidRDefault="005A427F" w:rsidP="005A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Style w:val="Emphasis"/>
                <w:rFonts w:ascii="Times New Roman" w:hAnsi="Times New Roman" w:cs="Times New Roman"/>
                <w:sz w:val="23"/>
                <w:szCs w:val="23"/>
              </w:rPr>
              <w:t>BMC Medical Education</w:t>
            </w:r>
          </w:p>
          <w:p w14:paraId="226BB714" w14:textId="77777777" w:rsidR="005A1CB7" w:rsidRPr="00AA441F" w:rsidRDefault="005A1CB7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8116B4" w:rsidRPr="00AA441F" w14:paraId="660F22CA" w14:textId="77777777" w:rsidTr="00C72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56473030" w14:textId="00DC7F5E" w:rsidR="005A1CB7" w:rsidRPr="00AA441F" w:rsidRDefault="00805D4B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19.</w:t>
            </w:r>
          </w:p>
        </w:tc>
        <w:tc>
          <w:tcPr>
            <w:tcW w:w="1640" w:type="dxa"/>
            <w:gridSpan w:val="2"/>
          </w:tcPr>
          <w:p w14:paraId="04107416" w14:textId="3CBBD5EB" w:rsidR="005A1CB7" w:rsidRPr="00AA441F" w:rsidRDefault="004002A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Ibrahim (2025)</w:t>
            </w:r>
          </w:p>
        </w:tc>
        <w:tc>
          <w:tcPr>
            <w:tcW w:w="1979" w:type="dxa"/>
          </w:tcPr>
          <w:p w14:paraId="064230E2" w14:textId="04F83F21" w:rsidR="005A1CB7" w:rsidRPr="00AA441F" w:rsidRDefault="004002A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Digital Health / System Augmentation</w:t>
            </w:r>
          </w:p>
        </w:tc>
        <w:tc>
          <w:tcPr>
            <w:tcW w:w="2520" w:type="dxa"/>
          </w:tcPr>
          <w:p w14:paraId="345A0D1E" w14:textId="0DFF4311" w:rsidR="005A1CB7" w:rsidRPr="00AA441F" w:rsidRDefault="004002A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Comprehensive patient-centric workflows</w:t>
            </w:r>
          </w:p>
        </w:tc>
        <w:tc>
          <w:tcPr>
            <w:tcW w:w="6300" w:type="dxa"/>
          </w:tcPr>
          <w:p w14:paraId="7DB60885" w14:textId="0A617069" w:rsidR="005A1CB7" w:rsidRPr="00AA441F" w:rsidRDefault="004002AF" w:rsidP="004B1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Conducts a qualitative meta-analysis (140+ sources) utilizing Sociotechnical Systems Theory to evaluate core clinical pillars (ML, NLP, Computer Vision, RPA, Generative AI).</w:t>
            </w:r>
          </w:p>
        </w:tc>
        <w:tc>
          <w:tcPr>
            <w:tcW w:w="2434" w:type="dxa"/>
          </w:tcPr>
          <w:p w14:paraId="4B71C13D" w14:textId="60141987" w:rsidR="005A1CB7" w:rsidRPr="00AA441F" w:rsidRDefault="004002AF" w:rsidP="00441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nternational Journal of Artificial Intelligence for Science</w:t>
            </w:r>
          </w:p>
        </w:tc>
      </w:tr>
      <w:tr w:rsidR="004002AF" w:rsidRPr="00AA441F" w14:paraId="76A3AE0A" w14:textId="77777777" w:rsidTr="00C72855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</w:tcPr>
          <w:p w14:paraId="50EA7658" w14:textId="59D0F7FD" w:rsidR="004002AF" w:rsidRPr="00AA441F" w:rsidRDefault="004002AF" w:rsidP="00313C77">
            <w:pPr>
              <w:spacing w:before="12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20.</w:t>
            </w:r>
          </w:p>
        </w:tc>
        <w:tc>
          <w:tcPr>
            <w:tcW w:w="1640" w:type="dxa"/>
            <w:gridSpan w:val="2"/>
          </w:tcPr>
          <w:p w14:paraId="4DCB00FC" w14:textId="34C3B1F3" w:rsidR="004002AF" w:rsidRPr="00AA441F" w:rsidRDefault="00960A27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Walker (2024)</w:t>
            </w:r>
          </w:p>
        </w:tc>
        <w:tc>
          <w:tcPr>
            <w:tcW w:w="1979" w:type="dxa"/>
          </w:tcPr>
          <w:p w14:paraId="7FF1966A" w14:textId="45579592" w:rsidR="004002AF" w:rsidRPr="00AA441F" w:rsidRDefault="006571FC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Ethics &amp; Public Policy / ANI</w:t>
            </w:r>
          </w:p>
        </w:tc>
        <w:tc>
          <w:tcPr>
            <w:tcW w:w="2520" w:type="dxa"/>
          </w:tcPr>
          <w:p w14:paraId="72245CA9" w14:textId="4C8A784A" w:rsidR="004002AF" w:rsidRPr="00AA441F" w:rsidRDefault="006571FC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Global health resource disparities</w:t>
            </w:r>
          </w:p>
        </w:tc>
        <w:tc>
          <w:tcPr>
            <w:tcW w:w="6300" w:type="dxa"/>
          </w:tcPr>
          <w:p w14:paraId="7803BED8" w14:textId="4624F603" w:rsidR="004002AF" w:rsidRPr="00AA441F" w:rsidRDefault="006571FC" w:rsidP="004B1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Uses a comparative case study approach (175+ sources) to explore the 10/90 health gap paradox. Identifies macro-level policy failures (vague IGO structures) and outlines 4 specific algorithmic policy choke-points.</w:t>
            </w:r>
          </w:p>
        </w:tc>
        <w:tc>
          <w:tcPr>
            <w:tcW w:w="2434" w:type="dxa"/>
          </w:tcPr>
          <w:p w14:paraId="42BD639F" w14:textId="6171B983" w:rsidR="004002AF" w:rsidRPr="00AA441F" w:rsidRDefault="006571FC" w:rsidP="0044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3"/>
                <w:szCs w:val="23"/>
              </w:rPr>
            </w:pPr>
            <w:r w:rsidRPr="00AA441F">
              <w:rPr>
                <w:rFonts w:ascii="Times New Roman" w:hAnsi="Times New Roman" w:cs="Times New Roman"/>
                <w:sz w:val="23"/>
                <w:szCs w:val="23"/>
              </w:rPr>
              <w:t>TU Wien (Doctoral Dissertation)</w:t>
            </w:r>
          </w:p>
        </w:tc>
      </w:tr>
    </w:tbl>
    <w:p w14:paraId="0D7238B4" w14:textId="77777777" w:rsidR="00FB6B35" w:rsidRDefault="00FB6B35" w:rsidP="0044118D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66A8738" w14:textId="717EE997" w:rsidR="00FB6B35" w:rsidRPr="00FB6B35" w:rsidRDefault="00FB6B35" w:rsidP="00C72855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B35">
        <w:rPr>
          <w:rFonts w:ascii="Times New Roman" w:hAnsi="Times New Roman" w:cs="Times New Roman"/>
          <w:b/>
          <w:bCs/>
          <w:sz w:val="24"/>
          <w:szCs w:val="24"/>
        </w:rPr>
        <w:t>Summary of Comparative Analysis</w:t>
      </w:r>
      <w:r w:rsidRPr="00FB6B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04EAFA" w14:textId="71F606A9" w:rsidR="004A3A3B" w:rsidRPr="00C72855" w:rsidRDefault="00FB6B35" w:rsidP="00FB6B3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72855">
        <w:rPr>
          <w:rFonts w:ascii="Times New Roman" w:hAnsi="Times New Roman" w:cs="Times New Roman"/>
          <w:sz w:val="23"/>
          <w:szCs w:val="23"/>
        </w:rPr>
        <w:t>The selected studies demonstrate that Federated Learning is an effective approach for privacy-preserving healthcare applications. They focus on improving security, model performance, and communication efficiency across various medical domains. Overall, the literature provides a strong foundation for the proposed research.</w:t>
      </w:r>
    </w:p>
    <w:sectPr w:rsidR="004A3A3B" w:rsidRPr="00C72855" w:rsidSect="008C55C6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78BC"/>
    <w:rsid w:val="000A5FE3"/>
    <w:rsid w:val="000F664E"/>
    <w:rsid w:val="001431A9"/>
    <w:rsid w:val="001762EC"/>
    <w:rsid w:val="00185268"/>
    <w:rsid w:val="002F5034"/>
    <w:rsid w:val="00313C77"/>
    <w:rsid w:val="00343701"/>
    <w:rsid w:val="00382BBD"/>
    <w:rsid w:val="004002AF"/>
    <w:rsid w:val="0044118D"/>
    <w:rsid w:val="004A3A3B"/>
    <w:rsid w:val="004A4A0A"/>
    <w:rsid w:val="004B16A2"/>
    <w:rsid w:val="00596F5E"/>
    <w:rsid w:val="005A1CB7"/>
    <w:rsid w:val="005A427F"/>
    <w:rsid w:val="005E4733"/>
    <w:rsid w:val="006571FC"/>
    <w:rsid w:val="006D3F04"/>
    <w:rsid w:val="007A6070"/>
    <w:rsid w:val="00805D4B"/>
    <w:rsid w:val="008116B4"/>
    <w:rsid w:val="008A7F82"/>
    <w:rsid w:val="008C11DB"/>
    <w:rsid w:val="008C55C6"/>
    <w:rsid w:val="00960A27"/>
    <w:rsid w:val="00A52A2F"/>
    <w:rsid w:val="00AA441F"/>
    <w:rsid w:val="00AB4D26"/>
    <w:rsid w:val="00C72855"/>
    <w:rsid w:val="00CB353A"/>
    <w:rsid w:val="00DE34D6"/>
    <w:rsid w:val="00DF3ABA"/>
    <w:rsid w:val="00EA136B"/>
    <w:rsid w:val="00ED4789"/>
    <w:rsid w:val="00EF78BC"/>
    <w:rsid w:val="00F45021"/>
    <w:rsid w:val="00FB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0F40"/>
  <w15:chartTrackingRefBased/>
  <w15:docId w15:val="{A4FD5112-0416-43BD-B25A-17312F47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C55C6"/>
    <w:rPr>
      <w:i/>
      <w:iCs/>
    </w:rPr>
  </w:style>
  <w:style w:type="table" w:styleId="GridTable2-Accent1">
    <w:name w:val="Grid Table 2 Accent 1"/>
    <w:basedOn w:val="TableNormal"/>
    <w:uiPriority w:val="47"/>
    <w:rsid w:val="00343701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C51E138-ADF5-4ED1-BC1A-8B491BF6E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2026-07-23T18:24:00Z</dcterms:created>
  <dcterms:modified xsi:type="dcterms:W3CDTF">2026-07-23T19:28:00Z</dcterms:modified>
</cp:coreProperties>
</file>