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Case Study: Building a Cost-Efficient Custom DataTable with Ant Design</w:t>
      </w:r>
    </w:p>
    <w:p>
      <w:pPr>
        <w:pStyle w:val="Heading1"/>
      </w:pPr>
      <w:r>
        <w:t>Background</w:t>
      </w:r>
    </w:p>
    <w:p>
      <w:r>
        <w:t>The organization needed an enterprise-grade data table solution to support complex reporting, analytics, and operational workflows. The industry-standard choice, AG-Grid Enterprise, provides such capabilities but at a high recurring licensing cost ($750–$1,200 per developer annually).</w:t>
        <w:br/>
        <w:br/>
        <w:t>As a growing product, it was important to ensure both cost optimization and long-term flexibility without compromising user experience.</w:t>
      </w:r>
    </w:p>
    <w:p>
      <w:pPr>
        <w:pStyle w:val="Heading1"/>
      </w:pPr>
      <w:r>
        <w:t>Challenge</w:t>
      </w:r>
    </w:p>
    <w:p>
      <w:r>
        <w:t>- Deliver a responsive, highly customizable DataTable with enterprise-grade features.</w:t>
        <w:br/>
        <w:t>- Avoid expensive recurring licensing fees associated with AG-Grid Enterprise.</w:t>
        <w:br/>
        <w:t>- Ensure full integration with the Ant Design ecosystem for UI consistency.</w:t>
        <w:br/>
        <w:t>- Achieve these outcomes while maintaining performance and scalability.</w:t>
      </w:r>
    </w:p>
    <w:p>
      <w:pPr>
        <w:pStyle w:val="Heading1"/>
      </w:pPr>
      <w:r>
        <w:t>Solution</w:t>
      </w:r>
    </w:p>
    <w:p>
      <w:r>
        <w:t>A custom DataTable solution was designed and implemented using Ant Design, replicating and extending enterprise-grade features typically locked behind AG-Grid’s paid license.</w:t>
        <w:br/>
        <w:br/>
        <w:t>Key customizations included:</w:t>
      </w:r>
    </w:p>
    <w:p>
      <w:r>
        <w:t>- Nested Row Rendering – expandable rows to represent hierarchical data.</w:t>
        <w:br/>
        <w:t>- Conditional Highlighting – dynamic row and cell styling based on business rules.</w:t>
        <w:br/>
        <w:t>- Custom Filters &amp; Sorters – multi-criteria search and logic-aligned sorting.</w:t>
        <w:br/>
        <w:t>- Action Buttons – row-level and bulk operations (edit, delete, custom workflows).</w:t>
        <w:br/>
        <w:t>- Resizable Columns – with state persistence.</w:t>
        <w:br/>
        <w:t>- Copy Operations – cell-level, row-level, and bulk selection copy.</w:t>
        <w:br/>
        <w:t>- Export Functionalities – configurable options for CSV, Excel, and copy-paste.</w:t>
        <w:br/>
        <w:t>- UI Consistency – fully integrated into the Ant Design design language.</w:t>
      </w:r>
    </w:p>
    <w:p>
      <w:pPr>
        <w:pStyle w:val="Heading1"/>
      </w:pPr>
      <w:r>
        <w:t>Impact &amp; Results</w:t>
      </w:r>
    </w:p>
    <w:p>
      <w:pPr>
        <w:pStyle w:val="Heading2"/>
      </w:pPr>
      <w:r>
        <w:t>Financial Impact</w:t>
      </w:r>
    </w:p>
    <w:p>
      <w:r>
        <w:t>- Eliminated $6,000–$12,000 annual licensing costs (team equivalent savings).</w:t>
        <w:br/>
        <w:t>- Over a 3-year horizon, this translates to $28,800+ saved.</w:t>
        <w:br/>
        <w:t>- Achieved zero recurring costs with complete ownership of the codebase.</w:t>
      </w:r>
    </w:p>
    <w:p>
      <w:pPr>
        <w:pStyle w:val="Heading2"/>
      </w:pPr>
      <w:r>
        <w:t>Operational Impact</w:t>
      </w:r>
    </w:p>
    <w:p>
      <w:r>
        <w:t>- Improved user experience with a clean, responsive, and intuitive UI.</w:t>
        <w:br/>
        <w:t>- Increased flexibility for future customizations without vendor dependency.</w:t>
        <w:br/>
        <w:t>- Enhanced performance through optimized rendering in React with Ant Design.</w:t>
        <w:br/>
        <w:t>- Reduced integration overhead since all components align with the Ant Design system.</w:t>
      </w:r>
    </w:p>
    <w:p>
      <w:pPr>
        <w:pStyle w:val="Heading2"/>
      </w:pPr>
      <w:r>
        <w:t>Strategic Impact</w:t>
      </w:r>
    </w:p>
    <w:p>
      <w:r>
        <w:t>- No vendor lock-in – full control over features and roadmap.</w:t>
        <w:br/>
        <w:t>- Reusable components – built once, used across multiple modules.</w:t>
        <w:br/>
        <w:t>- Future-ready architecture – easily adaptable to new requirements.</w:t>
        <w:br/>
        <w:t>- Alignment with business goals – optimized costs while delivering enterprise-class features.</w:t>
      </w:r>
    </w:p>
    <w:p>
      <w:pPr>
        <w:pStyle w:val="Heading1"/>
      </w:pPr>
      <w:r>
        <w:t>Conclusion</w:t>
      </w:r>
    </w:p>
    <w:p>
      <w:r>
        <w:t>By engineering a fully customized Ant Design DataTable, the initiative delivered:</w:t>
        <w:br/>
        <w:t>- Technical mastery in building enterprise-grade UI components from scratch.</w:t>
        <w:br/>
        <w:t>- Business acumen by saving the organization tens of thousands of dollars in potential licensing costs.</w:t>
        <w:br/>
        <w:t>- Strategic foresight in ensuring scalability, maintainability, and flexibility.</w:t>
        <w:br/>
        <w:br/>
        <w:t>This case clearly illustrates the value of in-house technical expertise—delivering enterprise-class outcomes at zero recurring cost, strengthening the product’s long-term competitiveness and profitability.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