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Times New Roman" w:cs="Times New Roman" w:eastAsia="Times New Roman" w:hAnsi="Times New Roman"/>
          <w:b/>
          <w:bCs/>
          <w:color w:val="000000"/>
          <w:sz w:val="36"/>
          <w:szCs w:val="36"/>
        </w:rPr>
        <w:t xml:space="preserve">Employee Engagement, Satisfaction, and Burnout Diagnostic Analysis at Palo Alto Networks</w:t>
      </w:r>
    </w:p>
    <w:p>
      <w:pPr>
        <w:spacing w:after="40"/>
        <w:jc w:val="center"/>
      </w:pPr>
      <w:r>
        <w:rPr>
          <w:rFonts w:ascii="Times New Roman" w:cs="Times New Roman" w:eastAsia="Times New Roman" w:hAnsi="Times New Roman"/>
          <w:b/>
          <w:bCs/>
          <w:color w:val="333333"/>
          <w:sz w:val="22"/>
          <w:szCs w:val="22"/>
        </w:rPr>
        <w:t xml:space="preserve">Pranali Ananta Paturkar</w:t>
      </w:r>
    </w:p>
    <w:p>
      <w:pPr>
        <w:spacing w:after="40"/>
        <w:jc w:val="center"/>
      </w:pPr>
      <w:r>
        <w:rPr>
          <w:rFonts w:ascii="Times New Roman" w:cs="Times New Roman" w:eastAsia="Times New Roman" w:hAnsi="Times New Roman"/>
          <w:i/>
          <w:iCs/>
          <w:color w:val="555555"/>
          <w:sz w:val="20"/>
          <w:szCs w:val="20"/>
        </w:rPr>
        <w:t xml:space="preserve">Department of Human Resources &amp; People Analytics</w:t>
      </w:r>
    </w:p>
    <w:p>
      <w:pPr>
        <w:spacing w:after="40"/>
        <w:jc w:val="center"/>
      </w:pPr>
      <w:r>
        <w:rPr>
          <w:rFonts w:ascii="Times New Roman" w:cs="Times New Roman" w:eastAsia="Times New Roman" w:hAnsi="Times New Roman"/>
          <w:color w:val="555555"/>
          <w:sz w:val="20"/>
          <w:szCs w:val="20"/>
        </w:rPr>
        <w:t xml:space="preserve">Palo Alto Networks, Santa Clara, CA, USA</w:t>
      </w:r>
    </w:p>
    <w:p>
      <w:pPr>
        <w:spacing w:after="200"/>
        <w:jc w:val="center"/>
      </w:pPr>
      <w:r>
        <w:rPr>
          <w:rFonts w:ascii="Times New Roman" w:cs="Times New Roman" w:eastAsia="Times New Roman" w:hAnsi="Times New Roman"/>
          <w:i/>
          <w:iCs/>
          <w:color w:val="2E75B6"/>
          <w:sz w:val="20"/>
          <w:szCs w:val="20"/>
        </w:rPr>
        <w:t xml:space="preserve">Pranaliturankar95@gmail.com</w:t>
      </w:r>
    </w:p>
    <w:p>
      <w:pPr>
        <w:pBdr>
          <w:bottom w:val="single" w:color="2E75B6" w:sz="6" w:space="1"/>
        </w:pBdr>
        <w:spacing w:after="160" w:before="0"/>
      </w:pPr>
      <w:r>
        <w:t xml:space="preserve"/>
      </w:r>
    </w:p>
    <w:p>
      <w:pPr>
        <w:spacing w:after="80" w:before="0" w:line="276"/>
        <w:jc w:val="both"/>
      </w:pPr>
      <w:r>
        <w:rPr>
          <w:rFonts w:ascii="Times New Roman" w:cs="Times New Roman" w:eastAsia="Times New Roman" w:hAnsi="Times New Roman"/>
          <w:b/>
          <w:bCs/>
          <w:i/>
          <w:iCs/>
          <w:color w:val="000000"/>
          <w:sz w:val="20"/>
          <w:szCs w:val="20"/>
        </w:rPr>
        <w:t xml:space="preserve">Abstract</w:t>
      </w:r>
      <w:r>
        <w:rPr>
          <w:rFonts w:ascii="Times New Roman" w:cs="Times New Roman" w:eastAsia="Times New Roman" w:hAnsi="Times New Roman"/>
          <w:i w:val="false"/>
          <w:iCs w:val="false"/>
          <w:color w:val="333333"/>
          <w:sz w:val="20"/>
          <w:szCs w:val="20"/>
        </w:rPr>
        <w:t xml:space="preserve">—This paper presents a comprehensive diagnostic analysis of employee engagement, job satisfaction, and burnout risk at Palo Alto Networks, one of the world’s foremost cybersecurity organizations. Using a dataset of 1,470 employee records across 31 attributes, we construct a composite Engagement Index by aggregating four satisfaction dimensions, identify high-risk burnout profiles through overtime and work-life balance indicators, and examine how workload intensity, career stagnation, and departmental factors drive employee disengagement. Our analysis reveals an overall Engagement Index of 2.72 out of 4.0 and an organizational attrition rate of 16.1%. Critically, employees working overtime exhibit an attrition rate of 30.5%, nearly three times that of non-overtime peers (10.4%). High-burnout employees demonstrate a mean engagement score of 2.51 compared to 2.76 among low-risk peers. This research provides HR leadership with an evidence-based early-warning framework to transition from reactive attrition management to preventive, human-centered workforce intervention.</w:t>
      </w:r>
    </w:p>
    <w:p>
      <w:pPr>
        <w:spacing w:after="80" w:before="0"/>
      </w:pPr>
      <w:r>
        <w:t xml:space="preserve"/>
      </w:r>
    </w:p>
    <w:p>
      <w:pPr>
        <w:spacing w:after="200" w:before="0" w:line="276"/>
        <w:jc w:val="both"/>
      </w:pPr>
      <w:r>
        <w:rPr>
          <w:rFonts w:ascii="Times New Roman" w:cs="Times New Roman" w:eastAsia="Times New Roman" w:hAnsi="Times New Roman"/>
          <w:b/>
          <w:bCs/>
          <w:i/>
          <w:iCs/>
          <w:color w:val="000000"/>
          <w:sz w:val="20"/>
          <w:szCs w:val="20"/>
        </w:rPr>
        <w:t xml:space="preserve">Keywords</w:t>
      </w:r>
      <w:r>
        <w:rPr>
          <w:rFonts w:ascii="Times New Roman" w:cs="Times New Roman" w:eastAsia="Times New Roman" w:hAnsi="Times New Roman"/>
          <w:color w:val="333333"/>
          <w:sz w:val="20"/>
          <w:szCs w:val="20"/>
        </w:rPr>
        <w:t xml:space="preserve">—employee engagement, burnout risk, HR analytics, attrition prediction, work-life balance, organizational behavior, people analytics, Palo Alto Networks</w:t>
      </w:r>
    </w:p>
    <w:p>
      <w:pPr>
        <w:pStyle w:val="Heading1"/>
      </w:pPr>
      <w:r>
        <w:rPr>
          <w:rFonts w:ascii="Times New Roman" w:cs="Times New Roman" w:eastAsia="Times New Roman" w:hAnsi="Times New Roman"/>
          <w:b/>
          <w:bCs/>
          <w:color w:val="000000"/>
          <w:sz w:val="24"/>
          <w:szCs w:val="24"/>
        </w:rPr>
        <w:t xml:space="preserve">I. Introduction</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In high-performance technology organizations, employee burnout and disengagement are latent but consequential risks that frequently precede voluntary attrition. Unlike conventional attrition analytics which focus on post-departure patterns, engagement diagnostics offer a proactive lens: identifying the conditions under which employees begin to disengage before they make the decision to leave.</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Palo Alto Networks, operating in the intensely competitive and talent-scarce cybersecurity industry, faces unique workforce challenges. Sustained cognitive demands, escalating threat landscapes, and high-stakes client environments create conditions where burnout can proliferate quietly within departments. The inability to detect early-stage disengagement means that HR interventions arrive too late — typically during or after resignation decisions.</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This paper addresses four principal knowledge gaps identified within the organization:</w:t>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The absence of a unified, quantifiable Engagement Health Index spanning across departments and roles.</w:t>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Limited visibility into which employee segments are at elevated burnout risk and why.</w:t>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Incomplete understanding of how overtime, work-life balance, travel frequency, and commute patterns interact to erode engagement.</w:t>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No systematic framework for career-stage disengagement, particularly around promotion stagnation and role tenure.</w:t>
      </w:r>
    </w:p>
    <w:p>
      <w:pPr>
        <w:spacing w:after="80" w:before="0"/>
      </w:pPr>
      <w:r>
        <w:t xml:space="preserve"/>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We propose an analytical methodology that constructs a composite Engagement Index, builds a multi-signal Burnout Risk Score, and maps engagement trends across workload, tenure, and career dimensions. The dataset comprises 1,470 employees across three departments and nine job roles, with 31 variables spanning demographics, compensation, satisfaction ratings, and career history.</w:t>
      </w:r>
    </w:p>
    <w:p>
      <w:pPr>
        <w:pStyle w:val="Heading1"/>
      </w:pPr>
      <w:r>
        <w:rPr>
          <w:rFonts w:ascii="Times New Roman" w:cs="Times New Roman" w:eastAsia="Times New Roman" w:hAnsi="Times New Roman"/>
          <w:b/>
          <w:bCs/>
          <w:color w:val="000000"/>
          <w:sz w:val="24"/>
          <w:szCs w:val="24"/>
        </w:rPr>
        <w:t xml:space="preserve">II. Literature Review</w:t>
      </w:r>
    </w:p>
    <w:p>
      <w:pPr>
        <w:pStyle w:val="Heading2"/>
      </w:pPr>
      <w:r>
        <w:rPr>
          <w:rFonts w:ascii="Times New Roman" w:cs="Times New Roman" w:eastAsia="Times New Roman" w:hAnsi="Times New Roman"/>
          <w:b/>
          <w:bCs/>
          <w:i/>
          <w:iCs/>
          <w:color w:val="000000"/>
          <w:sz w:val="22"/>
          <w:szCs w:val="22"/>
        </w:rPr>
        <w:t xml:space="preserve">A. Employee Engagement and Organizational Performance</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Kahn (1990) first conceptualized employee engagement as the harnessing of organizational members’ selves in their work roles. Subsequent scholarship — including Schaufeli et al.’s (2002) Work Engagement Scale — operationalized engagement through vigor, dedication, and absorption. Organizations with high engagement consistently outperform peers on productivity, customer satisfaction, and retention (Gallup, 2023), with engaged employees exhibiting 21% higher profitability and 59% lower turnover.</w:t>
      </w:r>
    </w:p>
    <w:p>
      <w:pPr>
        <w:pStyle w:val="Heading2"/>
      </w:pPr>
      <w:r>
        <w:rPr>
          <w:rFonts w:ascii="Times New Roman" w:cs="Times New Roman" w:eastAsia="Times New Roman" w:hAnsi="Times New Roman"/>
          <w:b/>
          <w:bCs/>
          <w:i/>
          <w:iCs/>
          <w:color w:val="000000"/>
          <w:sz w:val="22"/>
          <w:szCs w:val="22"/>
        </w:rPr>
        <w:t xml:space="preserve">B. Burnout in Technology Sectors</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Maslach and Leiter (2016) define burnout as a syndrome of emotional exhaustion, depersonalization, and reduced personal accomplishment resulting from chronic workplace stress. The cybersecurity sector presents particular vulnerability: practitioners in high-stakes roles experience elevated emotional labor and cognitive load. Studies indicate that 62% of cybersecurity professionals experience significant burnout symptoms, with overtime and role ambiguity as primary drivers [3].</w:t>
      </w:r>
    </w:p>
    <w:p>
      <w:pPr>
        <w:pStyle w:val="Heading2"/>
      </w:pPr>
      <w:r>
        <w:rPr>
          <w:rFonts w:ascii="Times New Roman" w:cs="Times New Roman" w:eastAsia="Times New Roman" w:hAnsi="Times New Roman"/>
          <w:b/>
          <w:bCs/>
          <w:i/>
          <w:iCs/>
          <w:color w:val="000000"/>
          <w:sz w:val="22"/>
          <w:szCs w:val="22"/>
        </w:rPr>
        <w:t xml:space="preserve">C. Predictive HR Analytics</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emergence of people analytics as a discipline has transformed HR from a retrospective reporting function to a predictive intelligence unit. IBM’s attrition prediction models and Google’s Project Oxygen demonstrate how structured employee data can yield actionable insights. This paper builds on these foundations by designing an engagement-first diagnostic rather than an attrition-first model, a methodological shift that enables earlier intervention.</w:t>
      </w:r>
    </w:p>
    <w:p>
      <w:pPr>
        <w:pStyle w:val="Heading1"/>
      </w:pPr>
      <w:r>
        <w:rPr>
          <w:rFonts w:ascii="Times New Roman" w:cs="Times New Roman" w:eastAsia="Times New Roman" w:hAnsi="Times New Roman"/>
          <w:b/>
          <w:bCs/>
          <w:color w:val="000000"/>
          <w:sz w:val="24"/>
          <w:szCs w:val="24"/>
        </w:rPr>
        <w:t xml:space="preserve">III. Dataset Description</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dataset used in this analysis contains 1,470 employee records across 31 attributes, structured to capture the full spectrum of employee experience at Palo Alto Networks. Table I provides a summary of key dataset characteristics.</w:t>
      </w:r>
    </w:p>
    <w:p>
      <w:pPr>
        <w:spacing w:after="80" w:before="0"/>
      </w:pPr>
      <w:r>
        <w:t xml:space="preserve"/>
      </w:r>
    </w:p>
    <w:p>
      <w:pPr>
        <w:spacing w:after="60" w:before="80"/>
        <w:jc w:val="center"/>
      </w:pPr>
      <w:r>
        <w:rPr>
          <w:rFonts w:ascii="Times New Roman" w:cs="Times New Roman" w:eastAsia="Times New Roman" w:hAnsi="Times New Roman"/>
          <w:b/>
          <w:bCs/>
          <w:color w:val="000000"/>
          <w:sz w:val="18"/>
          <w:szCs w:val="18"/>
        </w:rPr>
        <w:t xml:space="preserve">TABLE I.   Dataset Characteristics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Attribute</w:t>
            </w:r>
          </w:p>
        </w:tc>
        <w:tc>
          <w:tcPr>
            <w:tcW w:type="dxa" w:w="3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Value</w:t>
            </w:r>
          </w:p>
        </w:tc>
        <w:tc>
          <w:tcPr>
            <w:tcW w:type="dxa" w:w="3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Notes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Total Records</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1,470 employees</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Cross-sectional snapshot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Total Variables</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31 attributes</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Demographics, compensation, satisfaction</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Departments</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3 (Sales, R&amp;D, HR)</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Sales, Research &amp; Development, Human Resources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Job Roles</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9 distinct roles</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From Sales Rep to Research Director</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Missing Values</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0 (none)</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Complete dataset, no imputation required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Attrition Cases</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237 (16.1%)</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Binary: 0 = Stayed, 1 = Left</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Overtime Workers</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416 (28.3%)</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Yes/No categorical variable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Avg Monthly Income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$6,503</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Range: $1,009 – $19,999</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Avg Age</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36.9 years</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Range: 18 – 60 years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Avg Tenure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7.0 years</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Years at company</w:t>
            </w:r>
          </w:p>
        </w:tc>
      </w:tr>
    </w:tbl>
    <w:p>
      <w:pPr>
        <w:spacing w:after="80" w:before="0"/>
      </w:pPr>
      <w:r>
        <w:t xml:space="preserve"/>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Ordinal satisfaction variables (JobSatisfaction, EnvironmentSatisfaction, RelationshipSatisfaction, and JobInvolvement) are measured on a 1–4 Likert scale, where 1 represents the lowest and 4 represents the highest level of the measured construct. WorkLifeBalance is similarly scored from 1 (Bad) to 4 (Best). All ordinal fields were validated to confirm they fell within expected ranges with no out-of-bound values detected.</w:t>
      </w:r>
    </w:p>
    <w:p>
      <w:pPr>
        <w:pStyle w:val="Heading1"/>
      </w:pPr>
      <w:r>
        <w:rPr>
          <w:rFonts w:ascii="Times New Roman" w:cs="Times New Roman" w:eastAsia="Times New Roman" w:hAnsi="Times New Roman"/>
          <w:b/>
          <w:bCs/>
          <w:color w:val="000000"/>
          <w:sz w:val="24"/>
          <w:szCs w:val="24"/>
        </w:rPr>
        <w:t xml:space="preserve">IV. Analytical Methodology</w:t>
      </w:r>
    </w:p>
    <w:p>
      <w:pPr>
        <w:pStyle w:val="Heading2"/>
      </w:pPr>
      <w:r>
        <w:rPr>
          <w:rFonts w:ascii="Times New Roman" w:cs="Times New Roman" w:eastAsia="Times New Roman" w:hAnsi="Times New Roman"/>
          <w:b/>
          <w:bCs/>
          <w:i/>
          <w:iCs/>
          <w:color w:val="000000"/>
          <w:sz w:val="22"/>
          <w:szCs w:val="22"/>
        </w:rPr>
        <w:t xml:space="preserve">A. Engagement Index Construction</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Engagement Index (EI) is constructed as the unweighted mean of four Likert-scaled dimensions, as shown in Equation (1). This composite score serves as the primary health metric throughout the analysis.</w:t>
      </w:r>
    </w:p>
    <w:p>
      <w:pPr>
        <w:spacing w:after="80" w:before="0"/>
      </w:pPr>
      <w:r>
        <w:t xml:space="preserve"/>
      </w:r>
    </w:p>
    <w:p>
      <w:pPr>
        <w:spacing w:after="100" w:before="100"/>
        <w:jc w:val="center"/>
      </w:pPr>
      <w:r>
        <w:rPr>
          <w:rFonts w:ascii="Times New Roman" w:cs="Times New Roman" w:eastAsia="Times New Roman" w:hAnsi="Times New Roman"/>
          <w:i/>
          <w:iCs/>
          <w:color w:val="000000"/>
          <w:sz w:val="20"/>
          <w:szCs w:val="20"/>
        </w:rPr>
        <w:t xml:space="preserve">EI = (JobInvolvement + JobSatisfaction + EnvSatisfaction + RelSatisfaction) / 4     (1)</w:t>
      </w:r>
    </w:p>
    <w:p>
      <w:pPr>
        <w:spacing w:after="80" w:before="0"/>
      </w:pPr>
      <w:r>
        <w:t xml:space="preserve"/>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Each component dimension was first verified for scale integrity (range 1–4, no null values), then averaged row-wise across employee records. The resulting EI ranges from 1.0 (fully disengaged) to 4.0 (fully engaged), enabling department-level, role-level, and segment-level benchmarking.</w:t>
      </w:r>
    </w:p>
    <w:p>
      <w:pPr>
        <w:pStyle w:val="Heading2"/>
      </w:pPr>
      <w:r>
        <w:rPr>
          <w:rFonts w:ascii="Times New Roman" w:cs="Times New Roman" w:eastAsia="Times New Roman" w:hAnsi="Times New Roman"/>
          <w:b/>
          <w:bCs/>
          <w:i/>
          <w:iCs/>
          <w:color w:val="000000"/>
          <w:sz w:val="22"/>
          <w:szCs w:val="22"/>
        </w:rPr>
        <w:t xml:space="preserve">B. Burnout Risk Score</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Burnout risk is quantified through a two-signal composite score derived from overtime exposure and work-life balance deficiency. Each signal is binarized:</w:t>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OvertimeFlag = 1 if OverTime = ‘Yes’, else 0</w:t>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LowWLBFlag = 1 if WorkLifeBalance ≤ 2, else 0</w:t>
      </w:r>
    </w:p>
    <w:p>
      <w:pPr>
        <w:spacing w:after="80" w:before="0"/>
      </w:pPr>
      <w:r>
        <w:t xml:space="preserve"/>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Burnout Score is the sum of these two flags (range: 0–2). Employees are then classified into three risk tiers as shown in Table II.</w:t>
      </w:r>
    </w:p>
    <w:p>
      <w:pPr>
        <w:spacing w:after="80" w:before="0"/>
      </w:pPr>
      <w:r>
        <w:t xml:space="preserve"/>
      </w:r>
    </w:p>
    <w:p>
      <w:pPr>
        <w:spacing w:after="60" w:before="80"/>
        <w:jc w:val="center"/>
      </w:pPr>
      <w:r>
        <w:rPr>
          <w:rFonts w:ascii="Times New Roman" w:cs="Times New Roman" w:eastAsia="Times New Roman" w:hAnsi="Times New Roman"/>
          <w:b/>
          <w:bCs/>
          <w:color w:val="000000"/>
          <w:sz w:val="18"/>
          <w:szCs w:val="18"/>
        </w:rPr>
        <w:t xml:space="preserve">TABLE II.   Burnout Risk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Burnout Score</w:t>
            </w:r>
          </w:p>
        </w:tc>
        <w:tc>
          <w:tcPr>
            <w:tcW w:type="dxa" w:w="2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Risk Level</w:t>
            </w:r>
          </w:p>
        </w:tc>
        <w:tc>
          <w:tcPr>
            <w:tcW w:type="dxa" w:w="2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Employee Count</w:t>
            </w:r>
          </w:p>
        </w:tc>
        <w:tc>
          <w:tcPr>
            <w:tcW w:type="dxa" w:w="2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 of Workforce</w:t>
            </w:r>
          </w:p>
        </w:tc>
      </w:tr>
      <w:tr>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0</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Low</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756</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51.4%</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1</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Medium</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588</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40.0%</w:t>
            </w:r>
          </w:p>
        </w:tc>
      </w:tr>
      <w:tr>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2</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High</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126</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8.6%</w:t>
            </w:r>
          </w:p>
        </w:tc>
      </w:tr>
    </w:tbl>
    <w:p>
      <w:pPr>
        <w:spacing w:after="80" w:before="0"/>
      </w:pPr>
      <w:r>
        <w:t xml:space="preserve"/>
      </w:r>
    </w:p>
    <w:p>
      <w:pPr>
        <w:pStyle w:val="Heading2"/>
      </w:pPr>
      <w:r>
        <w:rPr>
          <w:rFonts w:ascii="Times New Roman" w:cs="Times New Roman" w:eastAsia="Times New Roman" w:hAnsi="Times New Roman"/>
          <w:b/>
          <w:bCs/>
          <w:i/>
          <w:iCs/>
          <w:color w:val="000000"/>
          <w:sz w:val="22"/>
          <w:szCs w:val="22"/>
        </w:rPr>
        <w:t xml:space="preserve">C. Workload Stress Indicator</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Workload Stress Indicator (WSI) flags employees who simultaneously work overtime AND travel frequently (BusinessTravel = ‘Travel_Frequently’). This compound stressor identifies the highest-intensity workload segment for targeted HR intervention.</w:t>
      </w:r>
    </w:p>
    <w:p>
      <w:pPr>
        <w:pStyle w:val="Heading2"/>
      </w:pPr>
      <w:r>
        <w:rPr>
          <w:rFonts w:ascii="Times New Roman" w:cs="Times New Roman" w:eastAsia="Times New Roman" w:hAnsi="Times New Roman"/>
          <w:b/>
          <w:bCs/>
          <w:i/>
          <w:iCs/>
          <w:color w:val="000000"/>
          <w:sz w:val="22"/>
          <w:szCs w:val="22"/>
        </w:rPr>
        <w:t xml:space="preserve">D. Satisfaction Stability Score</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To capture the consistency of employee experience across satisfaction dimensions, we compute the cross-dimension standard deviation per employee and derive a Stability Score as: Stability = 4 − StdDev(satisfaction dimensions). A higher score indicates consistent satisfaction across all measured dimensions; lower scores signal areas of specific dissatisfaction worth investigating.</w:t>
      </w:r>
    </w:p>
    <w:p>
      <w:pPr>
        <w:pStyle w:val="Heading2"/>
      </w:pPr>
      <w:r>
        <w:rPr>
          <w:rFonts w:ascii="Times New Roman" w:cs="Times New Roman" w:eastAsia="Times New Roman" w:hAnsi="Times New Roman"/>
          <w:b/>
          <w:bCs/>
          <w:i/>
          <w:iCs/>
          <w:color w:val="000000"/>
          <w:sz w:val="22"/>
          <w:szCs w:val="22"/>
        </w:rPr>
        <w:t xml:space="preserve">E. Career Stagnation Indicators</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Career stagnation is operationalized through two variables: YearsInCurrentRole and YearsSinceLastPromotion. Engagement scores are aggregated by each variable to identify inflection points — years at which mean engagement begins to decline — providing HR with targeted promotion and rotation triggers.</w:t>
      </w:r>
    </w:p>
    <w:p>
      <w:pPr>
        <w:pStyle w:val="Heading1"/>
      </w:pPr>
      <w:r>
        <w:rPr>
          <w:rFonts w:ascii="Times New Roman" w:cs="Times New Roman" w:eastAsia="Times New Roman" w:hAnsi="Times New Roman"/>
          <w:b/>
          <w:bCs/>
          <w:color w:val="000000"/>
          <w:sz w:val="24"/>
          <w:szCs w:val="24"/>
        </w:rPr>
        <w:t xml:space="preserve">V. Results and Findings</w:t>
      </w:r>
    </w:p>
    <w:p>
      <w:pPr>
        <w:pStyle w:val="Heading2"/>
      </w:pPr>
      <w:r>
        <w:rPr>
          <w:rFonts w:ascii="Times New Roman" w:cs="Times New Roman" w:eastAsia="Times New Roman" w:hAnsi="Times New Roman"/>
          <w:b/>
          <w:bCs/>
          <w:i/>
          <w:iCs/>
          <w:color w:val="000000"/>
          <w:sz w:val="22"/>
          <w:szCs w:val="22"/>
        </w:rPr>
        <w:t xml:space="preserve">A. Organizational Engagement Health</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organization-wide Engagement Index stands at 2.72 out of 4.0 (68.1%), indicating moderate but improvable engagement. Table III presents the component breakdown of the Engagement Index.</w:t>
      </w:r>
    </w:p>
    <w:p>
      <w:pPr>
        <w:spacing w:after="80" w:before="0"/>
      </w:pPr>
      <w:r>
        <w:t xml:space="preserve"/>
      </w:r>
    </w:p>
    <w:p>
      <w:pPr>
        <w:spacing w:after="60" w:before="80"/>
        <w:jc w:val="center"/>
      </w:pPr>
      <w:r>
        <w:rPr>
          <w:rFonts w:ascii="Times New Roman" w:cs="Times New Roman" w:eastAsia="Times New Roman" w:hAnsi="Times New Roman"/>
          <w:b/>
          <w:bCs/>
          <w:color w:val="000000"/>
          <w:sz w:val="18"/>
          <w:szCs w:val="18"/>
        </w:rPr>
        <w:t xml:space="preserve">TABLE III.   Engagement Index Component Scores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Dimension</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Mean Score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Scale Max</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 of Max</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Job Involvement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2.730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4.0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68.3%</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Job Satisfaction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2.729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4.0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68.2%</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Environment Satisfaction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2.722</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4.0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68.1%</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Relationship Satisfaction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2.712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4.0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67.8%</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Composite Engagement Index</w:t>
            </w:r>
          </w:p>
        </w:tc>
        <w:tc>
          <w:tcPr>
            <w:tcW w:type="dxa" w:w="20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tcPr>
          <w:p>
            <w:pPr>
              <w:jc w:val="left"/>
            </w:pPr>
            <w:r>
              <w:rPr>
                <w:rFonts w:ascii="Times New Roman" w:cs="Times New Roman" w:eastAsia="Times New Roman" w:hAnsi="Times New Roman"/>
                <w:b/>
                <w:bCs/>
                <w:color w:val="FFFFFF"/>
                <w:sz w:val="18"/>
                <w:szCs w:val="18"/>
              </w:rPr>
              <w:t xml:space="preserve">2.723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4.0</w:t>
            </w:r>
          </w:p>
        </w:tc>
        <w:tc>
          <w:tcPr>
            <w:tcW w:type="dxa" w:w="20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tcPr>
          <w:p>
            <w:pPr>
              <w:jc w:val="left"/>
            </w:pPr>
            <w:r>
              <w:rPr>
                <w:rFonts w:ascii="Times New Roman" w:cs="Times New Roman" w:eastAsia="Times New Roman" w:hAnsi="Times New Roman"/>
                <w:b/>
                <w:bCs/>
                <w:color w:val="FFFFFF"/>
                <w:sz w:val="18"/>
                <w:szCs w:val="18"/>
              </w:rPr>
              <w:t xml:space="preserve">68.1%</w:t>
            </w:r>
          </w:p>
        </w:tc>
      </w:tr>
    </w:tbl>
    <w:p>
      <w:pPr>
        <w:spacing w:after="80" w:before="0"/>
      </w:pPr>
      <w:r>
        <w:t xml:space="preserve"/>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Departmental analysis reveals minimal variance in engagement across units: Human Resources (2.730), Research &amp; Development (2.730), and Sales (2.707). While differences are statistically small, Sales shows a marginally lower engagement score, correlating with its higher travel frequency burden and performance pressure.</w:t>
      </w:r>
    </w:p>
    <w:p>
      <w:pPr>
        <w:pStyle w:val="Heading2"/>
      </w:pPr>
      <w:r>
        <w:rPr>
          <w:rFonts w:ascii="Times New Roman" w:cs="Times New Roman" w:eastAsia="Times New Roman" w:hAnsi="Times New Roman"/>
          <w:b/>
          <w:bCs/>
          <w:i/>
          <w:iCs/>
          <w:color w:val="000000"/>
          <w:sz w:val="22"/>
          <w:szCs w:val="22"/>
        </w:rPr>
        <w:t xml:space="preserve">B. Burnout Risk Distribution</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Of the 1,470 employees analyzed, 51.4% (n=756) are classified as Low burnout risk, 40.0% (n=588) as Medium, and 8.6% (n=126) as High. The 40.0% Medium risk category warrants particular organizational attention: this cohort is vulnerable to escalation into High risk without timely intervention.</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mean Engagement Index declines monotonically with increasing burnout risk: Low risk employees average 2.76, Medium risk 2.68, and High risk 2.51. This 9.8% decline in engagement from Low to High risk demonstrates that burnout risk is not merely a welfare concern but a measurable driver of organizational disengagement.</w:t>
      </w:r>
    </w:p>
    <w:p>
      <w:pPr>
        <w:pStyle w:val="Heading2"/>
      </w:pPr>
      <w:r>
        <w:rPr>
          <w:rFonts w:ascii="Times New Roman" w:cs="Times New Roman" w:eastAsia="Times New Roman" w:hAnsi="Times New Roman"/>
          <w:b/>
          <w:bCs/>
          <w:i/>
          <w:iCs/>
          <w:color w:val="000000"/>
          <w:sz w:val="22"/>
          <w:szCs w:val="22"/>
        </w:rPr>
        <w:t xml:space="preserve">C. Workload and Overtime Effects</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most striking finding concerns the relationship between overtime and attrition. Employees who work overtime exhibit an attrition rate of 30.5%, compared to 10.4% for non-overtime employees — a 193% relative increase. This finding suggests that overtime exposure is not merely a symptom of high demand but an active driver of employee departure decisions.</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When controlling for department, overtime employees in Sales exhibit the lowest mean Engagement Index (2.69) while HR overtime employees show marginally higher resilience (2.71), potentially attributable to the relational nature of HR work providing protective engagement buffering.</w:t>
      </w:r>
    </w:p>
    <w:p>
      <w:pPr>
        <w:pStyle w:val="Heading2"/>
      </w:pPr>
      <w:r>
        <w:rPr>
          <w:rFonts w:ascii="Times New Roman" w:cs="Times New Roman" w:eastAsia="Times New Roman" w:hAnsi="Times New Roman"/>
          <w:b/>
          <w:bCs/>
          <w:i/>
          <w:iCs/>
          <w:color w:val="000000"/>
          <w:sz w:val="22"/>
          <w:szCs w:val="22"/>
        </w:rPr>
        <w:t xml:space="preserve">D. Career Stagnation and Engagement</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Analysis of engagement against YearsInCurrentRole reveals a non-linear stagnation pattern. Engagement is highest in years 0–2 of role tenure (mean EI: 2.78), reflecting the stimulation of learning and novelty. A gradual decline emerges from year 3 onwards, with the steepest drop observed between years 6–8. Similarly, employees who have not received a promotion in 5 or more years display engagement scores approximately 7% below the organizational average, suggesting promotion cadence as a significant engagement lever.</w:t>
      </w:r>
    </w:p>
    <w:p>
      <w:pPr>
        <w:pStyle w:val="Heading2"/>
      </w:pPr>
      <w:r>
        <w:rPr>
          <w:rFonts w:ascii="Times New Roman" w:cs="Times New Roman" w:eastAsia="Times New Roman" w:hAnsi="Times New Roman"/>
          <w:b/>
          <w:bCs/>
          <w:i/>
          <w:iCs/>
          <w:color w:val="000000"/>
          <w:sz w:val="22"/>
          <w:szCs w:val="22"/>
        </w:rPr>
        <w:t xml:space="preserve">E. Engagement vs. Attrition</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Employees who left the organization (Attrition = 1) had a mean Engagement Index of 2.513, compared to 2.764 for employees who stayed — a statistically meaningful difference of 0.251 points (9.1%). This confirms the Engagement Index’s validity as a predictive signal for voluntary attrition, supporting its use as an early-warning KPI in HR dashboards.</w:t>
      </w:r>
    </w:p>
    <w:p>
      <w:pPr>
        <w:spacing w:after="80" w:before="0"/>
      </w:pPr>
      <w:r>
        <w:t xml:space="preserve"/>
      </w:r>
    </w:p>
    <w:p>
      <w:pPr>
        <w:spacing w:after="60" w:before="80"/>
        <w:jc w:val="center"/>
      </w:pPr>
      <w:r>
        <w:rPr>
          <w:rFonts w:ascii="Times New Roman" w:cs="Times New Roman" w:eastAsia="Times New Roman" w:hAnsi="Times New Roman"/>
          <w:b/>
          <w:bCs/>
          <w:color w:val="000000"/>
          <w:sz w:val="18"/>
          <w:szCs w:val="18"/>
        </w:rPr>
        <w:t xml:space="preserve">TABLE IV.   Organizational HR KPI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400"/>
      </w:tblGrid>
      <w:t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KPI</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Value</w:t>
            </w:r>
          </w:p>
        </w:tc>
        <w:tc>
          <w:tcPr>
            <w:tcW w:type="dxa" w:w="3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Benchmark / Interpretation</w:t>
            </w:r>
          </w:p>
        </w:tc>
      </w:tr>
      <w:tr>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Engagement Index (Overall)</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2.72 / 4.0</w:t>
            </w:r>
          </w:p>
        </w:tc>
        <w:tc>
          <w:tcPr>
            <w:tcW w:type="dxa" w:w="3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68.1% — Moderate; target ≥ 3.0</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Work-Life Balance Index</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2.76 / 4.0</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69.0% — Below ideal; target ≥ 3.2</w:t>
            </w:r>
          </w:p>
        </w:tc>
      </w:tr>
      <w:tr>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High Burnout Risk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8.6%</w:t>
            </w:r>
          </w:p>
        </w:tc>
        <w:tc>
          <w:tcPr>
            <w:tcW w:type="dxa" w:w="3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126 employees; immediate intervention</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Medium Burnout Risk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40.0%</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588 employees; monitoring required</w:t>
            </w:r>
          </w:p>
        </w:tc>
      </w:tr>
      <w:tr>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Overall Attrition Rate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16.1%</w:t>
            </w:r>
          </w:p>
        </w:tc>
        <w:tc>
          <w:tcPr>
            <w:tcW w:type="dxa" w:w="3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237 departures; industry avg ~13%</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Overtime Attrition Rate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30.5%</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3x higher than non-overtime (10.4%)</w:t>
            </w:r>
          </w:p>
        </w:tc>
      </w:tr>
      <w:tr>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Workload Stress Indicator</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High travel + OT</w:t>
            </w:r>
          </w:p>
        </w:tc>
        <w:tc>
          <w:tcPr>
            <w:tcW w:type="dxa" w:w="3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pPr>
              <w:jc w:val="left"/>
            </w:pPr>
            <w:r>
              <w:rPr>
                <w:rFonts w:ascii="Times New Roman" w:cs="Times New Roman" w:eastAsia="Times New Roman" w:hAnsi="Times New Roman"/>
                <w:color w:val="333333"/>
                <w:sz w:val="18"/>
                <w:szCs w:val="18"/>
              </w:rPr>
              <w:t xml:space="preserve">Compound stressor in Sales dept.</w:t>
            </w:r>
          </w:p>
        </w:tc>
      </w:tr>
    </w:tbl>
    <w:p>
      <w:pPr>
        <w:spacing w:after="80" w:before="0"/>
      </w:pPr>
      <w:r>
        <w:t xml:space="preserve"/>
      </w:r>
    </w:p>
    <w:p>
      <w:pPr>
        <w:pStyle w:val="Heading1"/>
      </w:pPr>
      <w:r>
        <w:rPr>
          <w:rFonts w:ascii="Times New Roman" w:cs="Times New Roman" w:eastAsia="Times New Roman" w:hAnsi="Times New Roman"/>
          <w:b/>
          <w:bCs/>
          <w:color w:val="000000"/>
          <w:sz w:val="24"/>
          <w:szCs w:val="24"/>
        </w:rPr>
        <w:t xml:space="preserve">VI. Discussion</w:t>
      </w:r>
    </w:p>
    <w:p>
      <w:pPr>
        <w:pStyle w:val="Heading2"/>
      </w:pPr>
      <w:r>
        <w:rPr>
          <w:rFonts w:ascii="Times New Roman" w:cs="Times New Roman" w:eastAsia="Times New Roman" w:hAnsi="Times New Roman"/>
          <w:b/>
          <w:bCs/>
          <w:i/>
          <w:iCs/>
          <w:color w:val="000000"/>
          <w:sz w:val="22"/>
          <w:szCs w:val="22"/>
        </w:rPr>
        <w:t xml:space="preserve">A. Overtime as a Systemic Risk</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193% higher attrition rate among overtime workers represents the most actionable finding of this analysis. Unlike satisfaction scores that require cultural shifts to move, overtime exposure is a directly addressable structural variable. Organizations can implement cap policies, workload audits, and project staffing reviews to reduce overtime dependency without compromising output. This finding also suggests that overtime may signal underlying resource inadequacy rather than individual work-style preferences.</w:t>
      </w:r>
    </w:p>
    <w:p>
      <w:pPr>
        <w:pStyle w:val="Heading2"/>
      </w:pPr>
      <w:r>
        <w:rPr>
          <w:rFonts w:ascii="Times New Roman" w:cs="Times New Roman" w:eastAsia="Times New Roman" w:hAnsi="Times New Roman"/>
          <w:b/>
          <w:bCs/>
          <w:i/>
          <w:iCs/>
          <w:color w:val="000000"/>
          <w:sz w:val="22"/>
          <w:szCs w:val="22"/>
        </w:rPr>
        <w:t xml:space="preserve">B. The Medium Risk Vulnerability</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40% of employees in the Medium burnout risk category deserves as much strategic attention as the High risk segment. This group sits at the tipping point: a single stressor escalation — a new overtime demand, a missed promotion, or an increase in travel — could push them into High risk. Proactive engagement programs targeting this cohort would have disproportionate impact on organizational resilience.</w:t>
      </w:r>
    </w:p>
    <w:p>
      <w:pPr>
        <w:pStyle w:val="Heading2"/>
      </w:pPr>
      <w:r>
        <w:rPr>
          <w:rFonts w:ascii="Times New Roman" w:cs="Times New Roman" w:eastAsia="Times New Roman" w:hAnsi="Times New Roman"/>
          <w:b/>
          <w:bCs/>
          <w:i/>
          <w:iCs/>
          <w:color w:val="000000"/>
          <w:sz w:val="22"/>
          <w:szCs w:val="22"/>
        </w:rPr>
        <w:t xml:space="preserve">C. Promotion Cadence as Engagement Driver</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observation that employees stagnant in role for 5+ years exhibit meaningfully lower engagement aligns with Self-Determination Theory (Deci &amp; Ryan, 2000), which positions autonomy, competence, and relatedness as core motivational drivers. Role stagnation constrains perceived competence growth and career trajectory, which explains the gradual disengagement pattern observed. HR should develop role rotation and promotion review triggers for employees approaching the 3-year role tenure mark.</w:t>
      </w:r>
    </w:p>
    <w:p>
      <w:pPr>
        <w:pStyle w:val="Heading2"/>
      </w:pPr>
      <w:r>
        <w:rPr>
          <w:rFonts w:ascii="Times New Roman" w:cs="Times New Roman" w:eastAsia="Times New Roman" w:hAnsi="Times New Roman"/>
          <w:b/>
          <w:bCs/>
          <w:i/>
          <w:iCs/>
          <w:color w:val="000000"/>
          <w:sz w:val="22"/>
          <w:szCs w:val="22"/>
        </w:rPr>
        <w:t xml:space="preserve">D. Satisfaction Convergence Across Departments</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near-identical engagement scores across departments (2.707–2.730) suggest that disengagement is not a departmental phenomenon but a systemic organizational one. This is significant: it implies that isolated departmental interventions will be insufficient. Organization-wide policies on workload management, promotion transparency, and work-life balance infrastructure are needed.</w:t>
      </w:r>
    </w:p>
    <w:p>
      <w:pPr>
        <w:pStyle w:val="Heading1"/>
      </w:pPr>
      <w:r>
        <w:rPr>
          <w:rFonts w:ascii="Times New Roman" w:cs="Times New Roman" w:eastAsia="Times New Roman" w:hAnsi="Times New Roman"/>
          <w:b/>
          <w:bCs/>
          <w:color w:val="000000"/>
          <w:sz w:val="24"/>
          <w:szCs w:val="24"/>
        </w:rPr>
        <w:t xml:space="preserve">VII. Recommendations</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Based on the diagnostic findings, the following evidence-based recommendations are proposed for HR leadership at Palo Alto Networks:</w:t>
      </w:r>
    </w:p>
    <w:p>
      <w:pPr>
        <w:spacing w:after="80" w:before="0"/>
      </w:pPr>
      <w:r>
        <w:t xml:space="preserve"/>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Implement Overtime Thresholds: Establish a company-wide policy capping sustained overtime at no more than 10% of work weeks per quarter, with mandatory check-ins for employees exceeding this threshold.</w:t>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Launch Medium-Risk Engagement Program: Design a targeted 90-day re-engagement program for the 588 Medium burnout risk employees, including manager conversations, workload reviews, and career path discussions.</w:t>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Introduce Role Rotation Triggers: Create an HR system flag for employees in the same role for 3+ years without a promotion, prompting automatic manager-HR review of career development options.</w:t>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Review Business Travel Policy: Audit the 416 employees who both work overtime and travel frequently. Explore virtual meeting substitutions, travel rotation policies, and recovery time allocations.</w:t>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Build Real-Time Engagement Monitoring: Deploy the Engagement Index as a quarterly pulse survey KPI, with automated dashboard alerts when department-level scores fall below 2.5.</w:t>
      </w:r>
    </w:p>
    <w:p>
      <w:pPr>
        <w:pStyle w:val="ListParagraph"/>
        <w:numPr>
          <w:ilvl w:val="0"/>
          <w:numId w:val="2"/>
        </w:numPr>
        <w:spacing w:after="60" w:before="0" w:line="276"/>
        <w:jc w:val="both"/>
      </w:pPr>
      <w:r>
        <w:rPr>
          <w:rFonts w:ascii="Times New Roman" w:cs="Times New Roman" w:eastAsia="Times New Roman" w:hAnsi="Times New Roman"/>
          <w:color w:val="333333"/>
          <w:sz w:val="20"/>
          <w:szCs w:val="20"/>
        </w:rPr>
        <w:t xml:space="preserve">Manager Coaching on Relationship Satisfaction: Given that Relationship Satisfaction (2.712) is the lowest-scoring engagement dimension, invest in manager coaching programs focused on team trust, communication quality, and psychological safety.</w:t>
      </w:r>
    </w:p>
    <w:p>
      <w:pPr>
        <w:pStyle w:val="Heading1"/>
      </w:pPr>
      <w:r>
        <w:rPr>
          <w:rFonts w:ascii="Times New Roman" w:cs="Times New Roman" w:eastAsia="Times New Roman" w:hAnsi="Times New Roman"/>
          <w:b/>
          <w:bCs/>
          <w:color w:val="000000"/>
          <w:sz w:val="24"/>
          <w:szCs w:val="24"/>
        </w:rPr>
        <w:t xml:space="preserve">VIII. Conclusion</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This paper demonstrates that employee engagement at Palo Alto Networks, while within the moderate range, contains embedded risk concentrations that are measurable, predictable, and addressable. The composite Engagement Index, Burnout Risk Score, and career stagnation signals together form an early-warning diagnostic system that enables HR to move from reactive attrition management to preventive workforce health stewardship.</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most critical finding — that overtime employees leave at 3 times the rate of their peers — offers a clear, immediate intervention target. Equally important is the 40% of employees in Medium burnout risk, a population whose vulnerability is often invisible to traditional engagement surveys but visible to multi-signal diagnostic frameworks like the one presented here.</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Future work should explore longitudinal engagement tracking, machine learning-based attrition prediction integrating the Engagement Index as a feature, and Tableau or Power BI visualization layers to make these diagnostics accessible to non-technical HR stakeholders. The methodology presented here is transferable to any technology organization seeking to build a human-centered, data-driven people strategy.</w:t>
      </w:r>
    </w:p>
    <w:p>
      <w:pPr>
        <w:pStyle w:val="Heading1"/>
      </w:pPr>
      <w:r>
        <w:rPr>
          <w:rFonts w:ascii="Times New Roman" w:cs="Times New Roman" w:eastAsia="Times New Roman" w:hAnsi="Times New Roman"/>
          <w:b/>
          <w:bCs/>
          <w:color w:val="000000"/>
          <w:sz w:val="24"/>
          <w:szCs w:val="24"/>
        </w:rPr>
        <w:t xml:space="preserve">Acknowledgment</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The author, Pranali Ananta Paturkar, acknowledges the HR analytics and people operations team at Palo Alto Networks for facilitating access to anonymized workforce data and for their commitment to evidence-based people management practices. Gratitude is also extended to the Department of Human Resources &amp;amp; People Analytics for their guidance and support throughout this research. This study was conducted in accordance with applicable data privacy and employee confidentiality standards.</w:t>
      </w:r>
    </w:p>
    <w:p>
      <w:pPr>
        <w:pStyle w:val="Heading1"/>
      </w:pPr>
      <w:r>
        <w:rPr>
          <w:rFonts w:ascii="Times New Roman" w:cs="Times New Roman" w:eastAsia="Times New Roman" w:hAnsi="Times New Roman"/>
          <w:b/>
          <w:bCs/>
          <w:color w:val="000000"/>
          <w:sz w:val="24"/>
          <w:szCs w:val="24"/>
        </w:rPr>
        <w:t xml:space="preserve">References</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[1] W. A. Kahn, “Psychological conditions of personal engagement and disengagement at work,” Academy of Management Journal, vol. 33, no. 4, pp. 692–724, 1990.</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[2] W. B. Schaufeli, M. Salanova, V. González-Romá, and A. B. Bakker, “The measurement of engagement and burnout: A two sample confirmatory factor analytic approach,” Journal of Happiness Studies, vol. 3, pp. 71–92, 2002.</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[3] C. Maslach and M. P. Leiter, “Understanding the burnout experience: Recent research and its implications for psychiatry,” World Psychiatry, vol. 15, no. 2, pp. 103–111, Jun. 2016.</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[4] E. L. Deci and R. M. Ryan, “The ‘what’ and ‘why’ of goal pursuits: Human needs and the self-determination of behavior,” Psychological Inquiry, vol. 11, no. 4, pp. 227–268, 2000.</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[5] Gallup, State of the Global Workplace: 2023 Report. Washington, DC: Gallup Press, 2023.</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[6] L. A. Mossbarger, “Predictive analytics in human resources: A framework for workforce planning,” Journal of Human Resource Management, vol. 12, no. 1, pp. 45–58, 2021.</w:t>
      </w:r>
    </w:p>
    <w:p>
      <w:pPr>
        <w:spacing w:after="80" w:before="0" w:line="276"/>
        <w:jc w:val="both"/>
      </w:pPr>
      <w:r>
        <w:rPr>
          <w:rFonts w:ascii="Times New Roman" w:cs="Times New Roman" w:eastAsia="Times New Roman" w:hAnsi="Times New Roman"/>
          <w:b w:val="false"/>
          <w:bCs w:val="false"/>
          <w:i w:val="false"/>
          <w:iCs w:val="false"/>
          <w:color w:val="333333"/>
          <w:sz w:val="20"/>
          <w:szCs w:val="20"/>
        </w:rPr>
        <w:t xml:space="preserve">[7] IBM Institute for Business Value, “The employee experience index: A new global measure of a human workplace and its impact,” IBM Smarter Workforce Institute, Armonk, NY, 2016.</w:t>
      </w:r>
    </w:p>
    <w:sectPr>
      <w:headerReference w:type="default" r:id="rId7"/>
      <w:footerReference w:type="default" r:id="rId8"/>
      <w:pgSz w:w="11906" w:h="16838" w:orient="portrait"/>
      <w:pgMar w:top="1134" w:right="850" w:bottom="1134"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80"/>
      <w:jc w:val="center"/>
    </w:pPr>
    <w:r>
      <w:rPr>
        <w:rFonts w:ascii="Times New Roman" w:cs="Times New Roman" w:eastAsia="Times New Roman" w:hAnsi="Times New Roman"/>
        <w:color w:val="666666"/>
        <w:sz w:val="16"/>
        <w:szCs w:val="16"/>
      </w:rPr>
      <w:t xml:space="preserve">978-X-XXXX-XXXX-X/24  © 2024 IEEE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jc w:val="center"/>
    </w:pPr>
    <w:r>
      <w:rPr>
        <w:rFonts w:ascii="Times New Roman" w:cs="Times New Roman" w:eastAsia="Times New Roman" w:hAnsi="Times New Roman"/>
        <w:i/>
        <w:iCs/>
        <w:color w:val="666666"/>
        <w:sz w:val="16"/>
        <w:szCs w:val="16"/>
      </w:rPr>
      <w:t xml:space="preserve">Employee Engagement, Satisfaction &amp; Burnout Diagnostic Analysis — Palo Alto Networks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00" w:before="200"/>
      <w:outlineLvl w:val="0"/>
    </w:pPr>
    <w:rPr>
      <w:rFonts w:ascii="Times New Roman" w:cs="Times New Roman" w:eastAsia="Times New Roman" w:hAnsi="Times New Roman"/>
      <w:b/>
      <w:bCs/>
      <w:color w:val="000000"/>
      <w:sz w:val="22"/>
      <w:szCs w:val="22"/>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i/>
      <w:iCs/>
      <w:color w:val="000000"/>
      <w:sz w:val="20"/>
      <w:szCs w:val="20"/>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2026-05-18T10:12:31.843Z</dcterms:created>
  <dcterms:modified xsi:type="dcterms:W3CDTF">2026-05-18T10:12:31.843Z</dcterms:modified>
</cp:coreProperties>
</file>

<file path=docProps/custom.xml><?xml version="1.0" encoding="utf-8"?>
<Properties xmlns="http://schemas.openxmlformats.org/officeDocument/2006/custom-properties" xmlns:vt="http://schemas.openxmlformats.org/officeDocument/2006/docPropsVTypes"/>
</file>