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Costco’s Data Strategy</w:t>
      </w:r>
    </w:p>
    <w:p w:rsidR="00000000" w:rsidDel="00000000" w:rsidP="00000000" w:rsidRDefault="00000000" w:rsidRPr="00000000" w14:paraId="00000002">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Costco, a membership-based wholesale retailer, was founded in 1983 in Seattle and was originally called "Price Club." Today, it operates over 800 warehouses around the world and serves more than 125 million customers. Costco is well-known for its low-cost, high-volume business model, which focuses on selling a limited variety of products in bulk to save customers money. This strategy has made Costco stand out from traditional retailers. As the third-largest retailer globally, Costco continues to grow by offering quality products at affordable prices and providing great value to its members.</w:t>
      </w:r>
    </w:p>
    <w:p w:rsidR="00000000" w:rsidDel="00000000" w:rsidP="00000000" w:rsidRDefault="00000000" w:rsidRPr="00000000" w14:paraId="00000003">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selected a Multiple Versions of Truth (MVoT) approach for Costco's Data Management strategy for several reasons. Costco operates across diverse business functions, including procurement, supply chain and inventory management, finance, and customer service. An MVoT strategy enables each team to tailor datasets to their specific needs, allowing them to analyze data from perspectives most relevant to each division’s goals. For example, the Supply Chain department can focus on analyzing expected product delivery times without interfering with other tasks, such as pricing analytics. This strategy supports scalability and agility, allowing new business units or locations to integrate into the data ecosystem with minimal disruption. In addition, it facilitates the creation of specialized dashboards or tools for different stores operating in distinct markets.</w:t>
      </w:r>
    </w:p>
    <w:p w:rsidR="00000000" w:rsidDel="00000000" w:rsidP="00000000" w:rsidRDefault="00000000" w:rsidRPr="00000000" w14:paraId="00000004">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Defensive vs. Offensive data strategies, we propose a hybrid approach that leans more offensively. Costco's thin profit margins require operational excellence to remain competitive. A strong defensive strategy ensures optimal stock levels, minimizes waste, safeguards customer and vendor data, and maintains regulatory compliance. It also provides high data accuracy, which is critical for daily operations decision-making. However, given the highly competitive and growth-oriented retail landscape, Costco can benefit significantly from an offensive strategy. </w:t>
      </w:r>
    </w:p>
    <w:p w:rsidR="00000000" w:rsidDel="00000000" w:rsidP="00000000" w:rsidRDefault="00000000" w:rsidRPr="00000000" w14:paraId="00000005">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prioritizing offensive data strategies, Costco can pursue goals such as expanding its e-commerce presence to compete with giants like Amazon and Walmart. Initiatives like personalized shopping experiences, dynamic pricing, and optimized supply chain logistics can help Costco capture more market share. Personalization through tailored marketing and promotions can also drive in-store and online sales. Finally, leveraging predictive analytics allows Costco to anticipate demand and optimize inventory, reducing stockouts and overstock situations. This balanced yet forward-leaning approach positions Costco to maintain operational excellence while capitalizing on growth opportunities.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