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Costco’s Data Governance Strategy</w:t>
      </w:r>
    </w:p>
    <w:p w:rsidR="00000000" w:rsidDel="00000000" w:rsidP="00000000" w:rsidRDefault="00000000" w:rsidRPr="00000000" w14:paraId="00000002">
      <w:pPr>
        <w:spacing w:after="200" w:before="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make data governance rules we might first have answer to these questions: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does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“Customer”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is the “Customer” represented?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what system are data elements on “Customer” recorded?</w:t>
      </w:r>
    </w:p>
    <w:p w:rsidR="00000000" w:rsidDel="00000000" w:rsidP="00000000" w:rsidRDefault="00000000" w:rsidRPr="00000000" w14:paraId="00000006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76963" cy="527680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898" l="0" r="9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5276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is the Detailed explanation of a Customer:</w:t>
      </w:r>
    </w:p>
    <w:p w:rsidR="00000000" w:rsidDel="00000000" w:rsidP="00000000" w:rsidRDefault="00000000" w:rsidRPr="00000000" w14:paraId="00000008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By what Data governance rules or policies it follows/govern by.</w:t>
      </w:r>
    </w:p>
    <w:p w:rsidR="00000000" w:rsidDel="00000000" w:rsidP="00000000" w:rsidRDefault="00000000" w:rsidRPr="00000000" w14:paraId="00000009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What “FULL_NAME” represents.</w:t>
      </w:r>
    </w:p>
    <w:p w:rsidR="00000000" w:rsidDel="00000000" w:rsidP="00000000" w:rsidRDefault="00000000" w:rsidRPr="00000000" w14:paraId="0000000A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 which system is it used?</w:t>
      </w:r>
    </w:p>
    <w:p w:rsidR="00000000" w:rsidDel="00000000" w:rsidP="00000000" w:rsidRDefault="00000000" w:rsidRPr="00000000" w14:paraId="0000000B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In which system is the data of this customer being recorded?</w:t>
      </w:r>
    </w:p>
    <w:p w:rsidR="00000000" w:rsidDel="00000000" w:rsidP="00000000" w:rsidRDefault="00000000" w:rsidRPr="00000000" w14:paraId="0000000C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4500563" cy="2342129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342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rtl w:val="0"/>
        </w:rPr>
        <w:t xml:space="preserve">Business Term (“Customer”)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: Represents a key term in the Costco data environment. A clear definition is provided for consistency. For example, “Customer” may be defined as “a person who has an active membership or made a purchase in the last year.”</w:t>
      </w:r>
    </w:p>
    <w:p w:rsidR="00000000" w:rsidDel="00000000" w:rsidP="00000000" w:rsidRDefault="00000000" w:rsidRPr="00000000" w14:paraId="0000000E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rtl w:val="0"/>
        </w:rPr>
        <w:t xml:space="preserve">Descriptive Example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: Includes an actual example, like “John Doe, who purchased items in 2023,” to make the term relatable and ensure everyone understands what constitutes a customer.</w:t>
      </w:r>
    </w:p>
    <w:p w:rsidR="00000000" w:rsidDel="00000000" w:rsidP="00000000" w:rsidRDefault="00000000" w:rsidRPr="00000000" w14:paraId="0000000F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Master Data Management (MDM): Centralize data in an MDM system to create a single source of truth for products, suppliers, and customers, reducing data silos. </w:t>
      </w:r>
    </w:p>
    <w:p w:rsidR="00000000" w:rsidDel="00000000" w:rsidP="00000000" w:rsidRDefault="00000000" w:rsidRPr="00000000" w14:paraId="00000010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color w:val="0e0e0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rtl w:val="0"/>
        </w:rPr>
        <w:t xml:space="preserve">System of Record (CRM System)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: Indicates where the information about customers is stored and managed. At Costco, customer data could be stored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rtl w:val="0"/>
        </w:rPr>
        <w:t xml:space="preserve">CRM system</w:t>
      </w:r>
      <w:r w:rsidDel="00000000" w:rsidR="00000000" w:rsidRPr="00000000">
        <w:rPr>
          <w:rFonts w:ascii="Times New Roman" w:cs="Times New Roman" w:eastAsia="Times New Roman" w:hAnsi="Times New Roman"/>
          <w:color w:val="0e0e0e"/>
          <w:rtl w:val="0"/>
        </w:rPr>
        <w:t xml:space="preserve"> that acts as the central place for managing all customer-related records, such as membership information, purchase history, and contact details.</w:t>
      </w:r>
    </w:p>
    <w:p w:rsidR="00000000" w:rsidDel="00000000" w:rsidP="00000000" w:rsidRDefault="00000000" w:rsidRPr="00000000" w14:paraId="00000011">
      <w:pPr>
        <w:spacing w:after="200" w:before="0" w:line="276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37818" cy="3529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7818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the Costco ERD and database schema provided, we can establish data governance policies to ensure data integrity, quality, security, and proper management of data assets. Here’s an out-of-the-box data governance mechanism tailored to this specific ERD:</w:t>
      </w:r>
    </w:p>
    <w:p w:rsidR="00000000" w:rsidDel="00000000" w:rsidP="00000000" w:rsidRDefault="00000000" w:rsidRPr="00000000" w14:paraId="00000013">
      <w:pPr>
        <w:spacing w:after="20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e0e0e"/>
          <w:rtl w:val="0"/>
        </w:rPr>
        <w:t xml:space="preserve">Data Governance Asset Model for Costco and can be applied for many other Data Warehouse Tables and Columns.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4110"/>
        <w:gridCol w:w="3540"/>
        <w:tblGridChange w:id="0">
          <w:tblGrid>
            <w:gridCol w:w="1710"/>
            <w:gridCol w:w="4110"/>
            <w:gridCol w:w="3540"/>
          </w:tblGrid>
        </w:tblGridChange>
      </w:tblGrid>
      <w:tr>
        <w:trPr>
          <w:cantSplit w:val="0"/>
          <w:trHeight w:val="1057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Distribution Center, Warehouse, and Product Data - Owned by Logistics Data Steward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Customer, Membership, and Costco Card Data - Owned by Customer Data Steward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Line of Business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Distribution 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data fall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Supply Chain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line of business.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Membership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Credit Card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data fall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 Relations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line of business.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Business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For these assets, the business processes might include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Inventory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 Distribution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Stock Replenishment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. These processes define the flow and interaction of data between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Distribution 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tables, capturing how products move across distribution centers and are managed at warehouses.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These assets are managed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Membership Enrollment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Credit Card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 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processes.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Business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Key business terms related to these assets include: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Terms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Membership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Credit Limit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are defined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Business Glossary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For example,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 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is defined as a unique identifier used to track each member throughout Costco’s services.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System of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This data is managed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Logistics Systems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which act as the system of record. For instance, inventory data is recorded and updated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 Management System (WMS)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logistics processes might use specific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Enterprise Resource Planning (ERP)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software.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CRM (Customer Relationship Management)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system acts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authoritative source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for customer data. The CRM maintains customer information like membership status, purchase history, and credit card usage.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Data Dictionary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For each of the entities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Distribution Center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, a detailed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data dictionary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is maintained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Membership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data assets are defined in the data dictionary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Specific business rules are implemented to manage data quality. For example: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Product Stock Levels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must be updated whenever there is a restock.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Distribution Center Capacity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should not exceed a predefined limit.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  <w:color w:val="0e0e0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Validation rules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such as valid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Contact Email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format are enforced.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Membership Renewal Dates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are monitored to ensure timely renewals.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Data Quality 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Metrics are established for monitoring;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Accuracy of Product Quantity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Completeness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Warehouse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00" w:before="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Accuracy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Customer Contact Information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completeness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e0e0e"/>
                <w:rtl w:val="0"/>
              </w:rPr>
              <w:t xml:space="preserve">Credit Card Details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e0e0e"/>
                <w:rtl w:val="0"/>
              </w:rPr>
              <w:t xml:space="preserve"> are continuously monitored.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trike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