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learned that normalization can be tedious, particularly in the absence of actual data. This experience highlighted the value of using semi-structured data architectures as a more flexible and practical alternative. We also realized the importance of planning all entities and relationships when splitting work among team members to avoid inefficiencies later in the process.</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faced two key challenges. First, it was difficult to account for all aspects of Costco’s complex business operations, such as international locations, without complicating the data architecture. Second, errors were often identified late in the process, requiring us to go back and make continuous adjustments, which impacted the project's efficiency and delayed our initial planned completion date.</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plan to expand the relational database management system (RDBMS) to map additional business dimensions, including finance, marketing, and customer service. We are also looking to explore semi-structured data architectures further to incorporate non-structured data, enabling greater flexibility and scalability for future initiatives.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