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ACN Project — Member 2 Experiment Plan</w:t>
      </w:r>
    </w:p>
    <w:p>
      <w:pPr>
        <w:jc w:val="center"/>
      </w:pPr>
      <w:r>
        <w:rPr>
          <w:i/>
        </w:rPr>
        <w:t>WAF and Token Bucket ordering | Preparation document, not a record of completed GNS3 tests</w:t>
      </w:r>
    </w:p>
    <w:p>
      <w:pPr>
        <w:pStyle w:val="Heading1"/>
      </w:pPr>
      <w:r>
        <w:t>1. Scope and status</w:t>
      </w:r>
    </w:p>
    <w:p>
      <w:r>
        <w:t>Research question: how does ordering a signature-based WAF and Token Bucket rate limiter affect security, server performance, and legitimate-user service under different traffic conditions?</w:t>
      </w:r>
    </w:p>
    <w:p>
      <w:r>
        <w:t>Configuration A: Normalization → Token Bucket → WAF → Application (rate_limit_first). Configuration B: Normalization → WAF → Token Bucket → Application (waf_first).</w:t>
      </w:r>
    </w:p>
    <w:p>
      <w:r>
        <w:t>Status: preliminary localhost measurements and analysis artifacts exist. GNS3 topology runs, Wireshark captures, network impairments, and real-network CPU/memory measurements are NOT completed unless separately run and recorded. Do not report planned tests as completed or invent measurements.</w:t>
      </w:r>
    </w:p>
    <w:p>
      <w:r>
        <w:t>Ownership boundary: Member 1 owns the HTTP server, request normalization, Token Bucket, WAF, pipeline ordering, and server logs. Member 2 should not alter that security implementation without explicit coordination and permission.</w:t>
      </w:r>
    </w:p>
    <w:p>
      <w:pPr>
        <w:pStyle w:val="Heading1"/>
      </w:pPr>
      <w:r>
        <w:t>2. Planned experiment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ID</w:t>
            </w:r>
          </w:p>
        </w:tc>
        <w:tc>
          <w:tcPr>
            <w:tcW w:type="dxa" w:w="2556"/>
            <w:vAlign w:val="center"/>
          </w:tcPr>
          <w:p>
            <w:r>
              <w:t>Scenario</w:t>
            </w:r>
          </w:p>
        </w:tc>
        <w:tc>
          <w:tcPr>
            <w:tcW w:type="dxa" w:w="2556"/>
            <w:vAlign w:val="center"/>
          </w:tcPr>
          <w:p>
            <w:r>
              <w:t>Pipeline</w:t>
            </w:r>
          </w:p>
        </w:tc>
        <w:tc>
          <w:tcPr>
            <w:tcW w:type="dxa" w:w="2556"/>
            <w:vAlign w:val="center"/>
          </w:tcPr>
          <w:p>
            <w:r>
              <w:t>Purpose</w:t>
            </w:r>
          </w:p>
        </w:tc>
      </w:tr>
      <w:tr>
        <w:tc>
          <w:tcPr>
            <w:tcW w:type="dxa" w:w="2556"/>
            <w:vAlign w:val="center"/>
          </w:tcPr>
          <w:p>
            <w:r>
              <w:t>E01</w:t>
            </w:r>
          </w:p>
        </w:tc>
        <w:tc>
          <w:tcPr>
            <w:tcW w:type="dxa" w:w="2556"/>
            <w:vAlign w:val="center"/>
          </w:tcPr>
          <w:p>
            <w:r>
              <w:t>Normal</w:t>
            </w:r>
          </w:p>
        </w:tc>
        <w:tc>
          <w:tcPr>
            <w:tcW w:type="dxa" w:w="2556"/>
            <w:vAlign w:val="center"/>
          </w:tcPr>
          <w:p>
            <w:r>
              <w:t>A: RL → WAF</w:t>
            </w:r>
          </w:p>
        </w:tc>
        <w:tc>
          <w:tcPr>
            <w:tcW w:type="dxa" w:w="2556"/>
            <w:vAlign w:val="center"/>
          </w:tcPr>
          <w:p>
            <w:r>
              <w:t>Baseline legitimate service</w:t>
            </w:r>
          </w:p>
        </w:tc>
      </w:tr>
      <w:tr>
        <w:tc>
          <w:tcPr>
            <w:tcW w:type="dxa" w:w="2556"/>
            <w:vAlign w:val="center"/>
          </w:tcPr>
          <w:p>
            <w:r>
              <w:t>E02</w:t>
            </w:r>
          </w:p>
        </w:tc>
        <w:tc>
          <w:tcPr>
            <w:tcW w:type="dxa" w:w="2556"/>
            <w:vAlign w:val="center"/>
          </w:tcPr>
          <w:p>
            <w:r>
              <w:t>Normal</w:t>
            </w:r>
          </w:p>
        </w:tc>
        <w:tc>
          <w:tcPr>
            <w:tcW w:type="dxa" w:w="2556"/>
            <w:vAlign w:val="center"/>
          </w:tcPr>
          <w:p>
            <w:r>
              <w:t>B: WAF → RL</w:t>
            </w:r>
          </w:p>
        </w:tc>
        <w:tc>
          <w:tcPr>
            <w:tcW w:type="dxa" w:w="2556"/>
            <w:vAlign w:val="center"/>
          </w:tcPr>
          <w:p>
            <w:r>
              <w:t>Compare baseline service</w:t>
            </w:r>
          </w:p>
        </w:tc>
      </w:tr>
      <w:tr>
        <w:tc>
          <w:tcPr>
            <w:tcW w:type="dxa" w:w="2556"/>
            <w:vAlign w:val="center"/>
          </w:tcPr>
          <w:p>
            <w:r>
              <w:t>E03</w:t>
            </w:r>
          </w:p>
        </w:tc>
        <w:tc>
          <w:tcPr>
            <w:tcW w:type="dxa" w:w="2556"/>
            <w:vAlign w:val="center"/>
          </w:tcPr>
          <w:p>
            <w:r>
              <w:t>High-rate</w:t>
            </w:r>
          </w:p>
        </w:tc>
        <w:tc>
          <w:tcPr>
            <w:tcW w:type="dxa" w:w="2556"/>
            <w:vAlign w:val="center"/>
          </w:tcPr>
          <w:p>
            <w:r>
              <w:t>A: RL → WAF</w:t>
            </w:r>
          </w:p>
        </w:tc>
        <w:tc>
          <w:tcPr>
            <w:tcW w:type="dxa" w:w="2556"/>
            <w:vAlign w:val="center"/>
          </w:tcPr>
          <w:p>
            <w:r>
              <w:t>Observe rate limiting and service</w:t>
            </w:r>
          </w:p>
        </w:tc>
      </w:tr>
      <w:tr>
        <w:tc>
          <w:tcPr>
            <w:tcW w:type="dxa" w:w="2556"/>
            <w:vAlign w:val="center"/>
          </w:tcPr>
          <w:p>
            <w:r>
              <w:t>E04</w:t>
            </w:r>
          </w:p>
        </w:tc>
        <w:tc>
          <w:tcPr>
            <w:tcW w:type="dxa" w:w="2556"/>
            <w:vAlign w:val="center"/>
          </w:tcPr>
          <w:p>
            <w:r>
              <w:t>High-rate</w:t>
            </w:r>
          </w:p>
        </w:tc>
        <w:tc>
          <w:tcPr>
            <w:tcW w:type="dxa" w:w="2556"/>
            <w:vAlign w:val="center"/>
          </w:tcPr>
          <w:p>
            <w:r>
              <w:t>B: WAF → RL</w:t>
            </w:r>
          </w:p>
        </w:tc>
        <w:tc>
          <w:tcPr>
            <w:tcW w:type="dxa" w:w="2556"/>
            <w:vAlign w:val="center"/>
          </w:tcPr>
          <w:p>
            <w:r>
              <w:t>Compare status codes and latency</w:t>
            </w:r>
          </w:p>
        </w:tc>
      </w:tr>
      <w:tr>
        <w:tc>
          <w:tcPr>
            <w:tcW w:type="dxa" w:w="2556"/>
            <w:vAlign w:val="center"/>
          </w:tcPr>
          <w:p>
            <w:r>
              <w:t>E05</w:t>
            </w:r>
          </w:p>
        </w:tc>
        <w:tc>
          <w:tcPr>
            <w:tcW w:type="dxa" w:w="2556"/>
            <w:vAlign w:val="center"/>
          </w:tcPr>
          <w:p>
            <w:r>
              <w:t>Malicious</w:t>
            </w:r>
          </w:p>
        </w:tc>
        <w:tc>
          <w:tcPr>
            <w:tcW w:type="dxa" w:w="2556"/>
            <w:vAlign w:val="center"/>
          </w:tcPr>
          <w:p>
            <w:r>
              <w:t>A: RL → WAF</w:t>
            </w:r>
          </w:p>
        </w:tc>
        <w:tc>
          <w:tcPr>
            <w:tcW w:type="dxa" w:w="2556"/>
            <w:vAlign w:val="center"/>
          </w:tcPr>
          <w:p>
            <w:r>
              <w:t>Check SQLi signature blocking</w:t>
            </w:r>
          </w:p>
        </w:tc>
      </w:tr>
      <w:tr>
        <w:tc>
          <w:tcPr>
            <w:tcW w:type="dxa" w:w="2556"/>
            <w:vAlign w:val="center"/>
          </w:tcPr>
          <w:p>
            <w:r>
              <w:t>E06</w:t>
            </w:r>
          </w:p>
        </w:tc>
        <w:tc>
          <w:tcPr>
            <w:tcW w:type="dxa" w:w="2556"/>
            <w:vAlign w:val="center"/>
          </w:tcPr>
          <w:p>
            <w:r>
              <w:t>Malicious</w:t>
            </w:r>
          </w:p>
        </w:tc>
        <w:tc>
          <w:tcPr>
            <w:tcW w:type="dxa" w:w="2556"/>
            <w:vAlign w:val="center"/>
          </w:tcPr>
          <w:p>
            <w:r>
              <w:t>B: WAF → RL</w:t>
            </w:r>
          </w:p>
        </w:tc>
        <w:tc>
          <w:tcPr>
            <w:tcW w:type="dxa" w:w="2556"/>
            <w:vAlign w:val="center"/>
          </w:tcPr>
          <w:p>
            <w:r>
              <w:t>Check SQLi signature blocking</w:t>
            </w:r>
          </w:p>
        </w:tc>
      </w:tr>
      <w:tr>
        <w:tc>
          <w:tcPr>
            <w:tcW w:type="dxa" w:w="2556"/>
            <w:vAlign w:val="center"/>
          </w:tcPr>
          <w:p>
            <w:r>
              <w:t>E07</w:t>
            </w:r>
          </w:p>
        </w:tc>
        <w:tc>
          <w:tcPr>
            <w:tcW w:type="dxa" w:w="2556"/>
            <w:vAlign w:val="center"/>
          </w:tcPr>
          <w:p>
            <w:r>
              <w:t>Mixed</w:t>
            </w:r>
          </w:p>
        </w:tc>
        <w:tc>
          <w:tcPr>
            <w:tcW w:type="dxa" w:w="2556"/>
            <w:vAlign w:val="center"/>
          </w:tcPr>
          <w:p>
            <w:r>
              <w:t>A: RL → WAF</w:t>
            </w:r>
          </w:p>
        </w:tc>
        <w:tc>
          <w:tcPr>
            <w:tcW w:type="dxa" w:w="2556"/>
            <w:vAlign w:val="center"/>
          </w:tcPr>
          <w:p>
            <w:r>
              <w:t>Legitimate and malicious requests interleaved</w:t>
            </w:r>
          </w:p>
        </w:tc>
      </w:tr>
      <w:tr>
        <w:tc>
          <w:tcPr>
            <w:tcW w:type="dxa" w:w="2556"/>
            <w:vAlign w:val="center"/>
          </w:tcPr>
          <w:p>
            <w:r>
              <w:t>E08</w:t>
            </w:r>
          </w:p>
        </w:tc>
        <w:tc>
          <w:tcPr>
            <w:tcW w:type="dxa" w:w="2556"/>
            <w:vAlign w:val="center"/>
          </w:tcPr>
          <w:p>
            <w:r>
              <w:t>Mixed</w:t>
            </w:r>
          </w:p>
        </w:tc>
        <w:tc>
          <w:tcPr>
            <w:tcW w:type="dxa" w:w="2556"/>
            <w:vAlign w:val="center"/>
          </w:tcPr>
          <w:p>
            <w:r>
              <w:t>B: WAF → RL</w:t>
            </w:r>
          </w:p>
        </w:tc>
        <w:tc>
          <w:tcPr>
            <w:tcW w:type="dxa" w:w="2556"/>
            <w:vAlign w:val="center"/>
          </w:tcPr>
          <w:p>
            <w:r>
              <w:t>Compare security and legitimate success</w:t>
            </w:r>
          </w:p>
        </w:tc>
      </w:tr>
      <w:tr>
        <w:tc>
          <w:tcPr>
            <w:tcW w:type="dxa" w:w="2556"/>
            <w:vAlign w:val="center"/>
          </w:tcPr>
          <w:p>
            <w:r>
              <w:t>E09</w:t>
            </w:r>
          </w:p>
        </w:tc>
        <w:tc>
          <w:tcPr>
            <w:tcW w:type="dxa" w:w="2556"/>
            <w:vAlign w:val="center"/>
          </w:tcPr>
          <w:p>
            <w:r>
              <w:t>High-rate + malicious</w:t>
            </w:r>
          </w:p>
        </w:tc>
        <w:tc>
          <w:tcPr>
            <w:tcW w:type="dxa" w:w="2556"/>
            <w:vAlign w:val="center"/>
          </w:tcPr>
          <w:p>
            <w:r>
              <w:t>A: RL → WAF</w:t>
            </w:r>
          </w:p>
        </w:tc>
        <w:tc>
          <w:tcPr>
            <w:tcW w:type="dxa" w:w="2556"/>
            <w:vAlign w:val="center"/>
          </w:tcPr>
          <w:p>
            <w:r>
              <w:t>Combined load and attack traffic</w:t>
            </w:r>
          </w:p>
        </w:tc>
      </w:tr>
      <w:tr>
        <w:tc>
          <w:tcPr>
            <w:tcW w:type="dxa" w:w="2556"/>
            <w:vAlign w:val="center"/>
          </w:tcPr>
          <w:p>
            <w:r>
              <w:t>E10</w:t>
            </w:r>
          </w:p>
        </w:tc>
        <w:tc>
          <w:tcPr>
            <w:tcW w:type="dxa" w:w="2556"/>
            <w:vAlign w:val="center"/>
          </w:tcPr>
          <w:p>
            <w:r>
              <w:t>High-rate + malicious</w:t>
            </w:r>
          </w:p>
        </w:tc>
        <w:tc>
          <w:tcPr>
            <w:tcW w:type="dxa" w:w="2556"/>
            <w:vAlign w:val="center"/>
          </w:tcPr>
          <w:p>
            <w:r>
              <w:t>B: WAF → RL</w:t>
            </w:r>
          </w:p>
        </w:tc>
        <w:tc>
          <w:tcPr>
            <w:tcW w:type="dxa" w:w="2556"/>
            <w:vAlign w:val="center"/>
          </w:tcPr>
          <w:p>
            <w:r>
              <w:t>Compare combined condition</w:t>
            </w:r>
          </w:p>
        </w:tc>
      </w:tr>
      <w:tr>
        <w:tc>
          <w:tcPr>
            <w:tcW w:type="dxa" w:w="2556"/>
            <w:vAlign w:val="center"/>
          </w:tcPr>
          <w:p>
            <w:r>
              <w:t>E11</w:t>
            </w:r>
          </w:p>
        </w:tc>
        <w:tc>
          <w:tcPr>
            <w:tcW w:type="dxa" w:w="2556"/>
            <w:vAlign w:val="center"/>
          </w:tcPr>
          <w:p>
            <w:r>
              <w:t>Mixed + delay</w:t>
            </w:r>
          </w:p>
        </w:tc>
        <w:tc>
          <w:tcPr>
            <w:tcW w:type="dxa" w:w="2556"/>
            <w:vAlign w:val="center"/>
          </w:tcPr>
          <w:p>
            <w:r>
              <w:t>Both orders</w:t>
            </w:r>
          </w:p>
        </w:tc>
        <w:tc>
          <w:tcPr>
            <w:tcW w:type="dxa" w:w="2556"/>
            <w:vAlign w:val="center"/>
          </w:tcPr>
          <w:p>
            <w:r>
              <w:t>Apply the same configured delay to both orders</w:t>
            </w:r>
          </w:p>
        </w:tc>
      </w:tr>
      <w:tr>
        <w:tc>
          <w:tcPr>
            <w:tcW w:type="dxa" w:w="2556"/>
            <w:vAlign w:val="center"/>
          </w:tcPr>
          <w:p>
            <w:r>
              <w:t>E12</w:t>
            </w:r>
          </w:p>
        </w:tc>
        <w:tc>
          <w:tcPr>
            <w:tcW w:type="dxa" w:w="2556"/>
            <w:vAlign w:val="center"/>
          </w:tcPr>
          <w:p>
            <w:r>
              <w:t>Mixed + packet loss</w:t>
            </w:r>
          </w:p>
        </w:tc>
        <w:tc>
          <w:tcPr>
            <w:tcW w:type="dxa" w:w="2556"/>
            <w:vAlign w:val="center"/>
          </w:tcPr>
          <w:p>
            <w:r>
              <w:t>Both orders</w:t>
            </w:r>
          </w:p>
        </w:tc>
        <w:tc>
          <w:tcPr>
            <w:tcW w:type="dxa" w:w="2556"/>
            <w:vAlign w:val="center"/>
          </w:tcPr>
          <w:p>
            <w:r>
              <w:t>Apply the same configured loss to both orders</w:t>
            </w:r>
          </w:p>
        </w:tc>
      </w:tr>
    </w:tbl>
    <w:p>
      <w:pPr>
        <w:pStyle w:val="Heading1"/>
      </w:pPr>
      <w:r>
        <w:t>3. Proposed GNS3 topology and addressing</w:t>
      </w:r>
    </w:p>
    <w:p>
      <w:r>
        <w:t>Use this as a proposed plan; adapt it to the project’s existing server and router setup.</w:t>
      </w:r>
    </w:p>
    <w:tbl>
      <w:tblPr>
        <w:tblStyle w:val="TableGrid"/>
        <w:tblW w:type="auto" w:w="0"/>
        <w:tblLook w:firstColumn="1" w:firstRow="1" w:lastColumn="0" w:lastRow="0" w:noHBand="0" w:noVBand="1" w:val="04A0"/>
      </w:tblPr>
      <w:tblGrid>
        <w:gridCol w:w="3408"/>
        <w:gridCol w:w="3408"/>
        <w:gridCol w:w="3408"/>
      </w:tblGrid>
      <w:tr>
        <w:tc>
          <w:tcPr>
            <w:tcW w:type="dxa" w:w="3408"/>
          </w:tcPr>
          <w:p>
            <w:r>
              <w:t>Node</w:t>
            </w:r>
          </w:p>
        </w:tc>
        <w:tc>
          <w:tcPr>
            <w:tcW w:type="dxa" w:w="3408"/>
          </w:tcPr>
          <w:p>
            <w:r>
              <w:t>Proposed address</w:t>
            </w:r>
          </w:p>
        </w:tc>
        <w:tc>
          <w:tcPr>
            <w:tcW w:type="dxa" w:w="3408"/>
          </w:tcPr>
          <w:p>
            <w:r>
              <w:t>Role</w:t>
            </w:r>
          </w:p>
        </w:tc>
      </w:tr>
      <w:tr>
        <w:tc>
          <w:tcPr>
            <w:tcW w:type="dxa" w:w="3408"/>
          </w:tcPr>
          <w:p>
            <w:r>
              <w:t>Client / traffic generator</w:t>
            </w:r>
          </w:p>
        </w:tc>
        <w:tc>
          <w:tcPr>
            <w:tcW w:type="dxa" w:w="3408"/>
          </w:tcPr>
          <w:p>
            <w:r>
              <w:t>10.10.10.10/24</w:t>
            </w:r>
          </w:p>
        </w:tc>
        <w:tc>
          <w:tcPr>
            <w:tcW w:type="dxa" w:w="3408"/>
          </w:tcPr>
          <w:p>
            <w:r>
              <w:t>Generate normal, high-rate, malicious and mixed HTTP traffic</w:t>
            </w:r>
          </w:p>
        </w:tc>
      </w:tr>
      <w:tr>
        <w:tc>
          <w:tcPr>
            <w:tcW w:type="dxa" w:w="3408"/>
          </w:tcPr>
          <w:p>
            <w:r>
              <w:t>Router / impairment point (optional)</w:t>
            </w:r>
          </w:p>
        </w:tc>
        <w:tc>
          <w:tcPr>
            <w:tcW w:type="dxa" w:w="3408"/>
          </w:tcPr>
          <w:p>
            <w:r>
              <w:t>10.10.10.1/24 and 10.10.20.1/24</w:t>
            </w:r>
          </w:p>
        </w:tc>
        <w:tc>
          <w:tcPr>
            <w:tcW w:type="dxa" w:w="3408"/>
          </w:tcPr>
          <w:p>
            <w:r>
              <w:t>Route traffic; apply delay/loss here if supported by chosen node</w:t>
            </w:r>
          </w:p>
        </w:tc>
      </w:tr>
      <w:tr>
        <w:tc>
          <w:tcPr>
            <w:tcW w:type="dxa" w:w="3408"/>
          </w:tcPr>
          <w:p>
            <w:r>
              <w:t>Server / WAF application</w:t>
            </w:r>
          </w:p>
        </w:tc>
        <w:tc>
          <w:tcPr>
            <w:tcW w:type="dxa" w:w="3408"/>
          </w:tcPr>
          <w:p>
            <w:r>
              <w:t>10.10.20.10/24</w:t>
            </w:r>
          </w:p>
        </w:tc>
        <w:tc>
          <w:tcPr>
            <w:tcW w:type="dxa" w:w="3408"/>
          </w:tcPr>
          <w:p>
            <w:r>
              <w:t>Run Member 1's server on TCP port 8080</w:t>
            </w:r>
          </w:p>
        </w:tc>
      </w:tr>
    </w:tbl>
    <w:p>
      <w:r>
        <w:t>If using a single subnet, two routers, or different node types, revise the IP plan before configuring it. Avoid duplicate IPs. Confirm routing and connectivity with ping/curl before the experiment. The localhost address 127.0.0.1 is only for local testing and must not be used as the GNS3 client-to-server address.</w:t>
      </w:r>
    </w:p>
    <w:p>
      <w:pPr>
        <w:pStyle w:val="Heading1"/>
      </w:pPr>
      <w:r>
        <w:t>4. Metrics and definitions</w:t>
      </w:r>
    </w:p>
    <w:tbl>
      <w:tblPr>
        <w:tblStyle w:val="TableGrid"/>
        <w:tblW w:type="auto" w:w="0"/>
        <w:tblLook w:firstColumn="1" w:firstRow="1" w:lastColumn="0" w:lastRow="0" w:noHBand="0" w:noVBand="1" w:val="04A0"/>
      </w:tblPr>
      <w:tblGrid>
        <w:gridCol w:w="5112"/>
        <w:gridCol w:w="5112"/>
      </w:tblGrid>
      <w:tr>
        <w:tc>
          <w:tcPr>
            <w:tcW w:type="dxa" w:w="5112"/>
          </w:tcPr>
          <w:p>
            <w:r>
              <w:t>Metric</w:t>
            </w:r>
          </w:p>
        </w:tc>
        <w:tc>
          <w:tcPr>
            <w:tcW w:type="dxa" w:w="5112"/>
          </w:tcPr>
          <w:p>
            <w:r>
              <w:t>Definition / reporting rule</w:t>
            </w:r>
          </w:p>
        </w:tc>
      </w:tr>
      <w:tr>
        <w:tc>
          <w:tcPr>
            <w:tcW w:type="dxa" w:w="5112"/>
          </w:tcPr>
          <w:p>
            <w:r>
              <w:t>Requests/sec (RPS)</w:t>
            </w:r>
          </w:p>
        </w:tc>
        <w:tc>
          <w:tcPr>
            <w:tcW w:type="dxa" w:w="5112"/>
          </w:tcPr>
          <w:p>
            <w:r>
              <w:t>Completed HTTP requests divided by measured duration; state whether errors/timeouts count.</w:t>
            </w:r>
          </w:p>
        </w:tc>
      </w:tr>
      <w:tr>
        <w:tc>
          <w:tcPr>
            <w:tcW w:type="dxa" w:w="5112"/>
          </w:tcPr>
          <w:p>
            <w:r>
              <w:t>Throughput</w:t>
            </w:r>
          </w:p>
        </w:tc>
        <w:tc>
          <w:tcPr>
            <w:tcW w:type="dxa" w:w="5112"/>
          </w:tcPr>
          <w:p>
            <w:r>
              <w:t>Bytes of HTTP response payload delivered per second, or define another consistent byte basis.</w:t>
            </w:r>
          </w:p>
        </w:tc>
      </w:tr>
      <w:tr>
        <w:tc>
          <w:tcPr>
            <w:tcW w:type="dxa" w:w="5112"/>
          </w:tcPr>
          <w:p>
            <w:r>
              <w:t>Average latency</w:t>
            </w:r>
          </w:p>
        </w:tc>
        <w:tc>
          <w:tcPr>
            <w:tcW w:type="dxa" w:w="5112"/>
          </w:tcPr>
          <w:p>
            <w:r>
              <w:t>Arithmetic mean of request elapsed time in milliseconds.</w:t>
            </w:r>
          </w:p>
        </w:tc>
      </w:tr>
      <w:tr>
        <w:tc>
          <w:tcPr>
            <w:tcW w:type="dxa" w:w="5112"/>
          </w:tcPr>
          <w:p>
            <w:r>
              <w:t>p95 latency</w:t>
            </w:r>
          </w:p>
        </w:tc>
        <w:tc>
          <w:tcPr>
            <w:tcW w:type="dxa" w:w="5112"/>
          </w:tcPr>
          <w:p>
            <w:r>
              <w:t>95th percentile of request elapsed time; use the same percentile method for all runs.</w:t>
            </w:r>
          </w:p>
        </w:tc>
      </w:tr>
      <w:tr>
        <w:tc>
          <w:tcPr>
            <w:tcW w:type="dxa" w:w="5112"/>
          </w:tcPr>
          <w:p>
            <w:r>
              <w:t>CPU and memory</w:t>
            </w:r>
          </w:p>
        </w:tc>
        <w:tc>
          <w:tcPr>
            <w:tcW w:type="dxa" w:w="5112"/>
          </w:tcPr>
          <w:p>
            <w:r>
              <w:t>Sample server process and/or VM CPU and memory during the timed window; document tool and sampling interval.</w:t>
            </w:r>
          </w:p>
        </w:tc>
      </w:tr>
      <w:tr>
        <w:tc>
          <w:tcPr>
            <w:tcW w:type="dxa" w:w="5112"/>
          </w:tcPr>
          <w:p>
            <w:r>
              <w:t>HTTP 200 / 403 / 429</w:t>
            </w:r>
          </w:p>
        </w:tc>
        <w:tc>
          <w:tcPr>
            <w:tcW w:type="dxa" w:w="5112"/>
          </w:tcPr>
          <w:p>
            <w:r>
              <w:t>Counts by status code. 403 is a WAF denial only when server semantics confirm that; 429 indicates rate limiting.</w:t>
            </w:r>
          </w:p>
        </w:tc>
      </w:tr>
      <w:tr>
        <w:tc>
          <w:tcPr>
            <w:tcW w:type="dxa" w:w="5112"/>
          </w:tcPr>
          <w:p>
            <w:r>
              <w:t>Attack blocking rate</w:t>
            </w:r>
          </w:p>
        </w:tc>
        <w:tc>
          <w:tcPr>
            <w:tcW w:type="dxa" w:w="5112"/>
          </w:tcPr>
          <w:p>
            <w:r>
              <w:t>Confirmed malicious requests denied by the WAF / total malicious requests sent × 100. Do not count 429 as WAF-detected without evidence.</w:t>
            </w:r>
          </w:p>
        </w:tc>
      </w:tr>
      <w:tr>
        <w:tc>
          <w:tcPr>
            <w:tcW w:type="dxa" w:w="5112"/>
          </w:tcPr>
          <w:p>
            <w:r>
              <w:t>Legitimate success rate</w:t>
            </w:r>
          </w:p>
        </w:tc>
        <w:tc>
          <w:tcPr>
            <w:tcW w:type="dxa" w:w="5112"/>
          </w:tcPr>
          <w:p>
            <w:r>
              <w:t>Legitimate requests receiving the expected success status / legitimate requests sent × 100.</w:t>
            </w:r>
          </w:p>
        </w:tc>
      </w:tr>
      <w:tr>
        <w:tc>
          <w:tcPr>
            <w:tcW w:type="dxa" w:w="5112"/>
          </w:tcPr>
          <w:p>
            <w:r>
              <w:t>Legitimate latency</w:t>
            </w:r>
          </w:p>
        </w:tc>
        <w:tc>
          <w:tcPr>
            <w:tcW w:type="dxa" w:w="5112"/>
          </w:tcPr>
          <w:p>
            <w:r>
              <w:t>Latency calculated only for requests identified as legitimate; report successful-request latency separately if possible.</w:t>
            </w:r>
          </w:p>
        </w:tc>
      </w:tr>
    </w:tbl>
    <w:p>
      <w:pPr>
        <w:pStyle w:val="Heading1"/>
      </w:pPr>
      <w:r>
        <w:t>5. Fair-run procedure</w:t>
      </w:r>
    </w:p>
    <w:p>
      <w:pPr>
        <w:pStyle w:val="ListNumber"/>
      </w:pPr>
      <w:r>
        <w:t>Record date/time, topology, IPs, pipeline order, server version/commit, generator version, token-bucket settings, WAF rules, and impairment settings.</w:t>
      </w:r>
    </w:p>
    <w:p>
      <w:pPr>
        <w:pStyle w:val="ListNumber"/>
      </w:pPr>
      <w:r>
        <w:t>Use the same request counts, request mix, random seed, payloads, and measurement window for both pipeline orders.</w:t>
      </w:r>
    </w:p>
    <w:p>
      <w:pPr>
        <w:pStyle w:val="ListNumber"/>
      </w:pPr>
      <w:r>
        <w:t>Run one pipeline order at a time and confirm the active order from server configuration/logs before sending traffic.</w:t>
      </w:r>
    </w:p>
    <w:p>
      <w:pPr>
        <w:pStyle w:val="ListNumber"/>
      </w:pPr>
      <w:r>
        <w:t>Warm up the server consistently, then start the measurement window. Keep warm-up traffic outside the reported sample.</w:t>
      </w:r>
    </w:p>
    <w:p>
      <w:pPr>
        <w:pStyle w:val="ListNumber"/>
      </w:pPr>
      <w:r>
        <w:t>Capture client-side request logs and a packet capture for each run. Record server logs and CPU/memory samples where available.</w:t>
      </w:r>
    </w:p>
    <w:p>
      <w:pPr>
        <w:pStyle w:val="ListNumber"/>
      </w:pPr>
      <w:r>
        <w:t>Repeat each scenario at least three times if time permits; report each run and a summary (median/mean plus spread), not only the best run.</w:t>
      </w:r>
    </w:p>
    <w:p>
      <w:pPr>
        <w:pStyle w:val="ListNumber"/>
      </w:pPr>
      <w:r>
        <w:t>Reset output files or use unique filenames per run. Do not append runs together without run IDs.</w:t>
      </w:r>
    </w:p>
    <w:p>
      <w:pPr>
        <w:pStyle w:val="ListNumber"/>
      </w:pPr>
      <w:r>
        <w:t>If a run has connection errors/timeouts, preserve those rows and report them; do not silently drop them.</w:t>
      </w:r>
    </w:p>
    <w:p>
      <w:pPr>
        <w:pStyle w:val="ListNumber"/>
      </w:pPr>
      <w:r>
        <w:t>Change only the pipeline order when comparing A vs B. For E11/E12, use identical impairment settings for both orders.</w:t>
      </w:r>
    </w:p>
    <w:p>
      <w:pPr>
        <w:pStyle w:val="Heading1"/>
      </w:pPr>
      <w:r>
        <w:t>6. Traffic and payload guidance</w:t>
      </w:r>
    </w:p>
    <w:p>
      <w:r>
        <w:t>Legitimate: use known-safe paths such as /index.html. Malicious: use the project’s approved test payloads, such as the existing URL-encoded SQL-injection test path. Keep the test isolated to the lab server; do not target external systems.</w:t>
      </w:r>
    </w:p>
    <w:p>
      <w:r>
        <w:t>High-rate: choose and record a fixed offered request rate or a fixed burst size. For a fair comparison, repeat the same rate/burst and concurrency in both configurations. Mixed traffic: explicitly record the legitimate-to-malicious ratio and whether requests are shuffled or sent concurrently.</w:t>
      </w:r>
    </w:p>
    <w:p>
      <w:pPr>
        <w:pStyle w:val="Heading1"/>
      </w:pPr>
      <w:r>
        <w:t>7. Wireshark capture and display filters</w:t>
      </w:r>
    </w:p>
    <w:p>
      <w:r>
        <w:t>Capture on the GNS3 client/server link or the link carrying HTTP traffic. If the application uses TCP port 8080, these display filters are useful:</w:t>
      </w:r>
    </w:p>
    <w:p>
      <w:pPr>
        <w:pStyle w:val="ListBullet"/>
      </w:pPr>
      <w:r>
        <w:t>tcp.port == 8080</w:t>
      </w:r>
    </w:p>
    <w:p>
      <w:pPr>
        <w:pStyle w:val="ListBullet"/>
      </w:pPr>
      <w:r>
        <w:t>http</w:t>
      </w:r>
    </w:p>
    <w:p>
      <w:pPr>
        <w:pStyle w:val="ListBullet"/>
      </w:pPr>
      <w:r>
        <w:t>ip.addr == 10.10.10.10 &amp;&amp; ip.addr == 10.10.20.10</w:t>
      </w:r>
    </w:p>
    <w:p>
      <w:pPr>
        <w:pStyle w:val="ListBullet"/>
      </w:pPr>
      <w:r>
        <w:t>tcp.analysis.retransmission</w:t>
      </w:r>
    </w:p>
    <w:p>
      <w:pPr>
        <w:pStyle w:val="ListBullet"/>
      </w:pPr>
      <w:r>
        <w:t>tcp.analysis.lost_segment</w:t>
      </w:r>
    </w:p>
    <w:p>
      <w:r>
        <w:t>The HTTP dissector may not decode application traffic automatically on a non-standard port. If needed, use Analyze → Decode As… and select HTTP for TCP port 8080. Save the original .pcapng file and note the capture interface and timestamps. HTTPS payloads cannot be inspected as plaintext without appropriate decryption; this plan assumes lab HTTP unless the project says otherwise.</w:t>
      </w:r>
    </w:p>
    <w:p>
      <w:pPr>
        <w:pStyle w:val="Heading1"/>
      </w:pPr>
      <w:r>
        <w:t>8. Delay and packet-loss procedure</w:t>
      </w:r>
    </w:p>
    <w:p>
      <w:r>
        <w:t>Apply impairments on a Linux router/interface between client and server, not on the Windows host unless the selected setup explicitly supports it. tc/netem is Linux tooling and must be configured on the correct egress interface in both directions if bidirectional impairment is intended. Record interface names and the exact command/output.</w:t>
      </w:r>
    </w:p>
    <w:p>
      <w:r>
        <w:t>Illustrative Linux commands only — replace IFACE with the verified interface name and obtain project approval before applying:</w:t>
      </w:r>
    </w:p>
    <w:p>
      <w:pPr>
        <w:pStyle w:val="ListBullet"/>
      </w:pPr>
      <w:r>
        <w:t>sudo tc qdisc replace dev IFACE root netem delay 100ms</w:t>
      </w:r>
    </w:p>
    <w:p>
      <w:pPr>
        <w:pStyle w:val="ListBullet"/>
      </w:pPr>
      <w:r>
        <w:t>sudo tc qdisc replace dev IFACE root netem loss 1%</w:t>
      </w:r>
    </w:p>
    <w:p>
      <w:pPr>
        <w:pStyle w:val="ListBullet"/>
      </w:pPr>
      <w:r>
        <w:t>sudo tc qdisc show dev IFACE</w:t>
      </w:r>
    </w:p>
    <w:p>
      <w:pPr>
        <w:pStyle w:val="ListBullet"/>
      </w:pPr>
      <w:r>
        <w:t>sudo tc qdisc del dev IFACE root</w:t>
      </w:r>
    </w:p>
    <w:p>
      <w:r>
        <w:t>These are examples, not evidence that an impairment has been applied. Use the same delay/loss values for both pipeline orders and remove the qdisc after the run.</w:t>
      </w:r>
    </w:p>
    <w:p>
      <w:pPr>
        <w:pStyle w:val="Heading1"/>
      </w:pPr>
      <w:r>
        <w:t>9. Results and evidence checklist</w:t>
      </w:r>
    </w:p>
    <w:p>
      <w:r>
        <w:t>☐ Each run has a unique experiment ID and pipeline-order label.</w:t>
      </w:r>
    </w:p>
    <w:p>
      <w:r>
        <w:t>☐ Raw request CSVs, server logs, packet captures, and CPU/memory samples are preserved.</w:t>
      </w:r>
    </w:p>
    <w:p>
      <w:r>
        <w:t>☐ Report includes request counts and HTTP 200/403/429 counts.</w:t>
      </w:r>
    </w:p>
    <w:p>
      <w:r>
        <w:t>☐ Attack blocking rate is based on confirmed WAF decisions, not rate-limit responses alone.</w:t>
      </w:r>
    </w:p>
    <w:p>
      <w:r>
        <w:t>☐ Legitimate success rate and legitimate latency are calculated from request-type labels.</w:t>
      </w:r>
    </w:p>
    <w:p>
      <w:r>
        <w:t>☐ Charts show units, sample counts, and whether values are local or GNS3 measurements.</w:t>
      </w:r>
    </w:p>
    <w:p>
      <w:r>
        <w:t>☐ Missing metrics are marked unavailable; no fabricated measurements.</w:t>
      </w:r>
    </w:p>
    <w:p>
      <w:r>
        <w:t>☐ E01–E12 status is marked planned / running / complete with evidence filenames.</w:t>
      </w:r>
    </w:p>
    <w:p>
      <w:pPr>
        <w:pStyle w:val="Heading1"/>
      </w:pPr>
      <w:r>
        <w:t>10. Current boundary: manual / real environment required</w:t>
      </w:r>
    </w:p>
    <w:p>
      <w:r>
        <w:t>MANUAL/REAL ENVIRONMENT REQUIRED: the topology must be built and run in GNS3; the server must be reachable over the virtual network; captures must be collected in Wireshark; delay/loss must be applied on the selected Linux interface; and CPU/memory must be measured during real runs. Until that evidence exists, E01–E12 remain planned or partially covered by local preliminary tests.</w:t>
      </w:r>
    </w:p>
    <w:p>
      <w:r>
        <w:t>Minimal later action: start the agreed GNS3 topology, verify client-to-server HTTP reachability, then run the experiment matrix in matched pairs for A and B.</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