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40" w:lineRule="auto"/>
        <w:ind w:left="720" w:firstLine="720"/>
        <w:jc w:val="center"/>
        <w:rPr>
          <w:b w:val="1"/>
          <w:color w:val="2d3b45"/>
          <w:sz w:val="24"/>
          <w:szCs w:val="24"/>
          <w:u w:val="single"/>
        </w:rPr>
      </w:pPr>
      <w:r w:rsidDel="00000000" w:rsidR="00000000" w:rsidRPr="00000000">
        <w:rPr>
          <w:rFonts w:ascii="Calibri" w:cs="Calibri" w:eastAsia="Calibri" w:hAnsi="Calibri"/>
          <w:b w:val="1"/>
          <w:sz w:val="30"/>
          <w:szCs w:val="30"/>
          <w:u w:val="single"/>
          <w:rtl w:val="0"/>
        </w:rPr>
        <w:t xml:space="preserve">DATA-230 Sec 21 - Data Visualization - Assignment-6</w:t>
      </w:r>
      <w:r w:rsidDel="00000000" w:rsidR="00000000" w:rsidRPr="00000000">
        <w:rPr>
          <w:rtl w:val="0"/>
        </w:rPr>
      </w:r>
    </w:p>
    <w:p w:rsidR="00000000" w:rsidDel="00000000" w:rsidP="00000000" w:rsidRDefault="00000000" w:rsidRPr="00000000" w14:paraId="00000002">
      <w:pPr>
        <w:numPr>
          <w:ilvl w:val="0"/>
          <w:numId w:val="1"/>
        </w:numPr>
        <w:ind w:left="0" w:hanging="375"/>
        <w:rPr>
          <w:b w:val="1"/>
        </w:rPr>
      </w:pPr>
      <w:r w:rsidDel="00000000" w:rsidR="00000000" w:rsidRPr="00000000">
        <w:rPr>
          <w:b w:val="1"/>
          <w:color w:val="2d3b45"/>
          <w:sz w:val="24"/>
          <w:szCs w:val="24"/>
          <w:u w:val="single"/>
          <w:rtl w:val="0"/>
        </w:rPr>
        <w:t xml:space="preserve">Principle of Proximity </w:t>
      </w:r>
    </w:p>
    <w:p w:rsidR="00000000" w:rsidDel="00000000" w:rsidP="00000000" w:rsidRDefault="00000000" w:rsidRPr="00000000" w14:paraId="00000003">
      <w:pPr>
        <w:ind w:left="0" w:firstLine="0"/>
        <w:rPr>
          <w:color w:val="2d3b45"/>
          <w:sz w:val="24"/>
          <w:szCs w:val="24"/>
        </w:rPr>
      </w:pPr>
      <w:r w:rsidDel="00000000" w:rsidR="00000000" w:rsidRPr="00000000">
        <w:rPr>
          <w:color w:val="2d3b45"/>
          <w:sz w:val="24"/>
          <w:szCs w:val="24"/>
          <w:rtl w:val="0"/>
        </w:rPr>
        <w:t xml:space="preserve">This law states that </w:t>
      </w:r>
      <w:r w:rsidDel="00000000" w:rsidR="00000000" w:rsidRPr="00000000">
        <w:rPr>
          <w:color w:val="2d3b45"/>
          <w:sz w:val="24"/>
          <w:szCs w:val="24"/>
          <w:rtl w:val="0"/>
        </w:rPr>
        <w:t xml:space="preserve">objects placed close to one another are perceived as a group.</w:t>
      </w:r>
      <w:r w:rsidDel="00000000" w:rsidR="00000000" w:rsidRPr="00000000">
        <w:rPr>
          <w:color w:val="2d3b45"/>
          <w:sz w:val="24"/>
          <w:szCs w:val="24"/>
          <w:rtl w:val="0"/>
        </w:rPr>
        <w:t xml:space="preserve">We easily tend to make comparisons and look for similarities in such groups.</w:t>
      </w:r>
    </w:p>
    <w:p w:rsidR="00000000" w:rsidDel="00000000" w:rsidP="00000000" w:rsidRDefault="00000000" w:rsidRPr="00000000" w14:paraId="00000004">
      <w:pPr>
        <w:ind w:left="0" w:firstLine="0"/>
        <w:rPr>
          <w:color w:val="2d3b45"/>
          <w:sz w:val="24"/>
          <w:szCs w:val="24"/>
        </w:rPr>
      </w:pPr>
      <w:r w:rsidDel="00000000" w:rsidR="00000000" w:rsidRPr="00000000">
        <w:rPr>
          <w:rtl w:val="0"/>
        </w:rPr>
      </w:r>
    </w:p>
    <w:p w:rsidR="00000000" w:rsidDel="00000000" w:rsidP="00000000" w:rsidRDefault="00000000" w:rsidRPr="00000000" w14:paraId="00000005">
      <w:pPr>
        <w:ind w:left="0" w:firstLine="0"/>
        <w:rPr>
          <w:color w:val="2d3b45"/>
          <w:sz w:val="24"/>
          <w:szCs w:val="24"/>
        </w:rPr>
      </w:pPr>
      <w:r w:rsidDel="00000000" w:rsidR="00000000" w:rsidRPr="00000000">
        <w:rPr>
          <w:color w:val="2d3b45"/>
          <w:sz w:val="24"/>
          <w:szCs w:val="24"/>
        </w:rPr>
        <w:drawing>
          <wp:inline distB="114300" distT="114300" distL="114300" distR="114300">
            <wp:extent cx="2881313" cy="2225629"/>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81313" cy="2225629"/>
                    </a:xfrm>
                    <a:prstGeom prst="rect"/>
                    <a:ln/>
                  </pic:spPr>
                </pic:pic>
              </a:graphicData>
            </a:graphic>
          </wp:inline>
        </w:drawing>
      </w:r>
      <w:r w:rsidDel="00000000" w:rsidR="00000000" w:rsidRPr="00000000">
        <w:rPr>
          <w:color w:val="2d3b45"/>
          <w:sz w:val="24"/>
          <w:szCs w:val="24"/>
        </w:rPr>
        <w:drawing>
          <wp:inline distB="114300" distT="114300" distL="114300" distR="114300">
            <wp:extent cx="2928938" cy="2271618"/>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28938" cy="227161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2d3b45"/>
          <w:sz w:val="24"/>
          <w:szCs w:val="24"/>
        </w:rPr>
      </w:pPr>
      <w:r w:rsidDel="00000000" w:rsidR="00000000" w:rsidRPr="00000000">
        <w:rPr>
          <w:rtl w:val="0"/>
        </w:rPr>
      </w:r>
    </w:p>
    <w:p w:rsidR="00000000" w:rsidDel="00000000" w:rsidP="00000000" w:rsidRDefault="00000000" w:rsidRPr="00000000" w14:paraId="00000007">
      <w:pPr>
        <w:rPr>
          <w:color w:val="222222"/>
          <w:sz w:val="32"/>
          <w:szCs w:val="32"/>
          <w:highlight w:val="white"/>
        </w:rPr>
      </w:pPr>
      <w:r w:rsidDel="00000000" w:rsidR="00000000" w:rsidRPr="00000000">
        <w:rPr>
          <w:color w:val="2d3b45"/>
          <w:sz w:val="24"/>
          <w:szCs w:val="24"/>
          <w:rtl w:val="0"/>
        </w:rPr>
        <w:t xml:space="preserve">In the first chart, the sales of “North”, “South”, “East”, and “West” regions form 4 distinct groups: “Quarter 1”, “Quarter 2”, “Quarter 3”, and “Quarter 4”. It is quite easy to compare the sales of each region within a quarter. </w:t>
      </w:r>
      <w:r w:rsidDel="00000000" w:rsidR="00000000" w:rsidRPr="00000000">
        <w:rPr>
          <w:rtl w:val="0"/>
        </w:rPr>
      </w:r>
    </w:p>
    <w:p w:rsidR="00000000" w:rsidDel="00000000" w:rsidP="00000000" w:rsidRDefault="00000000" w:rsidRPr="00000000" w14:paraId="00000008">
      <w:pPr>
        <w:rPr>
          <w:color w:val="2d3b45"/>
          <w:sz w:val="24"/>
          <w:szCs w:val="24"/>
        </w:rPr>
      </w:pPr>
      <w:r w:rsidDel="00000000" w:rsidR="00000000" w:rsidRPr="00000000">
        <w:rPr>
          <w:rtl w:val="0"/>
        </w:rPr>
      </w:r>
    </w:p>
    <w:p w:rsidR="00000000" w:rsidDel="00000000" w:rsidP="00000000" w:rsidRDefault="00000000" w:rsidRPr="00000000" w14:paraId="00000009">
      <w:pPr>
        <w:rPr>
          <w:color w:val="2d3b45"/>
          <w:sz w:val="24"/>
          <w:szCs w:val="24"/>
        </w:rPr>
      </w:pPr>
      <w:r w:rsidDel="00000000" w:rsidR="00000000" w:rsidRPr="00000000">
        <w:rPr>
          <w:color w:val="2d3b45"/>
          <w:sz w:val="24"/>
          <w:szCs w:val="24"/>
          <w:rtl w:val="0"/>
        </w:rPr>
        <w:t xml:space="preserve">But if the priority is to compare the sales region wise, then we can change the grouping as in the second chart which groups the data region wise. </w:t>
      </w:r>
    </w:p>
    <w:p w:rsidR="00000000" w:rsidDel="00000000" w:rsidP="00000000" w:rsidRDefault="00000000" w:rsidRPr="00000000" w14:paraId="0000000A">
      <w:pPr>
        <w:rPr>
          <w:color w:val="2d3b45"/>
          <w:sz w:val="24"/>
          <w:szCs w:val="24"/>
        </w:rPr>
      </w:pPr>
      <w:r w:rsidDel="00000000" w:rsidR="00000000" w:rsidRPr="00000000">
        <w:rPr>
          <w:color w:val="2d3b45"/>
          <w:sz w:val="24"/>
          <w:szCs w:val="24"/>
          <w:rtl w:val="0"/>
        </w:rPr>
        <w:t xml:space="preserve">Thus, based on the priority the grouping can help us to increase the readability. </w:t>
      </w:r>
    </w:p>
    <w:p w:rsidR="00000000" w:rsidDel="00000000" w:rsidP="00000000" w:rsidRDefault="00000000" w:rsidRPr="00000000" w14:paraId="0000000B">
      <w:pPr>
        <w:rPr>
          <w:color w:val="2d3b45"/>
          <w:sz w:val="24"/>
          <w:szCs w:val="24"/>
        </w:rPr>
      </w:pPr>
      <w:r w:rsidDel="00000000" w:rsidR="00000000" w:rsidRPr="00000000">
        <w:rPr>
          <w:rtl w:val="0"/>
        </w:rPr>
      </w:r>
    </w:p>
    <w:p w:rsidR="00000000" w:rsidDel="00000000" w:rsidP="00000000" w:rsidRDefault="00000000" w:rsidRPr="00000000" w14:paraId="0000000C">
      <w:pPr>
        <w:ind w:left="0" w:firstLine="0"/>
        <w:rPr>
          <w:color w:val="2d3b45"/>
          <w:sz w:val="24"/>
          <w:szCs w:val="24"/>
        </w:rPr>
      </w:pPr>
      <w:r w:rsidDel="00000000" w:rsidR="00000000" w:rsidRPr="00000000">
        <w:rPr>
          <w:rtl w:val="0"/>
        </w:rPr>
      </w:r>
    </w:p>
    <w:p w:rsidR="00000000" w:rsidDel="00000000" w:rsidP="00000000" w:rsidRDefault="00000000" w:rsidRPr="00000000" w14:paraId="0000000D">
      <w:pPr>
        <w:ind w:left="0" w:firstLine="0"/>
        <w:rPr>
          <w:color w:val="2d3b45"/>
          <w:sz w:val="24"/>
          <w:szCs w:val="24"/>
        </w:rPr>
      </w:pPr>
      <w:r w:rsidDel="00000000" w:rsidR="00000000" w:rsidRPr="00000000">
        <w:rPr>
          <w:rtl w:val="0"/>
        </w:rPr>
      </w:r>
    </w:p>
    <w:p w:rsidR="00000000" w:rsidDel="00000000" w:rsidP="00000000" w:rsidRDefault="00000000" w:rsidRPr="00000000" w14:paraId="0000000E">
      <w:pPr>
        <w:ind w:left="0" w:firstLine="0"/>
        <w:rPr>
          <w:color w:val="2d3b45"/>
          <w:sz w:val="24"/>
          <w:szCs w:val="24"/>
        </w:rPr>
      </w:pPr>
      <w:r w:rsidDel="00000000" w:rsidR="00000000" w:rsidRPr="00000000">
        <w:rPr>
          <w:rtl w:val="0"/>
        </w:rPr>
      </w:r>
    </w:p>
    <w:p w:rsidR="00000000" w:rsidDel="00000000" w:rsidP="00000000" w:rsidRDefault="00000000" w:rsidRPr="00000000" w14:paraId="0000000F">
      <w:pPr>
        <w:ind w:left="0" w:firstLine="0"/>
        <w:rPr>
          <w:color w:val="2d3b45"/>
          <w:sz w:val="24"/>
          <w:szCs w:val="24"/>
        </w:rPr>
      </w:pPr>
      <w:r w:rsidDel="00000000" w:rsidR="00000000" w:rsidRPr="00000000">
        <w:rPr>
          <w:rtl w:val="0"/>
        </w:rPr>
      </w:r>
    </w:p>
    <w:p w:rsidR="00000000" w:rsidDel="00000000" w:rsidP="00000000" w:rsidRDefault="00000000" w:rsidRPr="00000000" w14:paraId="00000010">
      <w:pPr>
        <w:ind w:left="0" w:firstLine="0"/>
        <w:rPr>
          <w:color w:val="2d3b45"/>
          <w:sz w:val="24"/>
          <w:szCs w:val="24"/>
        </w:rPr>
      </w:pPr>
      <w:r w:rsidDel="00000000" w:rsidR="00000000" w:rsidRPr="00000000">
        <w:rPr>
          <w:rtl w:val="0"/>
        </w:rPr>
      </w:r>
    </w:p>
    <w:p w:rsidR="00000000" w:rsidDel="00000000" w:rsidP="00000000" w:rsidRDefault="00000000" w:rsidRPr="00000000" w14:paraId="00000011">
      <w:pPr>
        <w:ind w:left="0" w:firstLine="0"/>
        <w:rPr>
          <w:color w:val="2d3b45"/>
          <w:sz w:val="24"/>
          <w:szCs w:val="24"/>
        </w:rPr>
      </w:pPr>
      <w:r w:rsidDel="00000000" w:rsidR="00000000" w:rsidRPr="00000000">
        <w:rPr>
          <w:rtl w:val="0"/>
        </w:rPr>
      </w:r>
    </w:p>
    <w:p w:rsidR="00000000" w:rsidDel="00000000" w:rsidP="00000000" w:rsidRDefault="00000000" w:rsidRPr="00000000" w14:paraId="00000012">
      <w:pPr>
        <w:ind w:left="0" w:firstLine="0"/>
        <w:rPr>
          <w:color w:val="2d3b45"/>
          <w:sz w:val="24"/>
          <w:szCs w:val="24"/>
        </w:rPr>
      </w:pPr>
      <w:r w:rsidDel="00000000" w:rsidR="00000000" w:rsidRPr="00000000">
        <w:rPr>
          <w:rtl w:val="0"/>
        </w:rPr>
      </w:r>
    </w:p>
    <w:p w:rsidR="00000000" w:rsidDel="00000000" w:rsidP="00000000" w:rsidRDefault="00000000" w:rsidRPr="00000000" w14:paraId="00000013">
      <w:pPr>
        <w:ind w:left="0" w:firstLine="0"/>
        <w:rPr>
          <w:color w:val="2d3b45"/>
          <w:sz w:val="24"/>
          <w:szCs w:val="24"/>
        </w:rPr>
      </w:pPr>
      <w:r w:rsidDel="00000000" w:rsidR="00000000" w:rsidRPr="00000000">
        <w:rPr>
          <w:rtl w:val="0"/>
        </w:rPr>
      </w:r>
    </w:p>
    <w:p w:rsidR="00000000" w:rsidDel="00000000" w:rsidP="00000000" w:rsidRDefault="00000000" w:rsidRPr="00000000" w14:paraId="00000014">
      <w:pPr>
        <w:ind w:left="0" w:firstLine="0"/>
        <w:rPr>
          <w:color w:val="2d3b45"/>
          <w:sz w:val="24"/>
          <w:szCs w:val="24"/>
        </w:rPr>
      </w:pPr>
      <w:r w:rsidDel="00000000" w:rsidR="00000000" w:rsidRPr="00000000">
        <w:rPr>
          <w:rtl w:val="0"/>
        </w:rPr>
      </w:r>
    </w:p>
    <w:p w:rsidR="00000000" w:rsidDel="00000000" w:rsidP="00000000" w:rsidRDefault="00000000" w:rsidRPr="00000000" w14:paraId="00000015">
      <w:pPr>
        <w:ind w:left="0" w:firstLine="0"/>
        <w:rPr>
          <w:color w:val="2d3b45"/>
          <w:sz w:val="24"/>
          <w:szCs w:val="24"/>
        </w:rPr>
      </w:pPr>
      <w:r w:rsidDel="00000000" w:rsidR="00000000" w:rsidRPr="00000000">
        <w:rPr>
          <w:rtl w:val="0"/>
        </w:rPr>
      </w:r>
    </w:p>
    <w:p w:rsidR="00000000" w:rsidDel="00000000" w:rsidP="00000000" w:rsidRDefault="00000000" w:rsidRPr="00000000" w14:paraId="00000016">
      <w:pPr>
        <w:ind w:left="0" w:firstLine="0"/>
        <w:rPr>
          <w:color w:val="2d3b45"/>
          <w:sz w:val="24"/>
          <w:szCs w:val="24"/>
        </w:rPr>
      </w:pPr>
      <w:r w:rsidDel="00000000" w:rsidR="00000000" w:rsidRPr="00000000">
        <w:rPr>
          <w:rtl w:val="0"/>
        </w:rPr>
      </w:r>
    </w:p>
    <w:p w:rsidR="00000000" w:rsidDel="00000000" w:rsidP="00000000" w:rsidRDefault="00000000" w:rsidRPr="00000000" w14:paraId="00000017">
      <w:pPr>
        <w:ind w:left="0" w:firstLine="0"/>
        <w:rPr>
          <w:color w:val="2d3b45"/>
          <w:sz w:val="24"/>
          <w:szCs w:val="24"/>
        </w:rPr>
      </w:pPr>
      <w:r w:rsidDel="00000000" w:rsidR="00000000" w:rsidRPr="00000000">
        <w:rPr>
          <w:rtl w:val="0"/>
        </w:rPr>
      </w:r>
    </w:p>
    <w:p w:rsidR="00000000" w:rsidDel="00000000" w:rsidP="00000000" w:rsidRDefault="00000000" w:rsidRPr="00000000" w14:paraId="00000018">
      <w:pPr>
        <w:ind w:left="0" w:firstLine="0"/>
        <w:rPr>
          <w:color w:val="2d3b45"/>
          <w:sz w:val="24"/>
          <w:szCs w:val="24"/>
        </w:rPr>
      </w:pPr>
      <w:r w:rsidDel="00000000" w:rsidR="00000000" w:rsidRPr="00000000">
        <w:rPr>
          <w:rtl w:val="0"/>
        </w:rPr>
      </w:r>
    </w:p>
    <w:p w:rsidR="00000000" w:rsidDel="00000000" w:rsidP="00000000" w:rsidRDefault="00000000" w:rsidRPr="00000000" w14:paraId="00000019">
      <w:pPr>
        <w:numPr>
          <w:ilvl w:val="0"/>
          <w:numId w:val="1"/>
        </w:numPr>
        <w:ind w:left="0" w:hanging="375"/>
        <w:rPr>
          <w:b w:val="1"/>
        </w:rPr>
      </w:pPr>
      <w:r w:rsidDel="00000000" w:rsidR="00000000" w:rsidRPr="00000000">
        <w:rPr>
          <w:b w:val="1"/>
          <w:color w:val="2d3b45"/>
          <w:sz w:val="24"/>
          <w:szCs w:val="24"/>
          <w:u w:val="single"/>
          <w:rtl w:val="0"/>
        </w:rPr>
        <w:t xml:space="preserve">Principle of Similarity </w:t>
      </w:r>
      <w:r w:rsidDel="00000000" w:rsidR="00000000" w:rsidRPr="00000000">
        <w:rPr>
          <w:rtl w:val="0"/>
        </w:rPr>
      </w:r>
    </w:p>
    <w:p w:rsidR="00000000" w:rsidDel="00000000" w:rsidP="00000000" w:rsidRDefault="00000000" w:rsidRPr="00000000" w14:paraId="0000001A">
      <w:pPr>
        <w:rPr>
          <w:color w:val="2d3b45"/>
          <w:sz w:val="24"/>
          <w:szCs w:val="24"/>
        </w:rPr>
      </w:pPr>
      <w:r w:rsidDel="00000000" w:rsidR="00000000" w:rsidRPr="00000000">
        <w:rPr>
          <w:color w:val="2d3b45"/>
          <w:sz w:val="24"/>
          <w:szCs w:val="24"/>
          <w:rtl w:val="0"/>
        </w:rPr>
        <w:t xml:space="preserve">The principle states that </w:t>
      </w:r>
      <w:r w:rsidDel="00000000" w:rsidR="00000000" w:rsidRPr="00000000">
        <w:rPr>
          <w:color w:val="2d3b45"/>
          <w:sz w:val="24"/>
          <w:szCs w:val="24"/>
          <w:rtl w:val="0"/>
        </w:rPr>
        <w:t xml:space="preserve">similar elements are visually grouped, regardless of their proximity to each other. </w:t>
      </w:r>
    </w:p>
    <w:p w:rsidR="00000000" w:rsidDel="00000000" w:rsidP="00000000" w:rsidRDefault="00000000" w:rsidRPr="00000000" w14:paraId="0000001B">
      <w:pPr>
        <w:rPr>
          <w:color w:val="2d3b45"/>
          <w:sz w:val="24"/>
          <w:szCs w:val="24"/>
        </w:rPr>
      </w:pPr>
      <w:r w:rsidDel="00000000" w:rsidR="00000000" w:rsidRPr="00000000">
        <w:rPr>
          <w:rtl w:val="0"/>
        </w:rPr>
      </w:r>
    </w:p>
    <w:p w:rsidR="00000000" w:rsidDel="00000000" w:rsidP="00000000" w:rsidRDefault="00000000" w:rsidRPr="00000000" w14:paraId="0000001C">
      <w:pPr>
        <w:rPr>
          <w:color w:val="2d3b45"/>
          <w:sz w:val="24"/>
          <w:szCs w:val="24"/>
        </w:rPr>
      </w:pPr>
      <w:r w:rsidDel="00000000" w:rsidR="00000000" w:rsidRPr="00000000">
        <w:rPr>
          <w:rtl w:val="0"/>
        </w:rPr>
      </w:r>
    </w:p>
    <w:p w:rsidR="00000000" w:rsidDel="00000000" w:rsidP="00000000" w:rsidRDefault="00000000" w:rsidRPr="00000000" w14:paraId="0000001D">
      <w:pPr>
        <w:rPr>
          <w:color w:val="2d3b45"/>
          <w:sz w:val="24"/>
          <w:szCs w:val="24"/>
        </w:rPr>
      </w:pPr>
      <w:r w:rsidDel="00000000" w:rsidR="00000000" w:rsidRPr="00000000">
        <w:rPr>
          <w:color w:val="2d3b45"/>
          <w:sz w:val="24"/>
          <w:szCs w:val="24"/>
        </w:rPr>
        <w:drawing>
          <wp:inline distB="114300" distT="114300" distL="114300" distR="114300">
            <wp:extent cx="2624138" cy="2865558"/>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24138" cy="2865558"/>
                    </a:xfrm>
                    <a:prstGeom prst="rect"/>
                    <a:ln/>
                  </pic:spPr>
                </pic:pic>
              </a:graphicData>
            </a:graphic>
          </wp:inline>
        </w:drawing>
      </w:r>
      <w:r w:rsidDel="00000000" w:rsidR="00000000" w:rsidRPr="00000000">
        <w:rPr>
          <w:color w:val="2d3b45"/>
          <w:sz w:val="24"/>
          <w:szCs w:val="24"/>
        </w:rPr>
        <w:drawing>
          <wp:inline distB="114300" distT="114300" distL="114300" distR="114300">
            <wp:extent cx="2605088" cy="2846299"/>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05088" cy="28462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2d3b45"/>
          <w:sz w:val="24"/>
          <w:szCs w:val="24"/>
        </w:rPr>
      </w:pPr>
      <w:r w:rsidDel="00000000" w:rsidR="00000000" w:rsidRPr="00000000">
        <w:rPr>
          <w:rtl w:val="0"/>
        </w:rPr>
      </w:r>
    </w:p>
    <w:p w:rsidR="00000000" w:rsidDel="00000000" w:rsidP="00000000" w:rsidRDefault="00000000" w:rsidRPr="00000000" w14:paraId="0000001F">
      <w:pPr>
        <w:rPr>
          <w:color w:val="2d3b45"/>
          <w:sz w:val="24"/>
          <w:szCs w:val="24"/>
        </w:rPr>
      </w:pPr>
      <w:r w:rsidDel="00000000" w:rsidR="00000000" w:rsidRPr="00000000">
        <w:rPr>
          <w:rtl w:val="0"/>
        </w:rPr>
      </w:r>
    </w:p>
    <w:p w:rsidR="00000000" w:rsidDel="00000000" w:rsidP="00000000" w:rsidRDefault="00000000" w:rsidRPr="00000000" w14:paraId="00000020">
      <w:pPr>
        <w:rPr>
          <w:color w:val="2d3b45"/>
          <w:sz w:val="24"/>
          <w:szCs w:val="24"/>
        </w:rPr>
      </w:pPr>
      <w:r w:rsidDel="00000000" w:rsidR="00000000" w:rsidRPr="00000000">
        <w:rPr>
          <w:rtl w:val="0"/>
        </w:rPr>
      </w:r>
    </w:p>
    <w:p w:rsidR="00000000" w:rsidDel="00000000" w:rsidP="00000000" w:rsidRDefault="00000000" w:rsidRPr="00000000" w14:paraId="00000021">
      <w:pPr>
        <w:rPr>
          <w:color w:val="2d3b45"/>
          <w:sz w:val="24"/>
          <w:szCs w:val="24"/>
        </w:rPr>
      </w:pPr>
      <w:r w:rsidDel="00000000" w:rsidR="00000000" w:rsidRPr="00000000">
        <w:rPr>
          <w:color w:val="2d3b45"/>
          <w:sz w:val="24"/>
          <w:szCs w:val="24"/>
          <w:rtl w:val="0"/>
        </w:rPr>
        <w:t xml:space="preserve">As shown in the charts, the data can be more readable with the introduction of color, and the different groups can be easily recognized without much cognitive load. </w:t>
      </w:r>
    </w:p>
    <w:p w:rsidR="00000000" w:rsidDel="00000000" w:rsidP="00000000" w:rsidRDefault="00000000" w:rsidRPr="00000000" w14:paraId="00000022">
      <w:pPr>
        <w:rPr>
          <w:color w:val="2d3b45"/>
          <w:sz w:val="24"/>
          <w:szCs w:val="24"/>
        </w:rPr>
      </w:pPr>
      <w:r w:rsidDel="00000000" w:rsidR="00000000" w:rsidRPr="00000000">
        <w:rPr>
          <w:rtl w:val="0"/>
        </w:rPr>
      </w:r>
    </w:p>
    <w:p w:rsidR="00000000" w:rsidDel="00000000" w:rsidP="00000000" w:rsidRDefault="00000000" w:rsidRPr="00000000" w14:paraId="00000023">
      <w:pPr>
        <w:rPr>
          <w:color w:val="2d3b45"/>
          <w:sz w:val="24"/>
          <w:szCs w:val="24"/>
        </w:rPr>
      </w:pPr>
      <w:r w:rsidDel="00000000" w:rsidR="00000000" w:rsidRPr="00000000">
        <w:rPr>
          <w:color w:val="2d3b45"/>
          <w:sz w:val="24"/>
          <w:szCs w:val="24"/>
          <w:rtl w:val="0"/>
        </w:rPr>
        <w:t xml:space="preserve">Practitioners can use similar characteristics and attributes (color, size, shape, etc.) to establish relationships between objects and to reinforce groupings.</w:t>
      </w:r>
    </w:p>
    <w:p w:rsidR="00000000" w:rsidDel="00000000" w:rsidP="00000000" w:rsidRDefault="00000000" w:rsidRPr="00000000" w14:paraId="00000024">
      <w:pPr>
        <w:rPr>
          <w:color w:val="2d3b45"/>
          <w:sz w:val="24"/>
          <w:szCs w:val="24"/>
        </w:rPr>
      </w:pPr>
      <w:r w:rsidDel="00000000" w:rsidR="00000000" w:rsidRPr="00000000">
        <w:rPr>
          <w:rtl w:val="0"/>
        </w:rPr>
      </w:r>
    </w:p>
    <w:p w:rsidR="00000000" w:rsidDel="00000000" w:rsidP="00000000" w:rsidRDefault="00000000" w:rsidRPr="00000000" w14:paraId="00000025">
      <w:pPr>
        <w:rPr>
          <w:color w:val="2d3b45"/>
          <w:sz w:val="24"/>
          <w:szCs w:val="24"/>
        </w:rPr>
      </w:pPr>
      <w:r w:rsidDel="00000000" w:rsidR="00000000" w:rsidRPr="00000000">
        <w:rPr>
          <w:rtl w:val="0"/>
        </w:rPr>
      </w:r>
    </w:p>
    <w:p w:rsidR="00000000" w:rsidDel="00000000" w:rsidP="00000000" w:rsidRDefault="00000000" w:rsidRPr="00000000" w14:paraId="00000026">
      <w:pPr>
        <w:rPr>
          <w:color w:val="2d3b45"/>
          <w:sz w:val="24"/>
          <w:szCs w:val="24"/>
        </w:rPr>
      </w:pPr>
      <w:r w:rsidDel="00000000" w:rsidR="00000000" w:rsidRPr="00000000">
        <w:rPr>
          <w:rtl w:val="0"/>
        </w:rPr>
      </w:r>
    </w:p>
    <w:p w:rsidR="00000000" w:rsidDel="00000000" w:rsidP="00000000" w:rsidRDefault="00000000" w:rsidRPr="00000000" w14:paraId="00000027">
      <w:pPr>
        <w:rPr>
          <w:color w:val="2d3b45"/>
          <w:sz w:val="24"/>
          <w:szCs w:val="24"/>
        </w:rPr>
      </w:pPr>
      <w:r w:rsidDel="00000000" w:rsidR="00000000" w:rsidRPr="00000000">
        <w:rPr>
          <w:rtl w:val="0"/>
        </w:rPr>
      </w:r>
    </w:p>
    <w:p w:rsidR="00000000" w:rsidDel="00000000" w:rsidP="00000000" w:rsidRDefault="00000000" w:rsidRPr="00000000" w14:paraId="00000028">
      <w:pPr>
        <w:rPr>
          <w:color w:val="2d3b45"/>
          <w:sz w:val="24"/>
          <w:szCs w:val="24"/>
        </w:rPr>
      </w:pPr>
      <w:r w:rsidDel="00000000" w:rsidR="00000000" w:rsidRPr="00000000">
        <w:rPr>
          <w:rtl w:val="0"/>
        </w:rPr>
      </w:r>
    </w:p>
    <w:p w:rsidR="00000000" w:rsidDel="00000000" w:rsidP="00000000" w:rsidRDefault="00000000" w:rsidRPr="00000000" w14:paraId="00000029">
      <w:pPr>
        <w:rPr>
          <w:color w:val="2d3b45"/>
          <w:sz w:val="24"/>
          <w:szCs w:val="24"/>
        </w:rPr>
      </w:pPr>
      <w:r w:rsidDel="00000000" w:rsidR="00000000" w:rsidRPr="00000000">
        <w:rPr>
          <w:rtl w:val="0"/>
        </w:rPr>
      </w:r>
    </w:p>
    <w:p w:rsidR="00000000" w:rsidDel="00000000" w:rsidP="00000000" w:rsidRDefault="00000000" w:rsidRPr="00000000" w14:paraId="0000002A">
      <w:pPr>
        <w:rPr>
          <w:color w:val="2d3b45"/>
          <w:sz w:val="24"/>
          <w:szCs w:val="24"/>
        </w:rPr>
      </w:pPr>
      <w:r w:rsidDel="00000000" w:rsidR="00000000" w:rsidRPr="00000000">
        <w:rPr>
          <w:rtl w:val="0"/>
        </w:rPr>
      </w:r>
    </w:p>
    <w:p w:rsidR="00000000" w:rsidDel="00000000" w:rsidP="00000000" w:rsidRDefault="00000000" w:rsidRPr="00000000" w14:paraId="0000002B">
      <w:pPr>
        <w:rPr>
          <w:color w:val="2d3b45"/>
          <w:sz w:val="24"/>
          <w:szCs w:val="24"/>
        </w:rPr>
      </w:pPr>
      <w:r w:rsidDel="00000000" w:rsidR="00000000" w:rsidRPr="00000000">
        <w:rPr>
          <w:rtl w:val="0"/>
        </w:rPr>
      </w:r>
    </w:p>
    <w:p w:rsidR="00000000" w:rsidDel="00000000" w:rsidP="00000000" w:rsidRDefault="00000000" w:rsidRPr="00000000" w14:paraId="0000002C">
      <w:pPr>
        <w:rPr>
          <w:color w:val="2d3b45"/>
          <w:sz w:val="24"/>
          <w:szCs w:val="24"/>
        </w:rPr>
      </w:pPr>
      <w:r w:rsidDel="00000000" w:rsidR="00000000" w:rsidRPr="00000000">
        <w:rPr>
          <w:rtl w:val="0"/>
        </w:rPr>
      </w:r>
    </w:p>
    <w:p w:rsidR="00000000" w:rsidDel="00000000" w:rsidP="00000000" w:rsidRDefault="00000000" w:rsidRPr="00000000" w14:paraId="0000002D">
      <w:pPr>
        <w:rPr>
          <w:color w:val="2d3b45"/>
          <w:sz w:val="24"/>
          <w:szCs w:val="24"/>
        </w:rPr>
      </w:pPr>
      <w:r w:rsidDel="00000000" w:rsidR="00000000" w:rsidRPr="00000000">
        <w:rPr>
          <w:rtl w:val="0"/>
        </w:rPr>
      </w:r>
    </w:p>
    <w:p w:rsidR="00000000" w:rsidDel="00000000" w:rsidP="00000000" w:rsidRDefault="00000000" w:rsidRPr="00000000" w14:paraId="0000002E">
      <w:pPr>
        <w:rPr>
          <w:color w:val="2d3b45"/>
          <w:sz w:val="24"/>
          <w:szCs w:val="24"/>
        </w:rPr>
      </w:pPr>
      <w:r w:rsidDel="00000000" w:rsidR="00000000" w:rsidRPr="00000000">
        <w:rPr>
          <w:rtl w:val="0"/>
        </w:rPr>
      </w:r>
    </w:p>
    <w:p w:rsidR="00000000" w:rsidDel="00000000" w:rsidP="00000000" w:rsidRDefault="00000000" w:rsidRPr="00000000" w14:paraId="0000002F">
      <w:pPr>
        <w:rPr>
          <w:color w:val="2d3b45"/>
          <w:sz w:val="24"/>
          <w:szCs w:val="24"/>
        </w:rPr>
      </w:pPr>
      <w:r w:rsidDel="00000000" w:rsidR="00000000" w:rsidRPr="00000000">
        <w:rPr>
          <w:rtl w:val="0"/>
        </w:rPr>
      </w:r>
    </w:p>
    <w:p w:rsidR="00000000" w:rsidDel="00000000" w:rsidP="00000000" w:rsidRDefault="00000000" w:rsidRPr="00000000" w14:paraId="00000030">
      <w:pPr>
        <w:rPr>
          <w:color w:val="2d3b45"/>
          <w:sz w:val="24"/>
          <w:szCs w:val="24"/>
        </w:rPr>
      </w:pPr>
      <w:r w:rsidDel="00000000" w:rsidR="00000000" w:rsidRPr="00000000">
        <w:rPr>
          <w:rtl w:val="0"/>
        </w:rPr>
      </w:r>
    </w:p>
    <w:p w:rsidR="00000000" w:rsidDel="00000000" w:rsidP="00000000" w:rsidRDefault="00000000" w:rsidRPr="00000000" w14:paraId="00000031">
      <w:pPr>
        <w:numPr>
          <w:ilvl w:val="0"/>
          <w:numId w:val="1"/>
        </w:numPr>
        <w:ind w:left="0" w:hanging="375"/>
        <w:rPr>
          <w:b w:val="1"/>
        </w:rPr>
      </w:pPr>
      <w:r w:rsidDel="00000000" w:rsidR="00000000" w:rsidRPr="00000000">
        <w:rPr>
          <w:b w:val="1"/>
          <w:color w:val="2d3b45"/>
          <w:sz w:val="24"/>
          <w:szCs w:val="24"/>
          <w:u w:val="single"/>
          <w:rtl w:val="0"/>
        </w:rPr>
        <w:t xml:space="preserve">Principle of Enclosure </w:t>
      </w:r>
    </w:p>
    <w:p w:rsidR="00000000" w:rsidDel="00000000" w:rsidP="00000000" w:rsidRDefault="00000000" w:rsidRPr="00000000" w14:paraId="00000032">
      <w:pPr>
        <w:ind w:left="0" w:firstLine="0"/>
        <w:rPr>
          <w:color w:val="2d3b45"/>
          <w:sz w:val="21"/>
          <w:szCs w:val="21"/>
          <w:highlight w:val="white"/>
        </w:rPr>
      </w:pPr>
      <w:r w:rsidDel="00000000" w:rsidR="00000000" w:rsidRPr="00000000">
        <w:rPr>
          <w:color w:val="2d3b45"/>
          <w:sz w:val="21"/>
          <w:szCs w:val="21"/>
          <w:highlight w:val="white"/>
          <w:rtl w:val="0"/>
        </w:rPr>
        <w:t xml:space="preserve">The principle states that we perceive objects as belonging to a group when they are enclosed in a way that creates a boundary or border around them.</w:t>
      </w:r>
    </w:p>
    <w:p w:rsidR="00000000" w:rsidDel="00000000" w:rsidP="00000000" w:rsidRDefault="00000000" w:rsidRPr="00000000" w14:paraId="00000033">
      <w:pPr>
        <w:ind w:left="0" w:firstLine="0"/>
        <w:rPr>
          <w:color w:val="2d3b45"/>
          <w:sz w:val="21"/>
          <w:szCs w:val="21"/>
          <w:highlight w:val="white"/>
        </w:rPr>
      </w:pPr>
      <w:r w:rsidDel="00000000" w:rsidR="00000000" w:rsidRPr="00000000">
        <w:rPr>
          <w:rtl w:val="0"/>
        </w:rPr>
      </w:r>
    </w:p>
    <w:p w:rsidR="00000000" w:rsidDel="00000000" w:rsidP="00000000" w:rsidRDefault="00000000" w:rsidRPr="00000000" w14:paraId="00000034">
      <w:pPr>
        <w:ind w:left="0" w:firstLine="0"/>
        <w:rPr>
          <w:color w:val="2d3b45"/>
          <w:sz w:val="21"/>
          <w:szCs w:val="21"/>
          <w:highlight w:val="white"/>
        </w:rPr>
      </w:pPr>
      <w:r w:rsidDel="00000000" w:rsidR="00000000" w:rsidRPr="00000000">
        <w:rPr>
          <w:color w:val="2d3b45"/>
          <w:sz w:val="21"/>
          <w:szCs w:val="21"/>
          <w:highlight w:val="white"/>
          <w:rtl w:val="0"/>
        </w:rPr>
        <w:t xml:space="preserve">In the chart below, the 3 bars with the orangish shade appear to be part of a group. This is because when we enclose objects with a border or a boundary our mind perceives them as a group. We can use this technique to get the audience to focus on a group of objects in the chart.</w:t>
      </w:r>
    </w:p>
    <w:p w:rsidR="00000000" w:rsidDel="00000000" w:rsidP="00000000" w:rsidRDefault="00000000" w:rsidRPr="00000000" w14:paraId="00000035">
      <w:pPr>
        <w:ind w:left="0" w:firstLine="0"/>
        <w:rPr>
          <w:color w:val="2d3b45"/>
          <w:sz w:val="24"/>
          <w:szCs w:val="24"/>
        </w:rPr>
      </w:pPr>
      <w:r w:rsidDel="00000000" w:rsidR="00000000" w:rsidRPr="00000000">
        <w:rPr>
          <w:color w:val="2d3b45"/>
          <w:sz w:val="24"/>
          <w:szCs w:val="24"/>
        </w:rPr>
        <w:drawing>
          <wp:inline distB="114300" distT="114300" distL="114300" distR="114300">
            <wp:extent cx="5943600" cy="2900363"/>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color w:val="2d3b45"/>
          <w:sz w:val="24"/>
          <w:szCs w:val="24"/>
        </w:rPr>
      </w:pPr>
      <w:r w:rsidDel="00000000" w:rsidR="00000000" w:rsidRPr="00000000">
        <w:rPr>
          <w:rtl w:val="0"/>
        </w:rPr>
      </w:r>
    </w:p>
    <w:p w:rsidR="00000000" w:rsidDel="00000000" w:rsidP="00000000" w:rsidRDefault="00000000" w:rsidRPr="00000000" w14:paraId="00000037">
      <w:pPr>
        <w:ind w:left="0" w:firstLine="0"/>
        <w:rPr>
          <w:color w:val="2d3b45"/>
          <w:sz w:val="24"/>
          <w:szCs w:val="24"/>
        </w:rPr>
      </w:pPr>
      <w:r w:rsidDel="00000000" w:rsidR="00000000" w:rsidRPr="00000000">
        <w:rPr>
          <w:rtl w:val="0"/>
        </w:rPr>
      </w:r>
    </w:p>
    <w:p w:rsidR="00000000" w:rsidDel="00000000" w:rsidP="00000000" w:rsidRDefault="00000000" w:rsidRPr="00000000" w14:paraId="00000038">
      <w:pPr>
        <w:ind w:left="0" w:firstLine="0"/>
        <w:rPr>
          <w:color w:val="2d3b45"/>
          <w:sz w:val="24"/>
          <w:szCs w:val="24"/>
        </w:rPr>
      </w:pPr>
      <w:r w:rsidDel="00000000" w:rsidR="00000000" w:rsidRPr="00000000">
        <w:rPr>
          <w:rtl w:val="0"/>
        </w:rPr>
      </w:r>
    </w:p>
    <w:p w:rsidR="00000000" w:rsidDel="00000000" w:rsidP="00000000" w:rsidRDefault="00000000" w:rsidRPr="00000000" w14:paraId="00000039">
      <w:pPr>
        <w:ind w:left="0" w:firstLine="0"/>
        <w:rPr>
          <w:color w:val="2d3b45"/>
          <w:sz w:val="24"/>
          <w:szCs w:val="24"/>
        </w:rPr>
      </w:pPr>
      <w:r w:rsidDel="00000000" w:rsidR="00000000" w:rsidRPr="00000000">
        <w:rPr>
          <w:rtl w:val="0"/>
        </w:rPr>
      </w:r>
    </w:p>
    <w:p w:rsidR="00000000" w:rsidDel="00000000" w:rsidP="00000000" w:rsidRDefault="00000000" w:rsidRPr="00000000" w14:paraId="0000003A">
      <w:pPr>
        <w:ind w:left="0" w:firstLine="0"/>
        <w:rPr>
          <w:color w:val="2d3b45"/>
          <w:sz w:val="24"/>
          <w:szCs w:val="24"/>
        </w:rPr>
      </w:pPr>
      <w:r w:rsidDel="00000000" w:rsidR="00000000" w:rsidRPr="00000000">
        <w:rPr>
          <w:rtl w:val="0"/>
        </w:rPr>
      </w:r>
    </w:p>
    <w:p w:rsidR="00000000" w:rsidDel="00000000" w:rsidP="00000000" w:rsidRDefault="00000000" w:rsidRPr="00000000" w14:paraId="0000003B">
      <w:pPr>
        <w:ind w:left="0" w:firstLine="0"/>
        <w:rPr>
          <w:color w:val="2d3b45"/>
          <w:sz w:val="24"/>
          <w:szCs w:val="24"/>
        </w:rPr>
      </w:pPr>
      <w:r w:rsidDel="00000000" w:rsidR="00000000" w:rsidRPr="00000000">
        <w:rPr>
          <w:rtl w:val="0"/>
        </w:rPr>
      </w:r>
    </w:p>
    <w:p w:rsidR="00000000" w:rsidDel="00000000" w:rsidP="00000000" w:rsidRDefault="00000000" w:rsidRPr="00000000" w14:paraId="0000003C">
      <w:pPr>
        <w:ind w:left="0" w:firstLine="0"/>
        <w:rPr>
          <w:color w:val="2d3b45"/>
          <w:sz w:val="24"/>
          <w:szCs w:val="24"/>
        </w:rPr>
      </w:pPr>
      <w:r w:rsidDel="00000000" w:rsidR="00000000" w:rsidRPr="00000000">
        <w:rPr>
          <w:rtl w:val="0"/>
        </w:rPr>
      </w:r>
    </w:p>
    <w:p w:rsidR="00000000" w:rsidDel="00000000" w:rsidP="00000000" w:rsidRDefault="00000000" w:rsidRPr="00000000" w14:paraId="0000003D">
      <w:pPr>
        <w:ind w:left="0" w:firstLine="0"/>
        <w:rPr>
          <w:color w:val="2d3b45"/>
          <w:sz w:val="24"/>
          <w:szCs w:val="24"/>
        </w:rPr>
      </w:pPr>
      <w:r w:rsidDel="00000000" w:rsidR="00000000" w:rsidRPr="00000000">
        <w:rPr>
          <w:rtl w:val="0"/>
        </w:rPr>
      </w:r>
    </w:p>
    <w:p w:rsidR="00000000" w:rsidDel="00000000" w:rsidP="00000000" w:rsidRDefault="00000000" w:rsidRPr="00000000" w14:paraId="0000003E">
      <w:pPr>
        <w:ind w:left="0" w:firstLine="0"/>
        <w:rPr>
          <w:color w:val="2d3b45"/>
          <w:sz w:val="24"/>
          <w:szCs w:val="24"/>
        </w:rPr>
      </w:pPr>
      <w:r w:rsidDel="00000000" w:rsidR="00000000" w:rsidRPr="00000000">
        <w:rPr>
          <w:rtl w:val="0"/>
        </w:rPr>
      </w:r>
    </w:p>
    <w:p w:rsidR="00000000" w:rsidDel="00000000" w:rsidP="00000000" w:rsidRDefault="00000000" w:rsidRPr="00000000" w14:paraId="0000003F">
      <w:pPr>
        <w:ind w:left="0" w:firstLine="0"/>
        <w:rPr>
          <w:color w:val="2d3b45"/>
          <w:sz w:val="24"/>
          <w:szCs w:val="24"/>
        </w:rPr>
      </w:pPr>
      <w:r w:rsidDel="00000000" w:rsidR="00000000" w:rsidRPr="00000000">
        <w:rPr>
          <w:rtl w:val="0"/>
        </w:rPr>
      </w:r>
    </w:p>
    <w:p w:rsidR="00000000" w:rsidDel="00000000" w:rsidP="00000000" w:rsidRDefault="00000000" w:rsidRPr="00000000" w14:paraId="00000040">
      <w:pPr>
        <w:ind w:left="0" w:firstLine="0"/>
        <w:rPr>
          <w:color w:val="2d3b45"/>
          <w:sz w:val="24"/>
          <w:szCs w:val="24"/>
        </w:rPr>
      </w:pPr>
      <w:r w:rsidDel="00000000" w:rsidR="00000000" w:rsidRPr="00000000">
        <w:rPr>
          <w:rtl w:val="0"/>
        </w:rPr>
      </w:r>
    </w:p>
    <w:p w:rsidR="00000000" w:rsidDel="00000000" w:rsidP="00000000" w:rsidRDefault="00000000" w:rsidRPr="00000000" w14:paraId="00000041">
      <w:pPr>
        <w:ind w:left="0" w:firstLine="0"/>
        <w:rPr>
          <w:color w:val="2d3b45"/>
          <w:sz w:val="24"/>
          <w:szCs w:val="24"/>
        </w:rPr>
      </w:pPr>
      <w:r w:rsidDel="00000000" w:rsidR="00000000" w:rsidRPr="00000000">
        <w:rPr>
          <w:rtl w:val="0"/>
        </w:rPr>
      </w:r>
    </w:p>
    <w:p w:rsidR="00000000" w:rsidDel="00000000" w:rsidP="00000000" w:rsidRDefault="00000000" w:rsidRPr="00000000" w14:paraId="00000042">
      <w:pPr>
        <w:ind w:left="0" w:firstLine="0"/>
        <w:rPr>
          <w:color w:val="2d3b45"/>
          <w:sz w:val="24"/>
          <w:szCs w:val="24"/>
        </w:rPr>
      </w:pPr>
      <w:r w:rsidDel="00000000" w:rsidR="00000000" w:rsidRPr="00000000">
        <w:rPr>
          <w:rtl w:val="0"/>
        </w:rPr>
      </w:r>
    </w:p>
    <w:p w:rsidR="00000000" w:rsidDel="00000000" w:rsidP="00000000" w:rsidRDefault="00000000" w:rsidRPr="00000000" w14:paraId="00000043">
      <w:pPr>
        <w:ind w:left="0" w:firstLine="0"/>
        <w:rPr>
          <w:color w:val="2d3b45"/>
          <w:sz w:val="24"/>
          <w:szCs w:val="24"/>
        </w:rPr>
      </w:pPr>
      <w:r w:rsidDel="00000000" w:rsidR="00000000" w:rsidRPr="00000000">
        <w:rPr>
          <w:rtl w:val="0"/>
        </w:rPr>
      </w:r>
    </w:p>
    <w:p w:rsidR="00000000" w:rsidDel="00000000" w:rsidP="00000000" w:rsidRDefault="00000000" w:rsidRPr="00000000" w14:paraId="00000044">
      <w:pPr>
        <w:ind w:left="0" w:firstLine="0"/>
        <w:rPr>
          <w:color w:val="2d3b45"/>
          <w:sz w:val="24"/>
          <w:szCs w:val="24"/>
        </w:rPr>
      </w:pPr>
      <w:r w:rsidDel="00000000" w:rsidR="00000000" w:rsidRPr="00000000">
        <w:rPr>
          <w:rtl w:val="0"/>
        </w:rPr>
      </w:r>
    </w:p>
    <w:p w:rsidR="00000000" w:rsidDel="00000000" w:rsidP="00000000" w:rsidRDefault="00000000" w:rsidRPr="00000000" w14:paraId="00000045">
      <w:pPr>
        <w:ind w:left="0" w:firstLine="0"/>
        <w:rPr>
          <w:color w:val="2d3b45"/>
          <w:sz w:val="24"/>
          <w:szCs w:val="24"/>
        </w:rPr>
      </w:pPr>
      <w:r w:rsidDel="00000000" w:rsidR="00000000" w:rsidRPr="00000000">
        <w:rPr>
          <w:rtl w:val="0"/>
        </w:rPr>
      </w:r>
    </w:p>
    <w:p w:rsidR="00000000" w:rsidDel="00000000" w:rsidP="00000000" w:rsidRDefault="00000000" w:rsidRPr="00000000" w14:paraId="00000046">
      <w:pPr>
        <w:ind w:left="0" w:firstLine="0"/>
        <w:rPr>
          <w:color w:val="2d3b45"/>
          <w:sz w:val="24"/>
          <w:szCs w:val="24"/>
        </w:rPr>
      </w:pPr>
      <w:r w:rsidDel="00000000" w:rsidR="00000000" w:rsidRPr="00000000">
        <w:rPr>
          <w:rtl w:val="0"/>
        </w:rPr>
      </w:r>
    </w:p>
    <w:p w:rsidR="00000000" w:rsidDel="00000000" w:rsidP="00000000" w:rsidRDefault="00000000" w:rsidRPr="00000000" w14:paraId="00000047">
      <w:pPr>
        <w:ind w:left="0" w:firstLine="0"/>
        <w:rPr>
          <w:color w:val="2d3b45"/>
          <w:sz w:val="24"/>
          <w:szCs w:val="24"/>
        </w:rPr>
      </w:pPr>
      <w:r w:rsidDel="00000000" w:rsidR="00000000" w:rsidRPr="00000000">
        <w:rPr>
          <w:rtl w:val="0"/>
        </w:rPr>
      </w:r>
    </w:p>
    <w:p w:rsidR="00000000" w:rsidDel="00000000" w:rsidP="00000000" w:rsidRDefault="00000000" w:rsidRPr="00000000" w14:paraId="00000048">
      <w:pPr>
        <w:ind w:left="0" w:firstLine="0"/>
        <w:rPr>
          <w:color w:val="2d3b45"/>
          <w:sz w:val="24"/>
          <w:szCs w:val="24"/>
        </w:rPr>
      </w:pPr>
      <w:r w:rsidDel="00000000" w:rsidR="00000000" w:rsidRPr="00000000">
        <w:rPr>
          <w:rtl w:val="0"/>
        </w:rPr>
      </w:r>
    </w:p>
    <w:p w:rsidR="00000000" w:rsidDel="00000000" w:rsidP="00000000" w:rsidRDefault="00000000" w:rsidRPr="00000000" w14:paraId="00000049">
      <w:pPr>
        <w:numPr>
          <w:ilvl w:val="0"/>
          <w:numId w:val="1"/>
        </w:numPr>
        <w:ind w:left="0" w:hanging="375"/>
        <w:rPr>
          <w:b w:val="1"/>
        </w:rPr>
      </w:pPr>
      <w:r w:rsidDel="00000000" w:rsidR="00000000" w:rsidRPr="00000000">
        <w:rPr>
          <w:b w:val="1"/>
          <w:color w:val="2d3b45"/>
          <w:sz w:val="24"/>
          <w:szCs w:val="24"/>
          <w:u w:val="single"/>
          <w:rtl w:val="0"/>
        </w:rPr>
        <w:t xml:space="preserve">Principle of Continuity </w:t>
      </w:r>
    </w:p>
    <w:p w:rsidR="00000000" w:rsidDel="00000000" w:rsidP="00000000" w:rsidRDefault="00000000" w:rsidRPr="00000000" w14:paraId="0000004A">
      <w:pPr>
        <w:ind w:left="0" w:firstLine="0"/>
        <w:rPr>
          <w:color w:val="2d3b45"/>
          <w:sz w:val="24"/>
          <w:szCs w:val="24"/>
        </w:rPr>
      </w:pPr>
      <w:r w:rsidDel="00000000" w:rsidR="00000000" w:rsidRPr="00000000">
        <w:rPr>
          <w:color w:val="2d3b45"/>
          <w:sz w:val="24"/>
          <w:szCs w:val="24"/>
          <w:rtl w:val="0"/>
        </w:rPr>
        <w:t xml:space="preserve">The law of continuity states that our eyes instinctively group things that are </w:t>
      </w:r>
      <w:r w:rsidDel="00000000" w:rsidR="00000000" w:rsidRPr="00000000">
        <w:rPr>
          <w:color w:val="2d3b45"/>
          <w:sz w:val="24"/>
          <w:szCs w:val="24"/>
          <w:rtl w:val="0"/>
        </w:rPr>
        <w:t xml:space="preserve">aligned with each other.</w:t>
      </w:r>
      <w:r w:rsidDel="00000000" w:rsidR="00000000" w:rsidRPr="00000000">
        <w:rPr>
          <w:color w:val="2d3b45"/>
          <w:sz w:val="24"/>
          <w:szCs w:val="24"/>
          <w:rtl w:val="0"/>
        </w:rPr>
        <w:t xml:space="preserve"> </w:t>
      </w:r>
    </w:p>
    <w:p w:rsidR="00000000" w:rsidDel="00000000" w:rsidP="00000000" w:rsidRDefault="00000000" w:rsidRPr="00000000" w14:paraId="0000004B">
      <w:pPr>
        <w:ind w:left="720" w:firstLine="0"/>
        <w:rPr>
          <w:color w:val="2d3b45"/>
          <w:sz w:val="24"/>
          <w:szCs w:val="24"/>
        </w:rPr>
      </w:pPr>
      <w:r w:rsidDel="00000000" w:rsidR="00000000" w:rsidRPr="00000000">
        <w:rPr>
          <w:rtl w:val="0"/>
        </w:rPr>
      </w:r>
    </w:p>
    <w:p w:rsidR="00000000" w:rsidDel="00000000" w:rsidP="00000000" w:rsidRDefault="00000000" w:rsidRPr="00000000" w14:paraId="0000004C">
      <w:pPr>
        <w:spacing w:line="240" w:lineRule="auto"/>
        <w:rPr>
          <w:color w:val="2d3b45"/>
          <w:sz w:val="24"/>
          <w:szCs w:val="24"/>
        </w:rPr>
      </w:pPr>
      <w:r w:rsidDel="00000000" w:rsidR="00000000" w:rsidRPr="00000000">
        <w:rPr>
          <w:color w:val="2d3b45"/>
          <w:sz w:val="24"/>
          <w:szCs w:val="24"/>
          <w:rtl w:val="0"/>
        </w:rPr>
        <w:t xml:space="preserve">In the chart below, there are abrupt directional changes.</w:t>
      </w:r>
    </w:p>
    <w:p w:rsidR="00000000" w:rsidDel="00000000" w:rsidP="00000000" w:rsidRDefault="00000000" w:rsidRPr="00000000" w14:paraId="0000004D">
      <w:pPr>
        <w:ind w:left="0" w:firstLine="0"/>
        <w:rPr>
          <w:color w:val="2d3b45"/>
          <w:sz w:val="24"/>
          <w:szCs w:val="24"/>
        </w:rPr>
      </w:pPr>
      <w:r w:rsidDel="00000000" w:rsidR="00000000" w:rsidRPr="00000000">
        <w:rPr>
          <w:rtl w:val="0"/>
        </w:rPr>
      </w:r>
    </w:p>
    <w:p w:rsidR="00000000" w:rsidDel="00000000" w:rsidP="00000000" w:rsidRDefault="00000000" w:rsidRPr="00000000" w14:paraId="0000004E">
      <w:pPr>
        <w:rPr>
          <w:color w:val="2d3b45"/>
          <w:sz w:val="24"/>
          <w:szCs w:val="24"/>
        </w:rPr>
      </w:pPr>
      <w:r w:rsidDel="00000000" w:rsidR="00000000" w:rsidRPr="00000000">
        <w:rPr>
          <w:color w:val="2d3b45"/>
          <w:sz w:val="24"/>
          <w:szCs w:val="24"/>
        </w:rPr>
        <w:drawing>
          <wp:inline distB="114300" distT="114300" distL="114300" distR="114300">
            <wp:extent cx="5943600" cy="2247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60" w:line="240" w:lineRule="auto"/>
        <w:rPr>
          <w:color w:val="2d3b45"/>
          <w:sz w:val="24"/>
          <w:szCs w:val="24"/>
        </w:rPr>
      </w:pPr>
      <w:r w:rsidDel="00000000" w:rsidR="00000000" w:rsidRPr="00000000">
        <w:rPr>
          <w:color w:val="2d3b45"/>
          <w:sz w:val="24"/>
          <w:szCs w:val="24"/>
          <w:rtl w:val="0"/>
        </w:rPr>
        <w:t xml:space="preserve">But in the second chart below, the eyes follow a continuous path; it makes the whole chart more readable because of the continuous downward direction</w:t>
      </w:r>
      <w:r w:rsidDel="00000000" w:rsidR="00000000" w:rsidRPr="00000000">
        <w:rPr>
          <w:color w:val="2d3b45"/>
          <w:sz w:val="32"/>
          <w:szCs w:val="32"/>
          <w:rtl w:val="0"/>
        </w:rPr>
        <w:t xml:space="preserve">.</w:t>
      </w:r>
      <w:r w:rsidDel="00000000" w:rsidR="00000000" w:rsidRPr="00000000">
        <w:rPr>
          <w:rtl w:val="0"/>
        </w:rPr>
      </w:r>
    </w:p>
    <w:p w:rsidR="00000000" w:rsidDel="00000000" w:rsidP="00000000" w:rsidRDefault="00000000" w:rsidRPr="00000000" w14:paraId="00000050">
      <w:pPr>
        <w:rPr>
          <w:color w:val="2d3b45"/>
          <w:sz w:val="24"/>
          <w:szCs w:val="24"/>
        </w:rPr>
      </w:pPr>
      <w:r w:rsidDel="00000000" w:rsidR="00000000" w:rsidRPr="00000000">
        <w:rPr>
          <w:color w:val="2d3b45"/>
          <w:sz w:val="24"/>
          <w:szCs w:val="24"/>
        </w:rPr>
        <w:drawing>
          <wp:inline distB="114300" distT="114300" distL="114300" distR="114300">
            <wp:extent cx="5943600" cy="22479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2d3b45"/>
          <w:sz w:val="24"/>
          <w:szCs w:val="24"/>
        </w:rPr>
      </w:pPr>
      <w:r w:rsidDel="00000000" w:rsidR="00000000" w:rsidRPr="00000000">
        <w:rPr>
          <w:rtl w:val="0"/>
        </w:rPr>
      </w:r>
    </w:p>
    <w:p w:rsidR="00000000" w:rsidDel="00000000" w:rsidP="00000000" w:rsidRDefault="00000000" w:rsidRPr="00000000" w14:paraId="00000052">
      <w:pPr>
        <w:rPr>
          <w:color w:val="2d3b45"/>
          <w:sz w:val="24"/>
          <w:szCs w:val="24"/>
        </w:rPr>
      </w:pPr>
      <w:r w:rsidDel="00000000" w:rsidR="00000000" w:rsidRPr="00000000">
        <w:rPr>
          <w:rtl w:val="0"/>
        </w:rPr>
      </w:r>
    </w:p>
    <w:p w:rsidR="00000000" w:rsidDel="00000000" w:rsidP="00000000" w:rsidRDefault="00000000" w:rsidRPr="00000000" w14:paraId="00000053">
      <w:pPr>
        <w:rPr>
          <w:color w:val="2d3b45"/>
          <w:sz w:val="24"/>
          <w:szCs w:val="24"/>
        </w:rPr>
      </w:pPr>
      <w:r w:rsidDel="00000000" w:rsidR="00000000" w:rsidRPr="00000000">
        <w:rPr>
          <w:rtl w:val="0"/>
        </w:rPr>
      </w:r>
    </w:p>
    <w:p w:rsidR="00000000" w:rsidDel="00000000" w:rsidP="00000000" w:rsidRDefault="00000000" w:rsidRPr="00000000" w14:paraId="00000054">
      <w:pPr>
        <w:rPr>
          <w:color w:val="2d3b45"/>
          <w:sz w:val="24"/>
          <w:szCs w:val="24"/>
        </w:rPr>
      </w:pPr>
      <w:r w:rsidDel="00000000" w:rsidR="00000000" w:rsidRPr="00000000">
        <w:rPr>
          <w:rtl w:val="0"/>
        </w:rPr>
      </w:r>
    </w:p>
    <w:p w:rsidR="00000000" w:rsidDel="00000000" w:rsidP="00000000" w:rsidRDefault="00000000" w:rsidRPr="00000000" w14:paraId="00000055">
      <w:pPr>
        <w:rPr>
          <w:color w:val="2d3b45"/>
          <w:sz w:val="24"/>
          <w:szCs w:val="24"/>
        </w:rPr>
      </w:pPr>
      <w:r w:rsidDel="00000000" w:rsidR="00000000" w:rsidRPr="00000000">
        <w:rPr>
          <w:rtl w:val="0"/>
        </w:rPr>
      </w:r>
    </w:p>
    <w:p w:rsidR="00000000" w:rsidDel="00000000" w:rsidP="00000000" w:rsidRDefault="00000000" w:rsidRPr="00000000" w14:paraId="00000056">
      <w:pPr>
        <w:rPr>
          <w:color w:val="2d3b45"/>
          <w:sz w:val="24"/>
          <w:szCs w:val="24"/>
        </w:rPr>
      </w:pPr>
      <w:r w:rsidDel="00000000" w:rsidR="00000000" w:rsidRPr="00000000">
        <w:rPr>
          <w:rtl w:val="0"/>
        </w:rPr>
      </w:r>
    </w:p>
    <w:p w:rsidR="00000000" w:rsidDel="00000000" w:rsidP="00000000" w:rsidRDefault="00000000" w:rsidRPr="00000000" w14:paraId="00000057">
      <w:pPr>
        <w:rPr>
          <w:color w:val="2d3b45"/>
          <w:sz w:val="24"/>
          <w:szCs w:val="24"/>
        </w:rPr>
      </w:pPr>
      <w:r w:rsidDel="00000000" w:rsidR="00000000" w:rsidRPr="00000000">
        <w:rPr>
          <w:rtl w:val="0"/>
        </w:rPr>
      </w:r>
    </w:p>
    <w:p w:rsidR="00000000" w:rsidDel="00000000" w:rsidP="00000000" w:rsidRDefault="00000000" w:rsidRPr="00000000" w14:paraId="00000058">
      <w:pPr>
        <w:rPr>
          <w:color w:val="2d3b45"/>
          <w:sz w:val="24"/>
          <w:szCs w:val="24"/>
        </w:rPr>
      </w:pPr>
      <w:r w:rsidDel="00000000" w:rsidR="00000000" w:rsidRPr="00000000">
        <w:rPr>
          <w:rtl w:val="0"/>
        </w:rPr>
      </w:r>
    </w:p>
    <w:p w:rsidR="00000000" w:rsidDel="00000000" w:rsidP="00000000" w:rsidRDefault="00000000" w:rsidRPr="00000000" w14:paraId="00000059">
      <w:pPr>
        <w:numPr>
          <w:ilvl w:val="0"/>
          <w:numId w:val="1"/>
        </w:numPr>
        <w:ind w:left="0" w:hanging="360"/>
        <w:rPr>
          <w:b w:val="1"/>
        </w:rPr>
      </w:pPr>
      <w:r w:rsidDel="00000000" w:rsidR="00000000" w:rsidRPr="00000000">
        <w:rPr>
          <w:b w:val="1"/>
          <w:color w:val="2d3b45"/>
          <w:sz w:val="24"/>
          <w:szCs w:val="24"/>
          <w:u w:val="single"/>
          <w:rtl w:val="0"/>
        </w:rPr>
        <w:t xml:space="preserve">Principle of Closure </w:t>
      </w:r>
    </w:p>
    <w:p w:rsidR="00000000" w:rsidDel="00000000" w:rsidP="00000000" w:rsidRDefault="00000000" w:rsidRPr="00000000" w14:paraId="0000005A">
      <w:pPr>
        <w:ind w:left="0" w:firstLine="0"/>
        <w:rPr>
          <w:color w:val="2d3b45"/>
          <w:sz w:val="24"/>
          <w:szCs w:val="24"/>
        </w:rPr>
      </w:pPr>
      <w:r w:rsidDel="00000000" w:rsidR="00000000" w:rsidRPr="00000000">
        <w:rPr>
          <w:color w:val="2d3b45"/>
          <w:sz w:val="24"/>
          <w:szCs w:val="24"/>
          <w:rtl w:val="0"/>
        </w:rPr>
        <w:t xml:space="preserve">The principle states that o</w:t>
      </w:r>
      <w:r w:rsidDel="00000000" w:rsidR="00000000" w:rsidRPr="00000000">
        <w:rPr>
          <w:color w:val="2d3b45"/>
          <w:sz w:val="24"/>
          <w:szCs w:val="24"/>
          <w:rtl w:val="0"/>
        </w:rPr>
        <w:t xml:space="preserve">ur minds tend to see complete figures or forms even if a picture is incomplete. One cool example is shown below. We tend to imagine the structure of the bulb even if it’s not actually a bulb. </w:t>
      </w:r>
      <w:r w:rsidDel="00000000" w:rsidR="00000000" w:rsidRPr="00000000">
        <w:rPr>
          <w:rtl w:val="0"/>
        </w:rPr>
      </w:r>
    </w:p>
    <w:p w:rsidR="00000000" w:rsidDel="00000000" w:rsidP="00000000" w:rsidRDefault="00000000" w:rsidRPr="00000000" w14:paraId="0000005B">
      <w:pPr>
        <w:ind w:left="0" w:firstLine="0"/>
        <w:rPr>
          <w:color w:val="2d3b45"/>
          <w:sz w:val="24"/>
          <w:szCs w:val="24"/>
        </w:rPr>
      </w:pPr>
      <w:r w:rsidDel="00000000" w:rsidR="00000000" w:rsidRPr="00000000">
        <w:rPr>
          <w:color w:val="2d3b45"/>
          <w:sz w:val="24"/>
          <w:szCs w:val="24"/>
        </w:rPr>
        <w:drawing>
          <wp:inline distB="114300" distT="114300" distL="114300" distR="114300">
            <wp:extent cx="1892588" cy="2060656"/>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892588" cy="206065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color w:val="2d3b45"/>
          <w:sz w:val="24"/>
          <w:szCs w:val="24"/>
        </w:rPr>
      </w:pPr>
      <w:r w:rsidDel="00000000" w:rsidR="00000000" w:rsidRPr="00000000">
        <w:rPr>
          <w:rtl w:val="0"/>
        </w:rPr>
      </w:r>
    </w:p>
    <w:p w:rsidR="00000000" w:rsidDel="00000000" w:rsidP="00000000" w:rsidRDefault="00000000" w:rsidRPr="00000000" w14:paraId="0000005D">
      <w:pPr>
        <w:ind w:left="0" w:firstLine="0"/>
        <w:rPr>
          <w:color w:val="2d3b45"/>
          <w:sz w:val="24"/>
          <w:szCs w:val="24"/>
        </w:rPr>
      </w:pPr>
      <w:r w:rsidDel="00000000" w:rsidR="00000000" w:rsidRPr="00000000">
        <w:rPr>
          <w:color w:val="2d3b45"/>
          <w:sz w:val="24"/>
          <w:szCs w:val="24"/>
          <w:rtl w:val="0"/>
        </w:rPr>
        <w:t xml:space="preserve">As shown in the below chart, looking at the missing population data for the year </w:t>
      </w:r>
      <w:r w:rsidDel="00000000" w:rsidR="00000000" w:rsidRPr="00000000">
        <w:rPr>
          <w:color w:val="2d3b45"/>
          <w:sz w:val="24"/>
          <w:szCs w:val="24"/>
          <w:rtl w:val="0"/>
        </w:rPr>
        <w:t xml:space="preserve">1970, our minds automatically imagine a line connecting the 2 broken lines. Hence, we must be careful when showing graphs with breaks because our minds tend to form complete shapes even if the shape is incomplete and data could vary in between.</w:t>
      </w:r>
      <w:r w:rsidDel="00000000" w:rsidR="00000000" w:rsidRPr="00000000">
        <w:rPr>
          <w:rtl w:val="0"/>
        </w:rPr>
      </w:r>
    </w:p>
    <w:p w:rsidR="00000000" w:rsidDel="00000000" w:rsidP="00000000" w:rsidRDefault="00000000" w:rsidRPr="00000000" w14:paraId="0000005E">
      <w:pPr>
        <w:rPr>
          <w:color w:val="2d3b45"/>
          <w:sz w:val="24"/>
          <w:szCs w:val="24"/>
        </w:rPr>
      </w:pPr>
      <w:r w:rsidDel="00000000" w:rsidR="00000000" w:rsidRPr="00000000">
        <w:rPr>
          <w:rtl w:val="0"/>
        </w:rPr>
      </w:r>
    </w:p>
    <w:p w:rsidR="00000000" w:rsidDel="00000000" w:rsidP="00000000" w:rsidRDefault="00000000" w:rsidRPr="00000000" w14:paraId="0000005F">
      <w:pPr>
        <w:rPr>
          <w:color w:val="2d3b45"/>
          <w:sz w:val="24"/>
          <w:szCs w:val="24"/>
        </w:rPr>
      </w:pPr>
      <w:r w:rsidDel="00000000" w:rsidR="00000000" w:rsidRPr="00000000">
        <w:rPr>
          <w:color w:val="2d3b45"/>
          <w:sz w:val="24"/>
          <w:szCs w:val="24"/>
        </w:rPr>
        <w:drawing>
          <wp:inline distB="114300" distT="114300" distL="114300" distR="114300">
            <wp:extent cx="4891088" cy="3174504"/>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91088"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2d3b45"/>
          <w:sz w:val="24"/>
          <w:szCs w:val="24"/>
        </w:rPr>
      </w:pPr>
      <w:r w:rsidDel="00000000" w:rsidR="00000000" w:rsidRPr="00000000">
        <w:rPr>
          <w:rtl w:val="0"/>
        </w:rPr>
      </w:r>
    </w:p>
    <w:p w:rsidR="00000000" w:rsidDel="00000000" w:rsidP="00000000" w:rsidRDefault="00000000" w:rsidRPr="00000000" w14:paraId="00000061">
      <w:pPr>
        <w:rPr>
          <w:color w:val="2d3b45"/>
          <w:sz w:val="24"/>
          <w:szCs w:val="24"/>
        </w:rPr>
      </w:pPr>
      <w:r w:rsidDel="00000000" w:rsidR="00000000" w:rsidRPr="00000000">
        <w:rPr>
          <w:rtl w:val="0"/>
        </w:rPr>
      </w:r>
    </w:p>
    <w:p w:rsidR="00000000" w:rsidDel="00000000" w:rsidP="00000000" w:rsidRDefault="00000000" w:rsidRPr="00000000" w14:paraId="00000062">
      <w:pPr>
        <w:rPr>
          <w:color w:val="2d3b45"/>
          <w:sz w:val="24"/>
          <w:szCs w:val="24"/>
        </w:rPr>
      </w:pPr>
      <w:r w:rsidDel="00000000" w:rsidR="00000000" w:rsidRPr="00000000">
        <w:rPr>
          <w:rtl w:val="0"/>
        </w:rPr>
      </w:r>
    </w:p>
    <w:p w:rsidR="00000000" w:rsidDel="00000000" w:rsidP="00000000" w:rsidRDefault="00000000" w:rsidRPr="00000000" w14:paraId="00000063">
      <w:pPr>
        <w:rPr>
          <w:color w:val="2d3b45"/>
          <w:sz w:val="24"/>
          <w:szCs w:val="24"/>
        </w:rPr>
      </w:pPr>
      <w:r w:rsidDel="00000000" w:rsidR="00000000" w:rsidRPr="00000000">
        <w:rPr>
          <w:rtl w:val="0"/>
        </w:rPr>
      </w:r>
    </w:p>
    <w:p w:rsidR="00000000" w:rsidDel="00000000" w:rsidP="00000000" w:rsidRDefault="00000000" w:rsidRPr="00000000" w14:paraId="00000064">
      <w:pPr>
        <w:numPr>
          <w:ilvl w:val="0"/>
          <w:numId w:val="1"/>
        </w:numPr>
        <w:ind w:left="0" w:hanging="360"/>
        <w:rPr>
          <w:b w:val="1"/>
        </w:rPr>
      </w:pPr>
      <w:r w:rsidDel="00000000" w:rsidR="00000000" w:rsidRPr="00000000">
        <w:rPr>
          <w:b w:val="1"/>
          <w:color w:val="2d3b45"/>
          <w:sz w:val="24"/>
          <w:szCs w:val="24"/>
          <w:u w:val="single"/>
          <w:rtl w:val="0"/>
        </w:rPr>
        <w:t xml:space="preserve">Figure and Ground </w:t>
      </w:r>
    </w:p>
    <w:p w:rsidR="00000000" w:rsidDel="00000000" w:rsidP="00000000" w:rsidRDefault="00000000" w:rsidRPr="00000000" w14:paraId="00000065">
      <w:pPr>
        <w:ind w:left="0" w:firstLine="0"/>
        <w:rPr>
          <w:color w:val="2d3b45"/>
          <w:sz w:val="24"/>
          <w:szCs w:val="24"/>
        </w:rPr>
      </w:pPr>
      <w:r w:rsidDel="00000000" w:rsidR="00000000" w:rsidRPr="00000000">
        <w:rPr>
          <w:color w:val="2d3b45"/>
          <w:sz w:val="24"/>
          <w:szCs w:val="24"/>
          <w:rtl w:val="0"/>
        </w:rPr>
        <w:t xml:space="preserve">The Figure and Ground Principle describes the capacity to perceive the relationship between form and surrounding space to create meaning.The ‘figure’ is the focus element, while the ‘ground’ is the figure’s background.</w:t>
      </w:r>
      <w:r w:rsidDel="00000000" w:rsidR="00000000" w:rsidRPr="00000000">
        <w:rPr>
          <w:rtl w:val="0"/>
        </w:rPr>
      </w:r>
    </w:p>
    <w:p w:rsidR="00000000" w:rsidDel="00000000" w:rsidP="00000000" w:rsidRDefault="00000000" w:rsidRPr="00000000" w14:paraId="00000066">
      <w:pPr>
        <w:ind w:left="0" w:firstLine="0"/>
        <w:rPr>
          <w:color w:val="2d3b45"/>
          <w:sz w:val="24"/>
          <w:szCs w:val="24"/>
        </w:rPr>
      </w:pPr>
      <w:r w:rsidDel="00000000" w:rsidR="00000000" w:rsidRPr="00000000">
        <w:rPr>
          <w:color w:val="2d3b45"/>
          <w:sz w:val="24"/>
          <w:szCs w:val="24"/>
        </w:rPr>
        <w:drawing>
          <wp:inline distB="114300" distT="114300" distL="114300" distR="114300">
            <wp:extent cx="5943600" cy="21082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color w:val="2d3b45"/>
          <w:sz w:val="24"/>
          <w:szCs w:val="24"/>
        </w:rPr>
      </w:pPr>
      <w:r w:rsidDel="00000000" w:rsidR="00000000" w:rsidRPr="00000000">
        <w:rPr>
          <w:color w:val="2d3b45"/>
          <w:sz w:val="24"/>
          <w:szCs w:val="24"/>
          <w:rtl w:val="0"/>
        </w:rPr>
        <w:t xml:space="preserve">The low contrast between the figure (area graph) and background (sheet color) in the left chart</w:t>
      </w:r>
      <w:r w:rsidDel="00000000" w:rsidR="00000000" w:rsidRPr="00000000">
        <w:rPr>
          <w:color w:val="2d3b45"/>
          <w:sz w:val="24"/>
          <w:szCs w:val="24"/>
          <w:rtl w:val="0"/>
        </w:rPr>
        <w:t xml:space="preserve"> demands</w:t>
      </w:r>
      <w:r w:rsidDel="00000000" w:rsidR="00000000" w:rsidRPr="00000000">
        <w:rPr>
          <w:color w:val="2d3b45"/>
          <w:sz w:val="24"/>
          <w:szCs w:val="24"/>
          <w:rtl w:val="0"/>
        </w:rPr>
        <w:t xml:space="preserve"> cognitive load. While the second chart with increased/decreased contrast between the figure and ground increases the readability. </w:t>
      </w:r>
    </w:p>
    <w:p w:rsidR="00000000" w:rsidDel="00000000" w:rsidP="00000000" w:rsidRDefault="00000000" w:rsidRPr="00000000" w14:paraId="00000068">
      <w:pPr>
        <w:ind w:left="0" w:firstLine="0"/>
        <w:rPr>
          <w:color w:val="2d3b45"/>
          <w:sz w:val="24"/>
          <w:szCs w:val="24"/>
        </w:rPr>
      </w:pPr>
      <w:r w:rsidDel="00000000" w:rsidR="00000000" w:rsidRPr="00000000">
        <w:rPr>
          <w:rtl w:val="0"/>
        </w:rPr>
      </w:r>
    </w:p>
    <w:p w:rsidR="00000000" w:rsidDel="00000000" w:rsidP="00000000" w:rsidRDefault="00000000" w:rsidRPr="00000000" w14:paraId="00000069">
      <w:pPr>
        <w:numPr>
          <w:ilvl w:val="0"/>
          <w:numId w:val="1"/>
        </w:numPr>
        <w:ind w:left="0" w:hanging="360"/>
        <w:rPr>
          <w:b w:val="1"/>
        </w:rPr>
      </w:pPr>
      <w:r w:rsidDel="00000000" w:rsidR="00000000" w:rsidRPr="00000000">
        <w:rPr>
          <w:b w:val="1"/>
          <w:color w:val="2d3b45"/>
          <w:sz w:val="24"/>
          <w:szCs w:val="24"/>
          <w:u w:val="single"/>
          <w:rtl w:val="0"/>
        </w:rPr>
        <w:t xml:space="preserve">Principle of Symmetry </w:t>
      </w:r>
    </w:p>
    <w:p w:rsidR="00000000" w:rsidDel="00000000" w:rsidP="00000000" w:rsidRDefault="00000000" w:rsidRPr="00000000" w14:paraId="0000006A">
      <w:pPr>
        <w:ind w:left="0" w:firstLine="0"/>
        <w:rPr>
          <w:color w:val="2d3b45"/>
          <w:sz w:val="24"/>
          <w:szCs w:val="24"/>
        </w:rPr>
      </w:pPr>
      <w:r w:rsidDel="00000000" w:rsidR="00000000" w:rsidRPr="00000000">
        <w:rPr>
          <w:color w:val="2d3b45"/>
          <w:sz w:val="24"/>
          <w:szCs w:val="24"/>
          <w:rtl w:val="0"/>
        </w:rPr>
        <w:t xml:space="preserve">The principle states that objects that are balanced and symmetrical are seen as complete or whole.</w:t>
      </w:r>
    </w:p>
    <w:p w:rsidR="00000000" w:rsidDel="00000000" w:rsidP="00000000" w:rsidRDefault="00000000" w:rsidRPr="00000000" w14:paraId="0000006B">
      <w:pPr>
        <w:ind w:left="0" w:firstLine="0"/>
        <w:rPr>
          <w:color w:val="2d3b45"/>
          <w:sz w:val="24"/>
          <w:szCs w:val="24"/>
        </w:rPr>
      </w:pPr>
      <w:r w:rsidDel="00000000" w:rsidR="00000000" w:rsidRPr="00000000">
        <w:rPr>
          <w:color w:val="3a3a3a"/>
          <w:sz w:val="24"/>
          <w:szCs w:val="24"/>
          <w:highlight w:val="white"/>
          <w:rtl w:val="0"/>
        </w:rPr>
        <w:t xml:space="preserve">The below chart shows the population pyramid of male population data to the left (negative x values) and female population data to the right. This creates a pyramid-like shape, stronger than two separate charts.</w:t>
      </w:r>
      <w:r w:rsidDel="00000000" w:rsidR="00000000" w:rsidRPr="00000000">
        <w:rPr>
          <w:rtl w:val="0"/>
        </w:rPr>
      </w:r>
    </w:p>
    <w:p w:rsidR="00000000" w:rsidDel="00000000" w:rsidP="00000000" w:rsidRDefault="00000000" w:rsidRPr="00000000" w14:paraId="0000006C">
      <w:pPr>
        <w:ind w:left="0" w:firstLine="0"/>
        <w:rPr>
          <w:color w:val="2d3b45"/>
          <w:sz w:val="24"/>
          <w:szCs w:val="24"/>
        </w:rPr>
      </w:pPr>
      <w:r w:rsidDel="00000000" w:rsidR="00000000" w:rsidRPr="00000000">
        <w:rPr>
          <w:color w:val="2d3b45"/>
          <w:sz w:val="24"/>
          <w:szCs w:val="24"/>
        </w:rPr>
        <w:drawing>
          <wp:inline distB="114300" distT="114300" distL="114300" distR="114300">
            <wp:extent cx="4376738" cy="3107203"/>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76738" cy="31072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ind w:left="0" w:hanging="360"/>
        <w:rPr>
          <w:b w:val="1"/>
        </w:rPr>
      </w:pPr>
      <w:r w:rsidDel="00000000" w:rsidR="00000000" w:rsidRPr="00000000">
        <w:rPr>
          <w:b w:val="1"/>
          <w:color w:val="2d3b45"/>
          <w:sz w:val="24"/>
          <w:szCs w:val="24"/>
          <w:u w:val="single"/>
          <w:rtl w:val="0"/>
        </w:rPr>
        <w:t xml:space="preserve">Principle of Focal Point</w:t>
      </w:r>
    </w:p>
    <w:p w:rsidR="00000000" w:rsidDel="00000000" w:rsidP="00000000" w:rsidRDefault="00000000" w:rsidRPr="00000000" w14:paraId="0000006E">
      <w:pPr>
        <w:ind w:left="0" w:firstLine="0"/>
        <w:rPr>
          <w:color w:val="2d3b45"/>
          <w:sz w:val="24"/>
          <w:szCs w:val="24"/>
        </w:rPr>
      </w:pPr>
      <w:r w:rsidDel="00000000" w:rsidR="00000000" w:rsidRPr="00000000">
        <w:rPr>
          <w:color w:val="2d3b45"/>
          <w:sz w:val="24"/>
          <w:szCs w:val="24"/>
          <w:rtl w:val="0"/>
        </w:rPr>
        <w:t xml:space="preserve">The Focal Point principle states that whatever stands out visually will be given priority attention by the audience.</w:t>
      </w:r>
    </w:p>
    <w:p w:rsidR="00000000" w:rsidDel="00000000" w:rsidP="00000000" w:rsidRDefault="00000000" w:rsidRPr="00000000" w14:paraId="0000006F">
      <w:pPr>
        <w:ind w:left="0" w:firstLine="0"/>
        <w:rPr>
          <w:color w:val="2d3b45"/>
          <w:sz w:val="24"/>
          <w:szCs w:val="24"/>
        </w:rPr>
      </w:pPr>
      <w:r w:rsidDel="00000000" w:rsidR="00000000" w:rsidRPr="00000000">
        <w:rPr>
          <w:rtl w:val="0"/>
        </w:rPr>
      </w:r>
    </w:p>
    <w:p w:rsidR="00000000" w:rsidDel="00000000" w:rsidP="00000000" w:rsidRDefault="00000000" w:rsidRPr="00000000" w14:paraId="00000070">
      <w:pPr>
        <w:ind w:left="0" w:firstLine="0"/>
        <w:rPr>
          <w:color w:val="2d3b45"/>
          <w:sz w:val="24"/>
          <w:szCs w:val="24"/>
        </w:rPr>
      </w:pPr>
      <w:r w:rsidDel="00000000" w:rsidR="00000000" w:rsidRPr="00000000">
        <w:rPr>
          <w:color w:val="2d3b45"/>
          <w:sz w:val="24"/>
          <w:szCs w:val="24"/>
          <w:rtl w:val="0"/>
        </w:rPr>
        <w:t xml:space="preserve">The difference between the two charts below is that the attention is likely drawn to the United States because the author imposes a focal point using color to successfully deliver a story. </w:t>
      </w:r>
    </w:p>
    <w:p w:rsidR="00000000" w:rsidDel="00000000" w:rsidP="00000000" w:rsidRDefault="00000000" w:rsidRPr="00000000" w14:paraId="00000071">
      <w:pPr>
        <w:ind w:left="0" w:firstLine="0"/>
        <w:rPr>
          <w:color w:val="2d3b45"/>
          <w:sz w:val="24"/>
          <w:szCs w:val="24"/>
        </w:rPr>
      </w:pPr>
      <w:r w:rsidDel="00000000" w:rsidR="00000000" w:rsidRPr="00000000">
        <w:rPr>
          <w:color w:val="2d3b45"/>
          <w:sz w:val="24"/>
          <w:szCs w:val="24"/>
        </w:rPr>
        <w:drawing>
          <wp:inline distB="114300" distT="114300" distL="114300" distR="114300">
            <wp:extent cx="4576763" cy="3228011"/>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76763" cy="322801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color w:val="2d3b45"/>
          <w:sz w:val="24"/>
          <w:szCs w:val="24"/>
        </w:rPr>
        <w:drawing>
          <wp:inline distB="114300" distT="114300" distL="114300" distR="114300">
            <wp:extent cx="4662488" cy="3279399"/>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662488" cy="32793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