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C20655" w14:textId="77777777" w:rsidR="00B75341" w:rsidRPr="00F30CE2" w:rsidRDefault="00000000">
      <w:pPr>
        <w:spacing w:after="20"/>
        <w:jc w:val="center"/>
        <w:rPr>
          <w:rFonts w:ascii="SF Pro" w:hAnsi="SF Pro"/>
        </w:rPr>
      </w:pPr>
      <w:r w:rsidRPr="00F30CE2">
        <w:rPr>
          <w:rFonts w:ascii="SF Pro" w:hAnsi="SF Pro"/>
          <w:b/>
          <w:bCs/>
          <w:color w:val="1A1A1A"/>
          <w:sz w:val="40"/>
          <w:szCs w:val="40"/>
        </w:rPr>
        <w:t>PRASAD MK</w:t>
      </w:r>
    </w:p>
    <w:p w14:paraId="7079B429" w14:textId="10DF0FF1" w:rsidR="00B75341" w:rsidRPr="00F30CE2" w:rsidRDefault="007F6CE4" w:rsidP="00D15ED1">
      <w:pPr>
        <w:spacing w:after="20"/>
        <w:jc w:val="center"/>
        <w:rPr>
          <w:rFonts w:ascii="SF Pro" w:hAnsi="SF Pro"/>
        </w:rPr>
      </w:pPr>
      <w:r w:rsidRPr="007F6CE4">
        <w:rPr>
          <w:rFonts w:ascii="SF Pro" w:hAnsi="SF Pro"/>
          <w:b/>
          <w:bCs/>
          <w:color w:val="0066CC"/>
        </w:rPr>
        <w:t>Solution Architect · Agentic AI &amp; Backend · SRE, Infrastructure &amp; Platform Engineer</w:t>
      </w:r>
    </w:p>
    <w:p w14:paraId="08016C1A" w14:textId="77777777" w:rsidR="00B75341" w:rsidRPr="00F30CE2" w:rsidRDefault="00000000">
      <w:pPr>
        <w:spacing w:after="160"/>
        <w:jc w:val="center"/>
        <w:rPr>
          <w:rFonts w:ascii="SF Pro" w:hAnsi="SF Pro"/>
        </w:rPr>
      </w:pPr>
      <w:r w:rsidRPr="00F30CE2">
        <w:rPr>
          <w:rFonts w:ascii="SF Pro" w:hAnsi="SF Pro"/>
          <w:color w:val="595959"/>
          <w:sz w:val="17"/>
          <w:szCs w:val="17"/>
        </w:rPr>
        <w:t>Rocklin, CA  •  +1 (279) 245-9209  •  prasad.rocklin@gmail.com  •  linkedin.com/in/prasad-m-k  •  github.com/prasad-m-k</w:t>
      </w:r>
    </w:p>
    <w:p w14:paraId="399CE7CE" w14:textId="77777777" w:rsidR="00B75341" w:rsidRPr="00F30CE2" w:rsidRDefault="00000000">
      <w:pPr>
        <w:pBdr>
          <w:bottom w:val="single" w:sz="6" w:space="2" w:color="0066CC"/>
        </w:pBdr>
        <w:spacing w:before="200" w:after="80"/>
        <w:rPr>
          <w:rFonts w:ascii="SF Pro" w:hAnsi="SF Pro"/>
        </w:rPr>
      </w:pPr>
      <w:r w:rsidRPr="00F30CE2">
        <w:rPr>
          <w:rFonts w:ascii="SF Pro" w:hAnsi="SF Pro"/>
          <w:b/>
          <w:bCs/>
          <w:color w:val="0066CC"/>
          <w:sz w:val="20"/>
          <w:szCs w:val="20"/>
        </w:rPr>
        <w:t>SUMMARY</w:t>
      </w:r>
    </w:p>
    <w:p w14:paraId="537592D1" w14:textId="38116928" w:rsidR="00B75341" w:rsidRPr="00F30CE2" w:rsidRDefault="00A8740C">
      <w:pPr>
        <w:spacing w:after="100"/>
        <w:rPr>
          <w:rFonts w:ascii="SF Pro" w:hAnsi="SF Pro"/>
        </w:rPr>
      </w:pPr>
      <w:r w:rsidRPr="00F30CE2">
        <w:rPr>
          <w:rFonts w:ascii="SF Pro" w:hAnsi="SF Pro"/>
          <w:color w:val="1A1A1A"/>
        </w:rPr>
        <w:t xml:space="preserve">Technologist with 25+ years designing, operating, and scaling large-scale distributed systems, including 8 years as sole SRE owner of a multitenant AIOps SaaS platform holding 99.99% uptime across the Americas. Owned full-lifecycle production readiness, capacity planning, and on-call incident response for a platform processing 8TB/day at sub-second latency, cutting incident resolution time 45% and replacing manual toil with automation to save $2.1M a year in infrastructure cost. Directly supported Apple's own tenancy on this platform, keeping Operations Agent and Performance Agent telemetry flowing through Cloud Optimizer into Apple's Vertica data farm. Now building agentic AI backend services on AWS Bedrock with multi-agent orchestration and RAG </w:t>
      </w:r>
      <w:proofErr w:type="gramStart"/>
      <w:r w:rsidRPr="00F30CE2">
        <w:rPr>
          <w:rFonts w:ascii="SF Pro" w:hAnsi="SF Pro"/>
          <w:color w:val="1A1A1A"/>
        </w:rPr>
        <w:t>pipelines, and</w:t>
      </w:r>
      <w:proofErr w:type="gramEnd"/>
      <w:r w:rsidRPr="00F30CE2">
        <w:rPr>
          <w:rFonts w:ascii="SF Pro" w:hAnsi="SF Pro"/>
          <w:color w:val="1A1A1A"/>
        </w:rPr>
        <w:t xml:space="preserve"> driving AI-assisted tooling adoption into day-to-day reliability workflows. Published researcher on AI agent security policy and trust-boundary frameworks, with a pending patent on Generation-Bound Cache Invalidation.</w:t>
      </w:r>
    </w:p>
    <w:p w14:paraId="608E329E" w14:textId="77777777" w:rsidR="00B75341" w:rsidRPr="00F30CE2" w:rsidRDefault="00000000">
      <w:pPr>
        <w:pBdr>
          <w:bottom w:val="single" w:sz="6" w:space="2" w:color="0066CC"/>
        </w:pBdr>
        <w:spacing w:before="200" w:after="80"/>
        <w:rPr>
          <w:rFonts w:ascii="SF Pro" w:hAnsi="SF Pro"/>
        </w:rPr>
      </w:pPr>
      <w:r w:rsidRPr="00F30CE2">
        <w:rPr>
          <w:rFonts w:ascii="SF Pro" w:hAnsi="SF Pro"/>
          <w:b/>
          <w:bCs/>
          <w:color w:val="0066CC"/>
          <w:sz w:val="20"/>
          <w:szCs w:val="20"/>
        </w:rPr>
        <w:t>TECHNICAL SKILLS</w:t>
      </w:r>
    </w:p>
    <w:tbl>
      <w:tblPr>
        <w:tblW w:w="10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975"/>
      </w:tblGrid>
      <w:tr w:rsidR="00B75341" w:rsidRPr="00F30CE2" w14:paraId="48FC3FE9" w14:textId="77777777" w:rsidTr="00A8740C">
        <w:tc>
          <w:tcPr>
            <w:tcW w:w="2000" w:type="dxa"/>
            <w:tcBorders>
              <w:top w:val="single" w:sz="2" w:space="0" w:color="E0E0E0"/>
              <w:bottom w:val="single" w:sz="2" w:space="0" w:color="E0E0E0"/>
              <w:right w:val="single" w:sz="2" w:space="0" w:color="E0E0E0"/>
            </w:tcBorders>
            <w:shd w:val="clear" w:color="auto" w:fill="FFFFFF"/>
            <w:tcMar>
              <w:top w:w="40" w:type="dxa"/>
              <w:left w:w="60" w:type="dxa"/>
              <w:bottom w:w="40" w:type="dxa"/>
              <w:right w:w="60" w:type="dxa"/>
            </w:tcMar>
          </w:tcPr>
          <w:p w14:paraId="4A38B74E" w14:textId="77777777" w:rsidR="00B75341" w:rsidRPr="00F30CE2" w:rsidRDefault="00000000">
            <w:pPr>
              <w:rPr>
                <w:rFonts w:ascii="SF Pro" w:hAnsi="SF Pro"/>
              </w:rPr>
            </w:pPr>
            <w:r w:rsidRPr="00F30CE2">
              <w:rPr>
                <w:rFonts w:ascii="SF Pro" w:hAnsi="SF Pro"/>
                <w:b/>
                <w:bCs/>
                <w:color w:val="1A1A1A"/>
                <w:sz w:val="18"/>
                <w:szCs w:val="18"/>
              </w:rPr>
              <w:t>Languages</w:t>
            </w:r>
          </w:p>
        </w:tc>
        <w:tc>
          <w:tcPr>
            <w:tcW w:w="8975" w:type="dxa"/>
            <w:tcBorders>
              <w:top w:val="single" w:sz="2" w:space="0" w:color="E0E0E0"/>
              <w:bottom w:val="single" w:sz="2" w:space="0" w:color="E0E0E0"/>
            </w:tcBorders>
            <w:shd w:val="clear" w:color="auto" w:fill="FFFFFF"/>
            <w:tcMar>
              <w:top w:w="40" w:type="dxa"/>
              <w:left w:w="60" w:type="dxa"/>
              <w:bottom w:w="40" w:type="dxa"/>
              <w:right w:w="60" w:type="dxa"/>
            </w:tcMar>
          </w:tcPr>
          <w:p w14:paraId="7CDD185A" w14:textId="22AF8BAD" w:rsidR="00B75341" w:rsidRPr="00F30CE2" w:rsidRDefault="00000000">
            <w:pPr>
              <w:rPr>
                <w:rFonts w:ascii="SF Pro" w:hAnsi="SF Pro"/>
              </w:rPr>
            </w:pPr>
            <w:r w:rsidRPr="00F30CE2">
              <w:rPr>
                <w:rFonts w:ascii="SF Pro" w:hAnsi="SF Pro"/>
                <w:color w:val="1A1A1A"/>
                <w:sz w:val="18"/>
                <w:szCs w:val="18"/>
              </w:rPr>
              <w:t>Python, Go, Java (Spring Boot), Bash, Perl, C/C++, SQL</w:t>
            </w:r>
            <w:r w:rsidR="00A8740C" w:rsidRPr="00F30CE2">
              <w:rPr>
                <w:rFonts w:ascii="SF Pro" w:hAnsi="SF Pro"/>
                <w:color w:val="1A1A1A"/>
                <w:sz w:val="18"/>
                <w:szCs w:val="18"/>
              </w:rPr>
              <w:t xml:space="preserve">, </w:t>
            </w:r>
            <w:proofErr w:type="spellStart"/>
            <w:r w:rsidR="00A8740C" w:rsidRPr="00F30CE2">
              <w:rPr>
                <w:rFonts w:ascii="SF Pro" w:hAnsi="SF Pro"/>
                <w:color w:val="1A1A1A"/>
                <w:sz w:val="18"/>
                <w:szCs w:val="18"/>
              </w:rPr>
              <w:t>Javascript</w:t>
            </w:r>
            <w:proofErr w:type="spellEnd"/>
          </w:p>
        </w:tc>
      </w:tr>
      <w:tr w:rsidR="00B75341" w:rsidRPr="00F30CE2" w14:paraId="12D201E7" w14:textId="77777777" w:rsidTr="00A8740C">
        <w:tc>
          <w:tcPr>
            <w:tcW w:w="2000" w:type="dxa"/>
            <w:tcBorders>
              <w:top w:val="single" w:sz="2" w:space="0" w:color="E0E0E0"/>
              <w:bottom w:val="single" w:sz="2" w:space="0" w:color="E0E0E0"/>
              <w:right w:val="single" w:sz="2" w:space="0" w:color="E0E0E0"/>
            </w:tcBorders>
            <w:shd w:val="clear" w:color="auto" w:fill="FFFFFF"/>
            <w:tcMar>
              <w:top w:w="40" w:type="dxa"/>
              <w:left w:w="60" w:type="dxa"/>
              <w:bottom w:w="40" w:type="dxa"/>
              <w:right w:w="60" w:type="dxa"/>
            </w:tcMar>
          </w:tcPr>
          <w:p w14:paraId="102CBA38" w14:textId="6E5A2A31" w:rsidR="00B75341" w:rsidRPr="00F30CE2" w:rsidRDefault="00000000">
            <w:pPr>
              <w:rPr>
                <w:rFonts w:ascii="SF Pro" w:hAnsi="SF Pro"/>
              </w:rPr>
            </w:pPr>
            <w:r w:rsidRPr="00F30CE2">
              <w:rPr>
                <w:rFonts w:ascii="SF Pro" w:hAnsi="SF Pro"/>
                <w:b/>
                <w:bCs/>
                <w:color w:val="1A1A1A"/>
                <w:sz w:val="18"/>
                <w:szCs w:val="18"/>
              </w:rPr>
              <w:t>AI/Agentic Systems</w:t>
            </w:r>
          </w:p>
        </w:tc>
        <w:tc>
          <w:tcPr>
            <w:tcW w:w="8975" w:type="dxa"/>
            <w:tcBorders>
              <w:top w:val="single" w:sz="2" w:space="0" w:color="E0E0E0"/>
              <w:bottom w:val="single" w:sz="2" w:space="0" w:color="E0E0E0"/>
            </w:tcBorders>
            <w:shd w:val="clear" w:color="auto" w:fill="FFFFFF"/>
            <w:tcMar>
              <w:top w:w="40" w:type="dxa"/>
              <w:left w:w="60" w:type="dxa"/>
              <w:bottom w:w="40" w:type="dxa"/>
              <w:right w:w="60" w:type="dxa"/>
            </w:tcMar>
          </w:tcPr>
          <w:p w14:paraId="1EF0B164" w14:textId="77777777" w:rsidR="00B75341" w:rsidRPr="00F30CE2" w:rsidRDefault="00000000">
            <w:pPr>
              <w:rPr>
                <w:rFonts w:ascii="SF Pro" w:hAnsi="SF Pro"/>
              </w:rPr>
            </w:pPr>
            <w:r w:rsidRPr="00F30CE2">
              <w:rPr>
                <w:rFonts w:ascii="SF Pro" w:hAnsi="SF Pro"/>
                <w:color w:val="1A1A1A"/>
                <w:sz w:val="18"/>
                <w:szCs w:val="18"/>
              </w:rPr>
              <w:t>AWS Bedrock multi-agent orchestration, RAG pipelines, vector retrieval, AWS SageMaker, ML-based event correlation, model deployment automation, AI-assisted diagnostics and copilot tooling adoption</w:t>
            </w:r>
          </w:p>
        </w:tc>
      </w:tr>
      <w:tr w:rsidR="00B75341" w:rsidRPr="00F30CE2" w14:paraId="27D7696A" w14:textId="77777777" w:rsidTr="00A8740C">
        <w:tc>
          <w:tcPr>
            <w:tcW w:w="2000" w:type="dxa"/>
            <w:tcBorders>
              <w:top w:val="single" w:sz="2" w:space="0" w:color="E0E0E0"/>
              <w:bottom w:val="single" w:sz="2" w:space="0" w:color="E0E0E0"/>
              <w:right w:val="single" w:sz="2" w:space="0" w:color="E0E0E0"/>
            </w:tcBorders>
            <w:shd w:val="clear" w:color="auto" w:fill="FFFFFF"/>
            <w:tcMar>
              <w:top w:w="40" w:type="dxa"/>
              <w:left w:w="60" w:type="dxa"/>
              <w:bottom w:w="40" w:type="dxa"/>
              <w:right w:w="60" w:type="dxa"/>
            </w:tcMar>
          </w:tcPr>
          <w:p w14:paraId="1D9FB3B7" w14:textId="77777777" w:rsidR="00B75341" w:rsidRPr="00F30CE2" w:rsidRDefault="00000000">
            <w:pPr>
              <w:rPr>
                <w:rFonts w:ascii="SF Pro" w:hAnsi="SF Pro"/>
              </w:rPr>
            </w:pPr>
            <w:r w:rsidRPr="00F30CE2">
              <w:rPr>
                <w:rFonts w:ascii="SF Pro" w:hAnsi="SF Pro"/>
                <w:b/>
                <w:bCs/>
                <w:color w:val="1A1A1A"/>
                <w:sz w:val="18"/>
                <w:szCs w:val="18"/>
              </w:rPr>
              <w:t>Reliability Practice</w:t>
            </w:r>
          </w:p>
        </w:tc>
        <w:tc>
          <w:tcPr>
            <w:tcW w:w="8975" w:type="dxa"/>
            <w:tcBorders>
              <w:top w:val="single" w:sz="2" w:space="0" w:color="E0E0E0"/>
              <w:bottom w:val="single" w:sz="2" w:space="0" w:color="E0E0E0"/>
            </w:tcBorders>
            <w:shd w:val="clear" w:color="auto" w:fill="FFFFFF"/>
            <w:tcMar>
              <w:top w:w="40" w:type="dxa"/>
              <w:left w:w="60" w:type="dxa"/>
              <w:bottom w:w="40" w:type="dxa"/>
              <w:right w:w="60" w:type="dxa"/>
            </w:tcMar>
          </w:tcPr>
          <w:p w14:paraId="12BE412F" w14:textId="77777777" w:rsidR="00B75341" w:rsidRPr="00F30CE2" w:rsidRDefault="00000000">
            <w:pPr>
              <w:rPr>
                <w:rFonts w:ascii="SF Pro" w:hAnsi="SF Pro"/>
              </w:rPr>
            </w:pPr>
            <w:r w:rsidRPr="00F30CE2">
              <w:rPr>
                <w:rFonts w:ascii="SF Pro" w:hAnsi="SF Pro"/>
                <w:color w:val="1A1A1A"/>
                <w:sz w:val="18"/>
                <w:szCs w:val="18"/>
              </w:rPr>
              <w:t>SLO/SLI ownership, production readiness reviews, capacity planning, on-call incident response, runbook-as-code, blameless postmortems</w:t>
            </w:r>
          </w:p>
        </w:tc>
      </w:tr>
      <w:tr w:rsidR="00B75341" w:rsidRPr="00F30CE2" w14:paraId="504522DD" w14:textId="77777777" w:rsidTr="00A8740C">
        <w:tc>
          <w:tcPr>
            <w:tcW w:w="2000" w:type="dxa"/>
            <w:tcBorders>
              <w:top w:val="single" w:sz="2" w:space="0" w:color="E0E0E0"/>
              <w:bottom w:val="single" w:sz="2" w:space="0" w:color="E0E0E0"/>
              <w:right w:val="single" w:sz="2" w:space="0" w:color="E0E0E0"/>
            </w:tcBorders>
            <w:shd w:val="clear" w:color="auto" w:fill="FFFFFF"/>
            <w:tcMar>
              <w:top w:w="40" w:type="dxa"/>
              <w:left w:w="60" w:type="dxa"/>
              <w:bottom w:w="40" w:type="dxa"/>
              <w:right w:w="60" w:type="dxa"/>
            </w:tcMar>
          </w:tcPr>
          <w:p w14:paraId="0DF3C9F9" w14:textId="77777777" w:rsidR="00B75341" w:rsidRPr="00F30CE2" w:rsidRDefault="00000000">
            <w:pPr>
              <w:rPr>
                <w:rFonts w:ascii="SF Pro" w:hAnsi="SF Pro"/>
              </w:rPr>
            </w:pPr>
            <w:r w:rsidRPr="00F30CE2">
              <w:rPr>
                <w:rFonts w:ascii="SF Pro" w:hAnsi="SF Pro"/>
                <w:b/>
                <w:bCs/>
                <w:color w:val="1A1A1A"/>
                <w:sz w:val="18"/>
                <w:szCs w:val="18"/>
              </w:rPr>
              <w:t>GCP</w:t>
            </w:r>
          </w:p>
        </w:tc>
        <w:tc>
          <w:tcPr>
            <w:tcW w:w="8975" w:type="dxa"/>
            <w:tcBorders>
              <w:top w:val="single" w:sz="2" w:space="0" w:color="E0E0E0"/>
              <w:bottom w:val="single" w:sz="2" w:space="0" w:color="E0E0E0"/>
            </w:tcBorders>
            <w:shd w:val="clear" w:color="auto" w:fill="FFFFFF"/>
            <w:tcMar>
              <w:top w:w="40" w:type="dxa"/>
              <w:left w:w="60" w:type="dxa"/>
              <w:bottom w:w="40" w:type="dxa"/>
              <w:right w:w="60" w:type="dxa"/>
            </w:tcMar>
          </w:tcPr>
          <w:p w14:paraId="5C980D5A" w14:textId="77777777" w:rsidR="00B75341" w:rsidRPr="00F30CE2" w:rsidRDefault="00000000">
            <w:pPr>
              <w:rPr>
                <w:rFonts w:ascii="SF Pro" w:hAnsi="SF Pro"/>
              </w:rPr>
            </w:pPr>
            <w:r w:rsidRPr="00F30CE2">
              <w:rPr>
                <w:rFonts w:ascii="SF Pro" w:hAnsi="SF Pro"/>
                <w:color w:val="1A1A1A"/>
                <w:sz w:val="18"/>
                <w:szCs w:val="18"/>
              </w:rPr>
              <w:t>GKE, Cloud Monitoring, Vertex AI, Cloud Functions, cross-cloud metric collection and normalization</w:t>
            </w:r>
          </w:p>
        </w:tc>
      </w:tr>
      <w:tr w:rsidR="00B75341" w:rsidRPr="00F30CE2" w14:paraId="687D6596" w14:textId="77777777" w:rsidTr="00A8740C">
        <w:tc>
          <w:tcPr>
            <w:tcW w:w="2000" w:type="dxa"/>
            <w:tcBorders>
              <w:top w:val="single" w:sz="2" w:space="0" w:color="E0E0E0"/>
              <w:bottom w:val="single" w:sz="2" w:space="0" w:color="E0E0E0"/>
              <w:right w:val="single" w:sz="2" w:space="0" w:color="E0E0E0"/>
            </w:tcBorders>
            <w:shd w:val="clear" w:color="auto" w:fill="FFFFFF"/>
            <w:tcMar>
              <w:top w:w="40" w:type="dxa"/>
              <w:left w:w="60" w:type="dxa"/>
              <w:bottom w:w="40" w:type="dxa"/>
              <w:right w:w="60" w:type="dxa"/>
            </w:tcMar>
          </w:tcPr>
          <w:p w14:paraId="07576B14" w14:textId="77777777" w:rsidR="00B75341" w:rsidRPr="00F30CE2" w:rsidRDefault="00000000">
            <w:pPr>
              <w:rPr>
                <w:rFonts w:ascii="SF Pro" w:hAnsi="SF Pro"/>
              </w:rPr>
            </w:pPr>
            <w:r w:rsidRPr="00F30CE2">
              <w:rPr>
                <w:rFonts w:ascii="SF Pro" w:hAnsi="SF Pro"/>
                <w:b/>
                <w:bCs/>
                <w:color w:val="1A1A1A"/>
                <w:sz w:val="18"/>
                <w:szCs w:val="18"/>
              </w:rPr>
              <w:t>AWS</w:t>
            </w:r>
          </w:p>
        </w:tc>
        <w:tc>
          <w:tcPr>
            <w:tcW w:w="8975" w:type="dxa"/>
            <w:tcBorders>
              <w:top w:val="single" w:sz="2" w:space="0" w:color="E0E0E0"/>
              <w:bottom w:val="single" w:sz="2" w:space="0" w:color="E0E0E0"/>
            </w:tcBorders>
            <w:shd w:val="clear" w:color="auto" w:fill="FFFFFF"/>
            <w:tcMar>
              <w:top w:w="40" w:type="dxa"/>
              <w:left w:w="60" w:type="dxa"/>
              <w:bottom w:w="40" w:type="dxa"/>
              <w:right w:w="60" w:type="dxa"/>
            </w:tcMar>
          </w:tcPr>
          <w:p w14:paraId="3FB39C3B" w14:textId="77777777" w:rsidR="00B75341" w:rsidRPr="00F30CE2" w:rsidRDefault="00000000">
            <w:pPr>
              <w:rPr>
                <w:rFonts w:ascii="SF Pro" w:hAnsi="SF Pro"/>
              </w:rPr>
            </w:pPr>
            <w:r w:rsidRPr="00F30CE2">
              <w:rPr>
                <w:rFonts w:ascii="SF Pro" w:hAnsi="SF Pro"/>
                <w:color w:val="1A1A1A"/>
                <w:sz w:val="18"/>
                <w:szCs w:val="18"/>
              </w:rPr>
              <w:t>EKS, EC2, VPC, S3, RDS, Lambda, Bedrock, Cost Explorer, SageMaker, CloudWatch</w:t>
            </w:r>
          </w:p>
        </w:tc>
      </w:tr>
      <w:tr w:rsidR="00B75341" w:rsidRPr="00F30CE2" w14:paraId="68478479" w14:textId="77777777" w:rsidTr="00A8740C">
        <w:tc>
          <w:tcPr>
            <w:tcW w:w="2000" w:type="dxa"/>
            <w:tcBorders>
              <w:top w:val="single" w:sz="2" w:space="0" w:color="E0E0E0"/>
              <w:bottom w:val="single" w:sz="2" w:space="0" w:color="E0E0E0"/>
              <w:right w:val="single" w:sz="2" w:space="0" w:color="E0E0E0"/>
            </w:tcBorders>
            <w:shd w:val="clear" w:color="auto" w:fill="FFFFFF"/>
            <w:tcMar>
              <w:top w:w="40" w:type="dxa"/>
              <w:left w:w="60" w:type="dxa"/>
              <w:bottom w:w="40" w:type="dxa"/>
              <w:right w:w="60" w:type="dxa"/>
            </w:tcMar>
          </w:tcPr>
          <w:p w14:paraId="2DAF29BF" w14:textId="313D9E05" w:rsidR="00B75341" w:rsidRPr="00F30CE2" w:rsidRDefault="00000000">
            <w:pPr>
              <w:rPr>
                <w:rFonts w:ascii="SF Pro" w:hAnsi="SF Pro"/>
              </w:rPr>
            </w:pPr>
            <w:proofErr w:type="spellStart"/>
            <w:r w:rsidRPr="00F30CE2">
              <w:rPr>
                <w:rFonts w:ascii="SF Pro" w:hAnsi="SF Pro"/>
                <w:b/>
                <w:bCs/>
                <w:color w:val="1A1A1A"/>
                <w:sz w:val="18"/>
                <w:szCs w:val="18"/>
              </w:rPr>
              <w:t>IaC</w:t>
            </w:r>
            <w:proofErr w:type="spellEnd"/>
          </w:p>
        </w:tc>
        <w:tc>
          <w:tcPr>
            <w:tcW w:w="8975" w:type="dxa"/>
            <w:tcBorders>
              <w:top w:val="single" w:sz="2" w:space="0" w:color="E0E0E0"/>
              <w:bottom w:val="single" w:sz="2" w:space="0" w:color="E0E0E0"/>
            </w:tcBorders>
            <w:shd w:val="clear" w:color="auto" w:fill="FFFFFF"/>
            <w:tcMar>
              <w:top w:w="40" w:type="dxa"/>
              <w:left w:w="60" w:type="dxa"/>
              <w:bottom w:w="40" w:type="dxa"/>
              <w:right w:w="60" w:type="dxa"/>
            </w:tcMar>
          </w:tcPr>
          <w:p w14:paraId="33E160B3" w14:textId="77777777" w:rsidR="00B75341" w:rsidRPr="00F30CE2" w:rsidRDefault="00000000">
            <w:pPr>
              <w:rPr>
                <w:rFonts w:ascii="SF Pro" w:hAnsi="SF Pro"/>
              </w:rPr>
            </w:pPr>
            <w:r w:rsidRPr="00F30CE2">
              <w:rPr>
                <w:rFonts w:ascii="SF Pro" w:hAnsi="SF Pro"/>
                <w:color w:val="1A1A1A"/>
                <w:sz w:val="18"/>
                <w:szCs w:val="18"/>
              </w:rPr>
              <w:t>Terraform, Ansible, CloudFormation; multi-cloud architecture (AWS + GCP); bare-metal and hybrid topology design</w:t>
            </w:r>
          </w:p>
        </w:tc>
      </w:tr>
      <w:tr w:rsidR="00B75341" w:rsidRPr="00F30CE2" w14:paraId="5737553A" w14:textId="77777777" w:rsidTr="00A8740C">
        <w:tc>
          <w:tcPr>
            <w:tcW w:w="2000" w:type="dxa"/>
            <w:tcBorders>
              <w:top w:val="single" w:sz="2" w:space="0" w:color="E0E0E0"/>
              <w:bottom w:val="single" w:sz="2" w:space="0" w:color="E0E0E0"/>
              <w:right w:val="single" w:sz="2" w:space="0" w:color="E0E0E0"/>
            </w:tcBorders>
            <w:shd w:val="clear" w:color="auto" w:fill="FFFFFF"/>
            <w:tcMar>
              <w:top w:w="40" w:type="dxa"/>
              <w:left w:w="60" w:type="dxa"/>
              <w:bottom w:w="40" w:type="dxa"/>
              <w:right w:w="60" w:type="dxa"/>
            </w:tcMar>
          </w:tcPr>
          <w:p w14:paraId="1AB200CF" w14:textId="77777777" w:rsidR="00B75341" w:rsidRPr="00F30CE2" w:rsidRDefault="00000000">
            <w:pPr>
              <w:rPr>
                <w:rFonts w:ascii="SF Pro" w:hAnsi="SF Pro"/>
              </w:rPr>
            </w:pPr>
            <w:r w:rsidRPr="00F30CE2">
              <w:rPr>
                <w:rFonts w:ascii="SF Pro" w:hAnsi="SF Pro"/>
                <w:b/>
                <w:bCs/>
                <w:color w:val="1A1A1A"/>
                <w:sz w:val="18"/>
                <w:szCs w:val="18"/>
              </w:rPr>
              <w:t>Governance &amp; Compliance</w:t>
            </w:r>
          </w:p>
        </w:tc>
        <w:tc>
          <w:tcPr>
            <w:tcW w:w="8975" w:type="dxa"/>
            <w:tcBorders>
              <w:top w:val="single" w:sz="2" w:space="0" w:color="E0E0E0"/>
              <w:bottom w:val="single" w:sz="2" w:space="0" w:color="E0E0E0"/>
            </w:tcBorders>
            <w:shd w:val="clear" w:color="auto" w:fill="FFFFFF"/>
            <w:tcMar>
              <w:top w:w="40" w:type="dxa"/>
              <w:left w:w="60" w:type="dxa"/>
              <w:bottom w:w="40" w:type="dxa"/>
              <w:right w:w="60" w:type="dxa"/>
            </w:tcMar>
          </w:tcPr>
          <w:p w14:paraId="39D5B96D" w14:textId="1691D341" w:rsidR="00B75341" w:rsidRPr="00F30CE2" w:rsidRDefault="00000000">
            <w:pPr>
              <w:rPr>
                <w:rFonts w:ascii="SF Pro" w:hAnsi="SF Pro"/>
              </w:rPr>
            </w:pPr>
            <w:r w:rsidRPr="00F30CE2">
              <w:rPr>
                <w:rFonts w:ascii="SF Pro" w:hAnsi="SF Pro"/>
                <w:color w:val="1A1A1A"/>
                <w:sz w:val="18"/>
                <w:szCs w:val="18"/>
              </w:rPr>
              <w:t xml:space="preserve">Agent trust boundary design, SOC2 compliance, DR strategy, </w:t>
            </w:r>
            <w:r w:rsidR="00C86780">
              <w:rPr>
                <w:rFonts w:ascii="SF Pro" w:hAnsi="SF Pro"/>
                <w:color w:val="1A1A1A"/>
                <w:sz w:val="18"/>
                <w:szCs w:val="18"/>
              </w:rPr>
              <w:t>A</w:t>
            </w:r>
            <w:r w:rsidRPr="00F30CE2">
              <w:rPr>
                <w:rFonts w:ascii="SF Pro" w:hAnsi="SF Pro"/>
                <w:color w:val="1A1A1A"/>
                <w:sz w:val="18"/>
                <w:szCs w:val="18"/>
              </w:rPr>
              <w:t xml:space="preserve">ccess </w:t>
            </w:r>
            <w:r w:rsidR="00C86780">
              <w:rPr>
                <w:rFonts w:ascii="SF Pro" w:hAnsi="SF Pro"/>
                <w:color w:val="1A1A1A"/>
                <w:sz w:val="18"/>
                <w:szCs w:val="18"/>
              </w:rPr>
              <w:t>C</w:t>
            </w:r>
            <w:r w:rsidRPr="00F30CE2">
              <w:rPr>
                <w:rFonts w:ascii="SF Pro" w:hAnsi="SF Pro"/>
                <w:color w:val="1A1A1A"/>
                <w:sz w:val="18"/>
                <w:szCs w:val="18"/>
              </w:rPr>
              <w:t xml:space="preserve">ontrols, </w:t>
            </w:r>
            <w:r w:rsidR="00C86780">
              <w:rPr>
                <w:rFonts w:ascii="SF Pro" w:hAnsi="SF Pro"/>
                <w:color w:val="1A1A1A"/>
                <w:sz w:val="18"/>
                <w:szCs w:val="18"/>
              </w:rPr>
              <w:t>S</w:t>
            </w:r>
            <w:r w:rsidRPr="00F30CE2">
              <w:rPr>
                <w:rFonts w:ascii="SF Pro" w:hAnsi="SF Pro"/>
                <w:color w:val="1A1A1A"/>
                <w:sz w:val="18"/>
                <w:szCs w:val="18"/>
              </w:rPr>
              <w:t xml:space="preserve">ecurity </w:t>
            </w:r>
            <w:r w:rsidR="00C86780">
              <w:rPr>
                <w:rFonts w:ascii="SF Pro" w:hAnsi="SF Pro"/>
                <w:color w:val="1A1A1A"/>
                <w:sz w:val="18"/>
                <w:szCs w:val="18"/>
              </w:rPr>
              <w:t>S</w:t>
            </w:r>
            <w:r w:rsidRPr="00F30CE2">
              <w:rPr>
                <w:rFonts w:ascii="SF Pro" w:hAnsi="SF Pro"/>
                <w:color w:val="1A1A1A"/>
                <w:sz w:val="18"/>
                <w:szCs w:val="18"/>
              </w:rPr>
              <w:t>canning (0% critical vulns in prod)</w:t>
            </w:r>
          </w:p>
        </w:tc>
      </w:tr>
      <w:tr w:rsidR="00B75341" w:rsidRPr="00F30CE2" w14:paraId="3B8618A1" w14:textId="77777777" w:rsidTr="00A8740C">
        <w:tc>
          <w:tcPr>
            <w:tcW w:w="2000" w:type="dxa"/>
            <w:tcBorders>
              <w:top w:val="single" w:sz="2" w:space="0" w:color="E0E0E0"/>
              <w:bottom w:val="single" w:sz="2" w:space="0" w:color="E0E0E0"/>
              <w:right w:val="single" w:sz="2" w:space="0" w:color="E0E0E0"/>
            </w:tcBorders>
            <w:shd w:val="clear" w:color="auto" w:fill="FFFFFF"/>
            <w:tcMar>
              <w:top w:w="40" w:type="dxa"/>
              <w:left w:w="60" w:type="dxa"/>
              <w:bottom w:w="40" w:type="dxa"/>
              <w:right w:w="60" w:type="dxa"/>
            </w:tcMar>
          </w:tcPr>
          <w:p w14:paraId="00CD689E" w14:textId="77777777" w:rsidR="00B75341" w:rsidRPr="00F30CE2" w:rsidRDefault="00000000">
            <w:pPr>
              <w:rPr>
                <w:rFonts w:ascii="SF Pro" w:hAnsi="SF Pro"/>
              </w:rPr>
            </w:pPr>
            <w:r w:rsidRPr="00F30CE2">
              <w:rPr>
                <w:rFonts w:ascii="SF Pro" w:hAnsi="SF Pro"/>
                <w:b/>
                <w:bCs/>
                <w:color w:val="1A1A1A"/>
                <w:sz w:val="18"/>
                <w:szCs w:val="18"/>
              </w:rPr>
              <w:t>Containers &amp; CI/CD</w:t>
            </w:r>
          </w:p>
        </w:tc>
        <w:tc>
          <w:tcPr>
            <w:tcW w:w="8975" w:type="dxa"/>
            <w:tcBorders>
              <w:top w:val="single" w:sz="2" w:space="0" w:color="E0E0E0"/>
              <w:bottom w:val="single" w:sz="2" w:space="0" w:color="E0E0E0"/>
            </w:tcBorders>
            <w:shd w:val="clear" w:color="auto" w:fill="FFFFFF"/>
            <w:tcMar>
              <w:top w:w="40" w:type="dxa"/>
              <w:left w:w="60" w:type="dxa"/>
              <w:bottom w:w="40" w:type="dxa"/>
              <w:right w:w="60" w:type="dxa"/>
            </w:tcMar>
          </w:tcPr>
          <w:p w14:paraId="63332101" w14:textId="77777777" w:rsidR="00B75341" w:rsidRPr="00F30CE2" w:rsidRDefault="00000000">
            <w:pPr>
              <w:rPr>
                <w:rFonts w:ascii="SF Pro" w:hAnsi="SF Pro"/>
              </w:rPr>
            </w:pPr>
            <w:r w:rsidRPr="00F30CE2">
              <w:rPr>
                <w:rFonts w:ascii="SF Pro" w:hAnsi="SF Pro"/>
                <w:color w:val="1A1A1A"/>
                <w:sz w:val="18"/>
                <w:szCs w:val="18"/>
              </w:rPr>
              <w:t xml:space="preserve">Kubernetes, OpenShift, Helm, Docker, </w:t>
            </w:r>
            <w:proofErr w:type="spellStart"/>
            <w:r w:rsidRPr="00F30CE2">
              <w:rPr>
                <w:rFonts w:ascii="SF Pro" w:hAnsi="SF Pro"/>
                <w:color w:val="1A1A1A"/>
                <w:sz w:val="18"/>
                <w:szCs w:val="18"/>
              </w:rPr>
              <w:t>ArgoCD</w:t>
            </w:r>
            <w:proofErr w:type="spellEnd"/>
            <w:r w:rsidRPr="00F30CE2">
              <w:rPr>
                <w:rFonts w:ascii="SF Pro" w:hAnsi="SF Pro"/>
                <w:color w:val="1A1A1A"/>
                <w:sz w:val="18"/>
                <w:szCs w:val="18"/>
              </w:rPr>
              <w:t>, Jenkins, GitLab CI, GitHub Actions</w:t>
            </w:r>
          </w:p>
        </w:tc>
      </w:tr>
      <w:tr w:rsidR="00B75341" w:rsidRPr="00F30CE2" w14:paraId="6EA7C119" w14:textId="77777777" w:rsidTr="00A8740C">
        <w:tc>
          <w:tcPr>
            <w:tcW w:w="2000" w:type="dxa"/>
            <w:tcBorders>
              <w:top w:val="single" w:sz="2" w:space="0" w:color="E0E0E0"/>
              <w:bottom w:val="single" w:sz="2" w:space="0" w:color="E0E0E0"/>
              <w:right w:val="single" w:sz="2" w:space="0" w:color="E0E0E0"/>
            </w:tcBorders>
            <w:shd w:val="clear" w:color="auto" w:fill="FFFFFF"/>
            <w:tcMar>
              <w:top w:w="40" w:type="dxa"/>
              <w:left w:w="60" w:type="dxa"/>
              <w:bottom w:w="40" w:type="dxa"/>
              <w:right w:w="60" w:type="dxa"/>
            </w:tcMar>
          </w:tcPr>
          <w:p w14:paraId="226BA1B2" w14:textId="77777777" w:rsidR="00B75341" w:rsidRPr="00F30CE2" w:rsidRDefault="00000000">
            <w:pPr>
              <w:rPr>
                <w:rFonts w:ascii="SF Pro" w:hAnsi="SF Pro"/>
              </w:rPr>
            </w:pPr>
            <w:r w:rsidRPr="00F30CE2">
              <w:rPr>
                <w:rFonts w:ascii="SF Pro" w:hAnsi="SF Pro"/>
                <w:b/>
                <w:bCs/>
                <w:color w:val="1A1A1A"/>
                <w:sz w:val="18"/>
                <w:szCs w:val="18"/>
              </w:rPr>
              <w:t>Observability</w:t>
            </w:r>
          </w:p>
        </w:tc>
        <w:tc>
          <w:tcPr>
            <w:tcW w:w="8975" w:type="dxa"/>
            <w:tcBorders>
              <w:top w:val="single" w:sz="2" w:space="0" w:color="E0E0E0"/>
              <w:bottom w:val="single" w:sz="2" w:space="0" w:color="E0E0E0"/>
            </w:tcBorders>
            <w:shd w:val="clear" w:color="auto" w:fill="FFFFFF"/>
            <w:tcMar>
              <w:top w:w="40" w:type="dxa"/>
              <w:left w:w="60" w:type="dxa"/>
              <w:bottom w:w="40" w:type="dxa"/>
              <w:right w:w="60" w:type="dxa"/>
            </w:tcMar>
          </w:tcPr>
          <w:p w14:paraId="1626EEE7" w14:textId="77777777" w:rsidR="00B75341" w:rsidRPr="00F30CE2" w:rsidRDefault="00000000">
            <w:pPr>
              <w:rPr>
                <w:rFonts w:ascii="SF Pro" w:hAnsi="SF Pro"/>
              </w:rPr>
            </w:pPr>
            <w:r w:rsidRPr="00F30CE2">
              <w:rPr>
                <w:rFonts w:ascii="SF Pro" w:hAnsi="SF Pro"/>
                <w:color w:val="1A1A1A"/>
                <w:sz w:val="18"/>
                <w:szCs w:val="18"/>
              </w:rPr>
              <w:t xml:space="preserve">Dynatrace, Prometheus, Grafana, </w:t>
            </w:r>
            <w:proofErr w:type="spellStart"/>
            <w:r w:rsidRPr="00F30CE2">
              <w:rPr>
                <w:rFonts w:ascii="SF Pro" w:hAnsi="SF Pro"/>
                <w:color w:val="1A1A1A"/>
                <w:sz w:val="18"/>
                <w:szCs w:val="18"/>
              </w:rPr>
              <w:t>OpenTelemetry</w:t>
            </w:r>
            <w:proofErr w:type="spellEnd"/>
            <w:r w:rsidRPr="00F30CE2">
              <w:rPr>
                <w:rFonts w:ascii="SF Pro" w:hAnsi="SF Pro"/>
                <w:color w:val="1A1A1A"/>
                <w:sz w:val="18"/>
                <w:szCs w:val="18"/>
              </w:rPr>
              <w:t xml:space="preserve">, HPE/Micro Focus AIOps stack (Operations Agent, Performance Agent, </w:t>
            </w:r>
            <w:proofErr w:type="spellStart"/>
            <w:r w:rsidRPr="00F30CE2">
              <w:rPr>
                <w:rFonts w:ascii="SF Pro" w:hAnsi="SF Pro"/>
                <w:color w:val="1A1A1A"/>
                <w:sz w:val="18"/>
                <w:szCs w:val="18"/>
              </w:rPr>
              <w:t>OMi</w:t>
            </w:r>
            <w:proofErr w:type="spellEnd"/>
            <w:r w:rsidRPr="00F30CE2">
              <w:rPr>
                <w:rFonts w:ascii="SF Pro" w:hAnsi="SF Pro"/>
                <w:color w:val="1A1A1A"/>
                <w:sz w:val="18"/>
                <w:szCs w:val="18"/>
              </w:rPr>
              <w:t>, Cloud Optimizer)</w:t>
            </w:r>
          </w:p>
        </w:tc>
      </w:tr>
      <w:tr w:rsidR="00B75341" w:rsidRPr="00F30CE2" w14:paraId="126FB78B" w14:textId="77777777" w:rsidTr="00A8740C">
        <w:tc>
          <w:tcPr>
            <w:tcW w:w="2000" w:type="dxa"/>
            <w:tcBorders>
              <w:top w:val="single" w:sz="2" w:space="0" w:color="E0E0E0"/>
              <w:bottom w:val="single" w:sz="2" w:space="0" w:color="E0E0E0"/>
              <w:right w:val="single" w:sz="2" w:space="0" w:color="E0E0E0"/>
            </w:tcBorders>
            <w:shd w:val="clear" w:color="auto" w:fill="FFFFFF"/>
            <w:tcMar>
              <w:top w:w="40" w:type="dxa"/>
              <w:left w:w="60" w:type="dxa"/>
              <w:bottom w:w="40" w:type="dxa"/>
              <w:right w:w="60" w:type="dxa"/>
            </w:tcMar>
          </w:tcPr>
          <w:p w14:paraId="34A7CA3A" w14:textId="77777777" w:rsidR="00B75341" w:rsidRPr="00F30CE2" w:rsidRDefault="00000000">
            <w:pPr>
              <w:rPr>
                <w:rFonts w:ascii="SF Pro" w:hAnsi="SF Pro"/>
              </w:rPr>
            </w:pPr>
            <w:r w:rsidRPr="00F30CE2">
              <w:rPr>
                <w:rFonts w:ascii="SF Pro" w:hAnsi="SF Pro"/>
                <w:b/>
                <w:bCs/>
                <w:color w:val="1A1A1A"/>
                <w:sz w:val="18"/>
                <w:szCs w:val="18"/>
              </w:rPr>
              <w:t>Data &amp; Streaming</w:t>
            </w:r>
          </w:p>
        </w:tc>
        <w:tc>
          <w:tcPr>
            <w:tcW w:w="8975" w:type="dxa"/>
            <w:tcBorders>
              <w:top w:val="single" w:sz="2" w:space="0" w:color="E0E0E0"/>
              <w:bottom w:val="single" w:sz="2" w:space="0" w:color="E0E0E0"/>
            </w:tcBorders>
            <w:shd w:val="clear" w:color="auto" w:fill="FFFFFF"/>
            <w:tcMar>
              <w:top w:w="40" w:type="dxa"/>
              <w:left w:w="60" w:type="dxa"/>
              <w:bottom w:w="40" w:type="dxa"/>
              <w:right w:w="60" w:type="dxa"/>
            </w:tcMar>
          </w:tcPr>
          <w:p w14:paraId="2405ED5C" w14:textId="77777777" w:rsidR="00B75341" w:rsidRPr="00F30CE2" w:rsidRDefault="00000000">
            <w:pPr>
              <w:rPr>
                <w:rFonts w:ascii="SF Pro" w:hAnsi="SF Pro"/>
              </w:rPr>
            </w:pPr>
            <w:r w:rsidRPr="00F30CE2">
              <w:rPr>
                <w:rFonts w:ascii="SF Pro" w:hAnsi="SF Pro"/>
                <w:color w:val="1A1A1A"/>
                <w:sz w:val="18"/>
                <w:szCs w:val="18"/>
              </w:rPr>
              <w:t>Kafka, Pulsar, Kafka Connect (8TB/day at sub-second latency); PostgreSQL, MS SQL, DynamoDB, Vertica</w:t>
            </w:r>
          </w:p>
        </w:tc>
      </w:tr>
      <w:tr w:rsidR="00B75341" w:rsidRPr="00F30CE2" w14:paraId="7CE18422" w14:textId="77777777" w:rsidTr="00A8740C">
        <w:tc>
          <w:tcPr>
            <w:tcW w:w="2000" w:type="dxa"/>
            <w:tcBorders>
              <w:top w:val="single" w:sz="2" w:space="0" w:color="E0E0E0"/>
              <w:bottom w:val="single" w:sz="2" w:space="0" w:color="E0E0E0"/>
              <w:right w:val="single" w:sz="2" w:space="0" w:color="E0E0E0"/>
            </w:tcBorders>
            <w:shd w:val="clear" w:color="auto" w:fill="FFFFFF"/>
            <w:tcMar>
              <w:top w:w="40" w:type="dxa"/>
              <w:left w:w="60" w:type="dxa"/>
              <w:bottom w:w="40" w:type="dxa"/>
              <w:right w:w="60" w:type="dxa"/>
            </w:tcMar>
          </w:tcPr>
          <w:p w14:paraId="62E11028" w14:textId="77777777" w:rsidR="00B75341" w:rsidRPr="00F30CE2" w:rsidRDefault="00000000">
            <w:pPr>
              <w:rPr>
                <w:rFonts w:ascii="SF Pro" w:hAnsi="SF Pro"/>
              </w:rPr>
            </w:pPr>
            <w:r w:rsidRPr="00F30CE2">
              <w:rPr>
                <w:rFonts w:ascii="SF Pro" w:hAnsi="SF Pro"/>
                <w:b/>
                <w:bCs/>
                <w:color w:val="1A1A1A"/>
                <w:sz w:val="18"/>
                <w:szCs w:val="18"/>
              </w:rPr>
              <w:t>Systems</w:t>
            </w:r>
          </w:p>
        </w:tc>
        <w:tc>
          <w:tcPr>
            <w:tcW w:w="8975" w:type="dxa"/>
            <w:tcBorders>
              <w:top w:val="single" w:sz="2" w:space="0" w:color="E0E0E0"/>
              <w:bottom w:val="single" w:sz="2" w:space="0" w:color="E0E0E0"/>
            </w:tcBorders>
            <w:shd w:val="clear" w:color="auto" w:fill="FFFFFF"/>
            <w:tcMar>
              <w:top w:w="40" w:type="dxa"/>
              <w:left w:w="60" w:type="dxa"/>
              <w:bottom w:w="40" w:type="dxa"/>
              <w:right w:w="60" w:type="dxa"/>
            </w:tcMar>
          </w:tcPr>
          <w:p w14:paraId="6F35C55D" w14:textId="77777777" w:rsidR="00B75341" w:rsidRPr="00F30CE2" w:rsidRDefault="00000000">
            <w:pPr>
              <w:rPr>
                <w:rFonts w:ascii="SF Pro" w:hAnsi="SF Pro"/>
              </w:rPr>
            </w:pPr>
            <w:r w:rsidRPr="00F30CE2">
              <w:rPr>
                <w:rFonts w:ascii="SF Pro" w:hAnsi="SF Pro"/>
                <w:color w:val="1A1A1A"/>
                <w:sz w:val="18"/>
                <w:szCs w:val="18"/>
              </w:rPr>
              <w:t>Linux internals (RHEL, Ubuntu, SUSE), TCP/IP, DNS, TLS, IPv4/IPv6 migration, packet-level tracing</w:t>
            </w:r>
          </w:p>
        </w:tc>
      </w:tr>
    </w:tbl>
    <w:p w14:paraId="7296F639" w14:textId="77777777" w:rsidR="00B75341" w:rsidRPr="00F30CE2" w:rsidRDefault="00000000">
      <w:pPr>
        <w:pBdr>
          <w:bottom w:val="single" w:sz="6" w:space="2" w:color="0066CC"/>
        </w:pBdr>
        <w:spacing w:before="200" w:after="80"/>
        <w:rPr>
          <w:rFonts w:ascii="SF Pro" w:hAnsi="SF Pro"/>
        </w:rPr>
      </w:pPr>
      <w:r w:rsidRPr="00F30CE2">
        <w:rPr>
          <w:rFonts w:ascii="SF Pro" w:hAnsi="SF Pro"/>
          <w:b/>
          <w:bCs/>
          <w:color w:val="0066CC"/>
          <w:sz w:val="20"/>
          <w:szCs w:val="20"/>
        </w:rPr>
        <w:t>PROFESSIONAL EXPERIENCE</w:t>
      </w:r>
    </w:p>
    <w:p w14:paraId="2470DBE0" w14:textId="77777777" w:rsidR="00B75341" w:rsidRPr="00F30CE2" w:rsidRDefault="00000000">
      <w:pPr>
        <w:tabs>
          <w:tab w:val="right" w:pos="9026"/>
        </w:tabs>
        <w:spacing w:before="120"/>
        <w:rPr>
          <w:rFonts w:ascii="SF Pro" w:hAnsi="SF Pro"/>
        </w:rPr>
      </w:pPr>
      <w:r w:rsidRPr="00F30CE2">
        <w:rPr>
          <w:rFonts w:ascii="SF Pro" w:hAnsi="SF Pro"/>
          <w:b/>
          <w:bCs/>
          <w:color w:val="1A1A1A"/>
          <w:sz w:val="20"/>
          <w:szCs w:val="20"/>
        </w:rPr>
        <w:t>Solutions Architect | Technical Lead</w:t>
      </w:r>
      <w:r w:rsidRPr="00F30CE2">
        <w:rPr>
          <w:rFonts w:ascii="SF Pro" w:hAnsi="SF Pro"/>
          <w:b/>
          <w:bCs/>
          <w:color w:val="1A1A1A"/>
          <w:sz w:val="20"/>
          <w:szCs w:val="20"/>
        </w:rPr>
        <w:tab/>
        <w:t>Oct 2025 – Present</w:t>
      </w:r>
    </w:p>
    <w:p w14:paraId="18AFDAE6" w14:textId="77777777" w:rsidR="00B75341" w:rsidRPr="00F30CE2" w:rsidRDefault="00000000">
      <w:pPr>
        <w:tabs>
          <w:tab w:val="right" w:pos="9026"/>
        </w:tabs>
        <w:spacing w:after="40"/>
        <w:rPr>
          <w:rFonts w:ascii="SF Pro" w:hAnsi="SF Pro"/>
        </w:rPr>
      </w:pPr>
      <w:r w:rsidRPr="00F30CE2">
        <w:rPr>
          <w:rFonts w:ascii="SF Pro" w:hAnsi="SF Pro"/>
          <w:i/>
          <w:iCs/>
          <w:color w:val="595959"/>
          <w:sz w:val="20"/>
          <w:szCs w:val="20"/>
        </w:rPr>
        <w:t>Wipro Ltd. (Client: PNC Bank)</w:t>
      </w:r>
      <w:r w:rsidRPr="00F30CE2">
        <w:rPr>
          <w:rFonts w:ascii="SF Pro" w:hAnsi="SF Pro"/>
          <w:i/>
          <w:iCs/>
          <w:color w:val="595959"/>
          <w:sz w:val="20"/>
          <w:szCs w:val="20"/>
        </w:rPr>
        <w:tab/>
        <w:t>Pittsburgh, PA</w:t>
      </w:r>
    </w:p>
    <w:p w14:paraId="2D6D57B6"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Own architecture and production readiness for a microservices-based Alert Management System on OpenShift/Kubernetes with a full Dynatrace observability stack, setting SLO targets and automated alerting that catches degradation in under 5 minutes across 70,000 users.</w:t>
      </w:r>
    </w:p>
    <w:p w14:paraId="56CAB6C2"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Lead capacity planning and Platform-as-Code provisioning standards on Bitbucket, enabling on-call engineers to diagnose and resolve incidents without escalation.</w:t>
      </w:r>
    </w:p>
    <w:p w14:paraId="39D221EB"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Write backend microservices in Java/Spring Boot with JUnit/Mockito coverage on critical paths; architect CI/CD pipelines in Jenkins and Terraform with embedded security scanning, holding production at 0% critical vulnerabilities.</w:t>
      </w:r>
    </w:p>
    <w:p w14:paraId="4D6C0E5C"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Partner across development and operations teams to drive continuous deployment adoption; lead rollout of Copilot-based AI tooling across engineering workflows, cutting time spent on boilerplate and code review.</w:t>
      </w:r>
    </w:p>
    <w:p w14:paraId="264B1F44" w14:textId="74D6DC9F" w:rsidR="005A463A" w:rsidRPr="00F30CE2" w:rsidRDefault="005A463A">
      <w:pPr>
        <w:pStyle w:val="ListParagraph"/>
        <w:numPr>
          <w:ilvl w:val="0"/>
          <w:numId w:val="1"/>
        </w:numPr>
        <w:spacing w:after="40"/>
        <w:ind w:left="274" w:hanging="187"/>
        <w:rPr>
          <w:rFonts w:ascii="SF Pro" w:hAnsi="SF Pro"/>
        </w:rPr>
      </w:pPr>
      <w:r w:rsidRPr="00F30CE2">
        <w:rPr>
          <w:rFonts w:ascii="SF Pro" w:hAnsi="SF Pro"/>
          <w:color w:val="1A1A1A"/>
        </w:rPr>
        <w:t xml:space="preserve">Implement Kubernetes Vertical Pod </w:t>
      </w:r>
      <w:proofErr w:type="spellStart"/>
      <w:r w:rsidRPr="00F30CE2">
        <w:rPr>
          <w:rFonts w:ascii="SF Pro" w:hAnsi="SF Pro"/>
          <w:color w:val="1A1A1A"/>
        </w:rPr>
        <w:t>Autoscaler</w:t>
      </w:r>
      <w:proofErr w:type="spellEnd"/>
      <w:r w:rsidRPr="00F30CE2">
        <w:rPr>
          <w:rFonts w:ascii="SF Pro" w:hAnsi="SF Pro"/>
          <w:color w:val="1A1A1A"/>
        </w:rPr>
        <w:t xml:space="preserve"> across the organization for better resource planning and allocation.</w:t>
      </w:r>
    </w:p>
    <w:p w14:paraId="710C4279" w14:textId="561C00B7" w:rsidR="005A463A" w:rsidRPr="00F30CE2" w:rsidRDefault="005A463A" w:rsidP="005A463A">
      <w:pPr>
        <w:pStyle w:val="ListParagraph"/>
        <w:numPr>
          <w:ilvl w:val="0"/>
          <w:numId w:val="1"/>
        </w:numPr>
        <w:spacing w:after="40"/>
        <w:ind w:left="274" w:hanging="187"/>
        <w:rPr>
          <w:rFonts w:ascii="SF Pro" w:hAnsi="SF Pro"/>
        </w:rPr>
      </w:pPr>
      <w:r w:rsidRPr="00F30CE2">
        <w:rPr>
          <w:rFonts w:ascii="SF Pro" w:hAnsi="SF Pro"/>
        </w:rPr>
        <w:t>Building a Kafka-based branch closure notification system, publishing closure events to downstream consumers in real time so affected teams and customer-facing systems could react without polling or manual coordination.</w:t>
      </w:r>
    </w:p>
    <w:p w14:paraId="456FBF08" w14:textId="77777777" w:rsidR="00B75341" w:rsidRPr="00F30CE2" w:rsidRDefault="00000000">
      <w:pPr>
        <w:tabs>
          <w:tab w:val="right" w:pos="9026"/>
        </w:tabs>
        <w:spacing w:before="120"/>
        <w:rPr>
          <w:rFonts w:ascii="SF Pro" w:hAnsi="SF Pro"/>
        </w:rPr>
      </w:pPr>
      <w:r w:rsidRPr="00F30CE2">
        <w:rPr>
          <w:rFonts w:ascii="SF Pro" w:hAnsi="SF Pro"/>
          <w:b/>
          <w:bCs/>
          <w:color w:val="1A1A1A"/>
          <w:sz w:val="20"/>
          <w:szCs w:val="20"/>
        </w:rPr>
        <w:t>Software Engineer, Pre-Sales AI Systems</w:t>
      </w:r>
      <w:r w:rsidRPr="00F30CE2">
        <w:rPr>
          <w:rFonts w:ascii="SF Pro" w:hAnsi="SF Pro"/>
          <w:b/>
          <w:bCs/>
          <w:color w:val="1A1A1A"/>
          <w:sz w:val="20"/>
          <w:szCs w:val="20"/>
        </w:rPr>
        <w:tab/>
        <w:t>Jun 2025 – Sep 2025</w:t>
      </w:r>
    </w:p>
    <w:p w14:paraId="6B00670D" w14:textId="77777777" w:rsidR="00B75341" w:rsidRPr="00F30CE2" w:rsidRDefault="00000000">
      <w:pPr>
        <w:tabs>
          <w:tab w:val="right" w:pos="9026"/>
        </w:tabs>
        <w:spacing w:after="40"/>
        <w:rPr>
          <w:rFonts w:ascii="SF Pro" w:hAnsi="SF Pro"/>
        </w:rPr>
      </w:pPr>
      <w:proofErr w:type="spellStart"/>
      <w:r w:rsidRPr="00F30CE2">
        <w:rPr>
          <w:rFonts w:ascii="SF Pro" w:hAnsi="SF Pro"/>
          <w:i/>
          <w:iCs/>
          <w:color w:val="595959"/>
          <w:sz w:val="20"/>
          <w:szCs w:val="20"/>
        </w:rPr>
        <w:t>Kakudi</w:t>
      </w:r>
      <w:proofErr w:type="spellEnd"/>
      <w:r w:rsidRPr="00F30CE2">
        <w:rPr>
          <w:rFonts w:ascii="SF Pro" w:hAnsi="SF Pro"/>
          <w:i/>
          <w:iCs/>
          <w:color w:val="595959"/>
          <w:sz w:val="20"/>
          <w:szCs w:val="20"/>
        </w:rPr>
        <w:tab/>
        <w:t>Folsom, CA</w:t>
      </w:r>
    </w:p>
    <w:p w14:paraId="097E5310"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Built agentic AI systems on AWS Bedrock with multi-agent orchestration, RAG pipelines, and automated CI/CD model deployment; built Voice AI agents pulling from live data sources.</w:t>
      </w:r>
    </w:p>
    <w:p w14:paraId="4E455185"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Designed and deployed cloud-native microservices on Kubernetes using Terraform-provisioned AWS infrastructure; wrote Python automation and Ansible playbooks for operational workflows.</w:t>
      </w:r>
    </w:p>
    <w:p w14:paraId="54554ACF" w14:textId="6FFD78BC"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Contributed to proposals and statements of work (SOWs) and presented technical solutions directly to prospective clients.</w:t>
      </w:r>
    </w:p>
    <w:p w14:paraId="29B19CDB" w14:textId="61370B9B" w:rsidR="005A463A" w:rsidRPr="00F30CE2" w:rsidRDefault="005A463A" w:rsidP="005A463A">
      <w:pPr>
        <w:pStyle w:val="ListParagraph"/>
        <w:numPr>
          <w:ilvl w:val="0"/>
          <w:numId w:val="1"/>
        </w:numPr>
        <w:spacing w:after="40"/>
        <w:ind w:left="274" w:hanging="187"/>
        <w:rPr>
          <w:rFonts w:ascii="SF Pro" w:hAnsi="SF Pro"/>
        </w:rPr>
      </w:pPr>
      <w:r w:rsidRPr="00F30CE2">
        <w:rPr>
          <w:rFonts w:ascii="SF Pro" w:hAnsi="SF Pro"/>
        </w:rPr>
        <w:t>Ran client discovery calls and scoped project costs and timelines for client engagements</w:t>
      </w:r>
      <w:r w:rsidR="00B03DCD" w:rsidRPr="00F30CE2">
        <w:rPr>
          <w:rFonts w:ascii="SF Pro" w:hAnsi="SF Pro"/>
        </w:rPr>
        <w:t>, mainly non-profit organizations.</w:t>
      </w:r>
    </w:p>
    <w:p w14:paraId="6723CBD3" w14:textId="77777777" w:rsidR="00B75341" w:rsidRPr="00F30CE2" w:rsidRDefault="00000000">
      <w:pPr>
        <w:spacing w:before="100" w:after="20"/>
        <w:rPr>
          <w:rFonts w:ascii="SF Pro" w:hAnsi="SF Pro"/>
        </w:rPr>
      </w:pPr>
      <w:r w:rsidRPr="00F30CE2">
        <w:rPr>
          <w:rFonts w:ascii="SF Pro" w:hAnsi="SF Pro"/>
          <w:i/>
          <w:iCs/>
          <w:color w:val="595959"/>
          <w:sz w:val="17"/>
          <w:szCs w:val="17"/>
        </w:rPr>
        <w:lastRenderedPageBreak/>
        <w:t xml:space="preserve">HP, HPE, Micro Focus, and OpenText are one continuous employer, joined by a corporate split and two acquisitions. The four roles below span 21 years in the same systems management product line, from </w:t>
      </w:r>
      <w:proofErr w:type="gramStart"/>
      <w:r w:rsidRPr="00F30CE2">
        <w:rPr>
          <w:rFonts w:ascii="SF Pro" w:hAnsi="SF Pro"/>
          <w:i/>
          <w:iCs/>
          <w:color w:val="595959"/>
          <w:sz w:val="17"/>
          <w:szCs w:val="17"/>
        </w:rPr>
        <w:t>on-premise</w:t>
      </w:r>
      <w:proofErr w:type="gramEnd"/>
      <w:r w:rsidRPr="00F30CE2">
        <w:rPr>
          <w:rFonts w:ascii="SF Pro" w:hAnsi="SF Pro"/>
          <w:i/>
          <w:iCs/>
          <w:color w:val="595959"/>
          <w:sz w:val="17"/>
          <w:szCs w:val="17"/>
        </w:rPr>
        <w:t xml:space="preserve"> agents to today's AIOps SaaS platform.</w:t>
      </w:r>
    </w:p>
    <w:p w14:paraId="634F5BAE" w14:textId="77777777" w:rsidR="00B75341" w:rsidRPr="00F30CE2" w:rsidRDefault="00000000">
      <w:pPr>
        <w:tabs>
          <w:tab w:val="right" w:pos="9026"/>
        </w:tabs>
        <w:spacing w:before="120"/>
        <w:rPr>
          <w:rFonts w:ascii="SF Pro" w:hAnsi="SF Pro"/>
        </w:rPr>
      </w:pPr>
      <w:r w:rsidRPr="00F30CE2">
        <w:rPr>
          <w:rFonts w:ascii="SF Pro" w:hAnsi="SF Pro"/>
          <w:b/>
          <w:bCs/>
          <w:color w:val="1A1A1A"/>
          <w:sz w:val="20"/>
          <w:szCs w:val="20"/>
        </w:rPr>
        <w:t>Site Reliability Engineer</w:t>
      </w:r>
      <w:r w:rsidRPr="00F30CE2">
        <w:rPr>
          <w:rFonts w:ascii="SF Pro" w:hAnsi="SF Pro"/>
          <w:b/>
          <w:bCs/>
          <w:color w:val="1A1A1A"/>
          <w:sz w:val="20"/>
          <w:szCs w:val="20"/>
        </w:rPr>
        <w:tab/>
        <w:t>Sep 2017 – May 2025</w:t>
      </w:r>
    </w:p>
    <w:p w14:paraId="767D0FFA" w14:textId="77777777" w:rsidR="00B75341" w:rsidRPr="00F30CE2" w:rsidRDefault="00000000">
      <w:pPr>
        <w:tabs>
          <w:tab w:val="right" w:pos="9026"/>
        </w:tabs>
        <w:spacing w:after="40"/>
        <w:rPr>
          <w:rFonts w:ascii="SF Pro" w:hAnsi="SF Pro"/>
        </w:rPr>
      </w:pPr>
      <w:r w:rsidRPr="00F30CE2">
        <w:rPr>
          <w:rFonts w:ascii="SF Pro" w:hAnsi="SF Pro"/>
          <w:i/>
          <w:iCs/>
          <w:color w:val="595959"/>
          <w:sz w:val="20"/>
          <w:szCs w:val="20"/>
        </w:rPr>
        <w:t>Micro Focus / OpenText</w:t>
      </w:r>
      <w:r w:rsidRPr="00F30CE2">
        <w:rPr>
          <w:rFonts w:ascii="SF Pro" w:hAnsi="SF Pro"/>
          <w:i/>
          <w:iCs/>
          <w:color w:val="595959"/>
          <w:sz w:val="20"/>
          <w:szCs w:val="20"/>
        </w:rPr>
        <w:tab/>
        <w:t>Rocklin, CA</w:t>
      </w:r>
    </w:p>
    <w:p w14:paraId="36DAEDFF"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Progressed from DevOps Engineer to full-stack SRE owner of Operations Bridge Manager, an enterprise AIOps SaaS platform serving customers across the Americas; held 99.99% SLA uptime for 8 straight years and cut incident resolution time 45% through Linux kernel diagnostics and packet-level tracing.</w:t>
      </w:r>
    </w:p>
    <w:p w14:paraId="07E91300"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 xml:space="preserve">Ran production readiness reviews and capacity planning for Apple's own tenancy on the multi-tenant </w:t>
      </w:r>
      <w:proofErr w:type="spellStart"/>
      <w:r w:rsidRPr="00F30CE2">
        <w:rPr>
          <w:rFonts w:ascii="SF Pro" w:hAnsi="SF Pro"/>
          <w:color w:val="1A1A1A"/>
        </w:rPr>
        <w:t>OMi</w:t>
      </w:r>
      <w:proofErr w:type="spellEnd"/>
      <w:r w:rsidRPr="00F30CE2">
        <w:rPr>
          <w:rFonts w:ascii="SF Pro" w:hAnsi="SF Pro"/>
          <w:color w:val="1A1A1A"/>
        </w:rPr>
        <w:t xml:space="preserve"> platform, keeping Operations Agent and Performance Agent telemetry flowing through Cloud Optimizer into Apple's Vertica data farm.</w:t>
      </w:r>
    </w:p>
    <w:p w14:paraId="138AA5CB"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Built the Automated Event Correlation (AEC) engine, a machine learning model that groups related alerts by topology and event history, cutting alert noise and surfacing root-cause events faster during high-volume incidents.</w:t>
      </w:r>
    </w:p>
    <w:p w14:paraId="49071877"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Developed the Agent Metric Collector, a Go-based service pulling and normalizing performance metrics from AWS and GCP into a central correlation engine for cross-cloud alerting.</w:t>
      </w:r>
    </w:p>
    <w:p w14:paraId="30425E28"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Led migration of 50+ microservices to Kubernetes/OpenShift, cutting multi-tenant provisioning time from days to 30 minutes and saving $2.1M a year in cloud infrastructure cost through right-sizing and Terraform automation.</w:t>
      </w:r>
    </w:p>
    <w:p w14:paraId="7D22DE99"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Built Kafka and Pulsar telemetry pipelines processing 8TB/day at sub-second latency; built a Python-based ML cost optimizer against the AWS Cost Explorer API that cut quarterly spend 20%.</w:t>
      </w:r>
    </w:p>
    <w:p w14:paraId="3DC28B05" w14:textId="7C5CB28F"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 xml:space="preserve">Owned SOC2 compliance and </w:t>
      </w:r>
      <w:r w:rsidR="00B03DCD" w:rsidRPr="00F30CE2">
        <w:rPr>
          <w:rFonts w:ascii="SF Pro" w:hAnsi="SF Pro"/>
          <w:color w:val="1A1A1A"/>
        </w:rPr>
        <w:t>DR</w:t>
      </w:r>
      <w:r w:rsidRPr="00F30CE2">
        <w:rPr>
          <w:rFonts w:ascii="SF Pro" w:hAnsi="SF Pro"/>
          <w:color w:val="1A1A1A"/>
        </w:rPr>
        <w:t xml:space="preserve"> strategy for the organization, including quarterly audits of access controls and security policy.</w:t>
      </w:r>
    </w:p>
    <w:p w14:paraId="6B5C06D2" w14:textId="77777777" w:rsidR="00B75341" w:rsidRPr="00F30CE2" w:rsidRDefault="00000000">
      <w:pPr>
        <w:tabs>
          <w:tab w:val="right" w:pos="9026"/>
        </w:tabs>
        <w:spacing w:before="120"/>
        <w:rPr>
          <w:rFonts w:ascii="SF Pro" w:hAnsi="SF Pro"/>
        </w:rPr>
      </w:pPr>
      <w:r w:rsidRPr="00F30CE2">
        <w:rPr>
          <w:rFonts w:ascii="SF Pro" w:hAnsi="SF Pro"/>
          <w:b/>
          <w:bCs/>
          <w:color w:val="1A1A1A"/>
          <w:sz w:val="20"/>
          <w:szCs w:val="20"/>
        </w:rPr>
        <w:t>Product Engineer | Software Designer</w:t>
      </w:r>
      <w:r w:rsidRPr="00F30CE2">
        <w:rPr>
          <w:rFonts w:ascii="SF Pro" w:hAnsi="SF Pro"/>
          <w:b/>
          <w:bCs/>
          <w:color w:val="1A1A1A"/>
          <w:sz w:val="20"/>
          <w:szCs w:val="20"/>
        </w:rPr>
        <w:tab/>
        <w:t>Nov 2015 – Aug 2017</w:t>
      </w:r>
    </w:p>
    <w:p w14:paraId="447E957C" w14:textId="77777777" w:rsidR="00B75341" w:rsidRPr="00F30CE2" w:rsidRDefault="00000000">
      <w:pPr>
        <w:tabs>
          <w:tab w:val="right" w:pos="9026"/>
        </w:tabs>
        <w:spacing w:after="40"/>
        <w:rPr>
          <w:rFonts w:ascii="SF Pro" w:hAnsi="SF Pro"/>
        </w:rPr>
      </w:pPr>
      <w:r w:rsidRPr="00F30CE2">
        <w:rPr>
          <w:rFonts w:ascii="SF Pro" w:hAnsi="SF Pro"/>
          <w:i/>
          <w:iCs/>
          <w:color w:val="595959"/>
          <w:sz w:val="20"/>
          <w:szCs w:val="20"/>
        </w:rPr>
        <w:t>Hewlett Packard Enterprise (HPE)</w:t>
      </w:r>
      <w:r w:rsidRPr="00F30CE2">
        <w:rPr>
          <w:rFonts w:ascii="SF Pro" w:hAnsi="SF Pro"/>
          <w:i/>
          <w:iCs/>
          <w:color w:val="595959"/>
          <w:sz w:val="20"/>
          <w:szCs w:val="20"/>
        </w:rPr>
        <w:tab/>
        <w:t>Sunnyvale, CA</w:t>
      </w:r>
    </w:p>
    <w:p w14:paraId="47397ECD"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Sustained Fortune 500 technical escalation leadership through the HP/HPE corporate split, holding a 100% resolution rate on high-priority incidents.</w:t>
      </w:r>
    </w:p>
    <w:p w14:paraId="03C266A1"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Built a Patch Manager that automated hotfix packaging, validation, and rollout for Operations Agent, cutting manual patch errors and customer-impacting regressions.</w:t>
      </w:r>
    </w:p>
    <w:p w14:paraId="53E7CE08"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Designed KPI collection frameworks for KVM and Helium hypervisors, feeding metrics into centralized observability stacks and improving visibility across multi-tenant environments.</w:t>
      </w:r>
    </w:p>
    <w:p w14:paraId="3006D91D" w14:textId="6DF9A42D" w:rsidR="00B03DCD" w:rsidRPr="00F30CE2" w:rsidRDefault="00B03DCD" w:rsidP="00B03DCD">
      <w:pPr>
        <w:pStyle w:val="ListParagraph"/>
        <w:numPr>
          <w:ilvl w:val="0"/>
          <w:numId w:val="1"/>
        </w:numPr>
        <w:spacing w:after="40"/>
        <w:ind w:left="274" w:hanging="187"/>
        <w:rPr>
          <w:rFonts w:ascii="SF Pro" w:hAnsi="SF Pro"/>
          <w:color w:val="1A1A1A"/>
        </w:rPr>
      </w:pPr>
      <w:r w:rsidRPr="00F30CE2">
        <w:rPr>
          <w:rFonts w:ascii="SF Pro" w:hAnsi="SF Pro"/>
          <w:color w:val="1A1A1A"/>
        </w:rPr>
        <w:t>Designed KPI collection frameworks for KVM and Helium hypervisors, feeding metrics into centralized observability stacks and improving visibility across multi-tenant environments.</w:t>
      </w:r>
    </w:p>
    <w:p w14:paraId="7ED7F4CD" w14:textId="77777777" w:rsidR="00B75341" w:rsidRPr="00F30CE2" w:rsidRDefault="00000000">
      <w:pPr>
        <w:tabs>
          <w:tab w:val="right" w:pos="9026"/>
        </w:tabs>
        <w:spacing w:before="120"/>
        <w:rPr>
          <w:rFonts w:ascii="SF Pro" w:hAnsi="SF Pro"/>
        </w:rPr>
      </w:pPr>
      <w:r w:rsidRPr="00F30CE2">
        <w:rPr>
          <w:rFonts w:ascii="SF Pro" w:hAnsi="SF Pro"/>
          <w:b/>
          <w:bCs/>
          <w:color w:val="1A1A1A"/>
          <w:sz w:val="20"/>
          <w:szCs w:val="20"/>
        </w:rPr>
        <w:t>Product Engineer | Software Designer</w:t>
      </w:r>
      <w:r w:rsidRPr="00F30CE2">
        <w:rPr>
          <w:rFonts w:ascii="SF Pro" w:hAnsi="SF Pro"/>
          <w:b/>
          <w:bCs/>
          <w:color w:val="1A1A1A"/>
          <w:sz w:val="20"/>
          <w:szCs w:val="20"/>
        </w:rPr>
        <w:tab/>
        <w:t>Sep 2004 – Oct 2015</w:t>
      </w:r>
    </w:p>
    <w:p w14:paraId="3DD74BE4" w14:textId="77777777" w:rsidR="00B75341" w:rsidRPr="00F30CE2" w:rsidRDefault="00000000">
      <w:pPr>
        <w:tabs>
          <w:tab w:val="right" w:pos="9026"/>
        </w:tabs>
        <w:spacing w:after="40"/>
        <w:rPr>
          <w:rFonts w:ascii="SF Pro" w:hAnsi="SF Pro"/>
        </w:rPr>
      </w:pPr>
      <w:r w:rsidRPr="00F30CE2">
        <w:rPr>
          <w:rFonts w:ascii="SF Pro" w:hAnsi="SF Pro"/>
          <w:i/>
          <w:iCs/>
          <w:color w:val="595959"/>
          <w:sz w:val="20"/>
          <w:szCs w:val="20"/>
        </w:rPr>
        <w:t>Hewlett Packard (HP)</w:t>
      </w:r>
      <w:r w:rsidRPr="00F30CE2">
        <w:rPr>
          <w:rFonts w:ascii="SF Pro" w:hAnsi="SF Pro"/>
          <w:i/>
          <w:iCs/>
          <w:color w:val="595959"/>
          <w:sz w:val="20"/>
          <w:szCs w:val="20"/>
        </w:rPr>
        <w:tab/>
        <w:t>Sunnyvale, CA</w:t>
      </w:r>
    </w:p>
    <w:p w14:paraId="07874791"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Scaled the Backbone Communication Component from 2,000 to 10,000 concurrent connections and built a reverse channel proxy that let traffic through a single outbound connection with no inbound firewall rules.</w:t>
      </w:r>
    </w:p>
    <w:p w14:paraId="6BD14211"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Led the IPv4-to-IPv6 migration of the Operations Agent network stack with zero disruption; wrote embedded Perl memory caching that let the agent run two years straight in mission-critical environments.</w:t>
      </w:r>
    </w:p>
    <w:p w14:paraId="55E06F73"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Built a custom log hashing algorithm to catch meaningful changes in log files, cutting false-positive alerts by over 60% in large environments.</w:t>
      </w:r>
    </w:p>
    <w:p w14:paraId="1E207090"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Built a centralized install repository for Operations Agent for remote, repeatable deployments at scale, cutting manual provisioning effort by 80%.</w:t>
      </w:r>
    </w:p>
    <w:p w14:paraId="5D8AF95C"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Resolved 100% of high-priority on-site escalations at Apple, Samsung, Disney, FedEx, and PG&amp;E through root-cause analysis at the architecture level. Won HP's Global High Impact Award.</w:t>
      </w:r>
    </w:p>
    <w:p w14:paraId="378D2F57" w14:textId="77777777" w:rsidR="00B75341" w:rsidRPr="00F30CE2" w:rsidRDefault="00000000">
      <w:pPr>
        <w:tabs>
          <w:tab w:val="right" w:pos="9026"/>
        </w:tabs>
        <w:spacing w:before="120"/>
        <w:rPr>
          <w:rFonts w:ascii="SF Pro" w:hAnsi="SF Pro"/>
        </w:rPr>
      </w:pPr>
      <w:r w:rsidRPr="00F30CE2">
        <w:rPr>
          <w:rFonts w:ascii="SF Pro" w:hAnsi="SF Pro"/>
          <w:b/>
          <w:bCs/>
          <w:color w:val="1A1A1A"/>
          <w:sz w:val="20"/>
          <w:szCs w:val="20"/>
        </w:rPr>
        <w:t>Software Engineer</w:t>
      </w:r>
      <w:r w:rsidRPr="00F30CE2">
        <w:rPr>
          <w:rFonts w:ascii="SF Pro" w:hAnsi="SF Pro"/>
          <w:b/>
          <w:bCs/>
          <w:color w:val="1A1A1A"/>
          <w:sz w:val="20"/>
          <w:szCs w:val="20"/>
        </w:rPr>
        <w:tab/>
        <w:t>Sep 1999 – Aug 2004</w:t>
      </w:r>
    </w:p>
    <w:p w14:paraId="3E5DEC2E" w14:textId="77777777" w:rsidR="00B75341" w:rsidRPr="00F30CE2" w:rsidRDefault="00000000">
      <w:pPr>
        <w:tabs>
          <w:tab w:val="right" w:pos="9026"/>
        </w:tabs>
        <w:spacing w:after="40"/>
        <w:rPr>
          <w:rFonts w:ascii="SF Pro" w:hAnsi="SF Pro"/>
        </w:rPr>
      </w:pPr>
      <w:r w:rsidRPr="00F30CE2">
        <w:rPr>
          <w:rFonts w:ascii="SF Pro" w:hAnsi="SF Pro"/>
          <w:i/>
          <w:iCs/>
          <w:color w:val="595959"/>
          <w:sz w:val="20"/>
          <w:szCs w:val="20"/>
        </w:rPr>
        <w:t>ProcSys (Client: Cisco)</w:t>
      </w:r>
      <w:r w:rsidRPr="00F30CE2">
        <w:rPr>
          <w:rFonts w:ascii="SF Pro" w:hAnsi="SF Pro"/>
          <w:i/>
          <w:iCs/>
          <w:color w:val="595959"/>
          <w:sz w:val="20"/>
          <w:szCs w:val="20"/>
        </w:rPr>
        <w:tab/>
        <w:t>Bangalore, India</w:t>
      </w:r>
    </w:p>
    <w:p w14:paraId="343A76CE"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Built OpsXML, an intent-driven, declarative framework for automating Cisco router configuration — one of the earliest infrastructure-as-code implementations for physical networking.</w:t>
      </w:r>
    </w:p>
    <w:p w14:paraId="41EC8B5C"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Built an eLearning platform for Cisco devices used by thousands of students preparing for the CCNA exam.</w:t>
      </w:r>
    </w:p>
    <w:p w14:paraId="2AAB300D" w14:textId="77777777" w:rsidR="00B75341" w:rsidRPr="00F30CE2" w:rsidRDefault="00000000">
      <w:pPr>
        <w:pBdr>
          <w:bottom w:val="single" w:sz="6" w:space="2" w:color="0066CC"/>
        </w:pBdr>
        <w:spacing w:before="200" w:after="80"/>
        <w:rPr>
          <w:rFonts w:ascii="SF Pro" w:hAnsi="SF Pro"/>
        </w:rPr>
      </w:pPr>
      <w:r w:rsidRPr="00F30CE2">
        <w:rPr>
          <w:rFonts w:ascii="SF Pro" w:hAnsi="SF Pro"/>
          <w:b/>
          <w:bCs/>
          <w:color w:val="0066CC"/>
          <w:sz w:val="20"/>
          <w:szCs w:val="20"/>
        </w:rPr>
        <w:t>PUBLICATIONS &amp; ADDITIONAL INFO</w:t>
      </w:r>
    </w:p>
    <w:p w14:paraId="045F1E38" w14:textId="1F1E5F52"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"Agent Security Policy (ASP)" and "Escalation Threshold Theory (SET)</w:t>
      </w:r>
      <w:r w:rsidR="002D2B0F" w:rsidRPr="00F30CE2">
        <w:rPr>
          <w:rFonts w:ascii="SF Pro" w:hAnsi="SF Pro"/>
          <w:color w:val="1A1A1A"/>
        </w:rPr>
        <w:t xml:space="preserve"> Pre-prints</w:t>
      </w:r>
      <w:r w:rsidRPr="00F30CE2">
        <w:rPr>
          <w:rFonts w:ascii="SF Pro" w:hAnsi="SF Pro"/>
          <w:color w:val="1A1A1A"/>
        </w:rPr>
        <w:t>," SSRN Author ID 10270516.</w:t>
      </w:r>
    </w:p>
    <w:p w14:paraId="5017065C"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Day One AI: From Your First Job to Your First Product, published book, Amazon Kindle (ISBN 979-8-9957306-0-6).</w:t>
      </w:r>
    </w:p>
    <w:p w14:paraId="1E5BE438"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"The Escalation Trap" series (3 parts), Medium (medium.com/p/c1976c2f6950).</w:t>
      </w:r>
    </w:p>
    <w:p w14:paraId="464F084B" w14:textId="77777777" w:rsidR="00B75341" w:rsidRPr="00F30CE2" w:rsidRDefault="00000000">
      <w:pPr>
        <w:pStyle w:val="ListParagraph"/>
        <w:numPr>
          <w:ilvl w:val="0"/>
          <w:numId w:val="1"/>
        </w:numPr>
        <w:spacing w:after="40"/>
        <w:ind w:left="274" w:hanging="187"/>
        <w:rPr>
          <w:rFonts w:ascii="SF Pro" w:hAnsi="SF Pro"/>
        </w:rPr>
      </w:pPr>
      <w:r w:rsidRPr="00F30CE2">
        <w:rPr>
          <w:rFonts w:ascii="SF Pro" w:hAnsi="SF Pro"/>
          <w:color w:val="1A1A1A"/>
        </w:rPr>
        <w:t>ORCID: 0009-0004-9496-6339. STEM competition judge (UC Davis C-STEM, Sacramento STEM Faire) and volunteer AI instructor for high school students. Credentials: Cloud Computing, Stanford Continuing Studies.</w:t>
      </w:r>
    </w:p>
    <w:p w14:paraId="60FDF7D1" w14:textId="77777777" w:rsidR="00B75341" w:rsidRPr="00F30CE2" w:rsidRDefault="00000000">
      <w:pPr>
        <w:pBdr>
          <w:bottom w:val="single" w:sz="6" w:space="2" w:color="0066CC"/>
        </w:pBdr>
        <w:spacing w:before="200" w:after="80"/>
        <w:rPr>
          <w:rFonts w:ascii="SF Pro" w:hAnsi="SF Pro"/>
        </w:rPr>
      </w:pPr>
      <w:r w:rsidRPr="00F30CE2">
        <w:rPr>
          <w:rFonts w:ascii="SF Pro" w:hAnsi="SF Pro"/>
          <w:b/>
          <w:bCs/>
          <w:color w:val="0066CC"/>
          <w:sz w:val="20"/>
          <w:szCs w:val="20"/>
        </w:rPr>
        <w:t>EDUCATION</w:t>
      </w:r>
    </w:p>
    <w:p w14:paraId="0A18ED36" w14:textId="77777777" w:rsidR="00B75341" w:rsidRPr="00F30CE2" w:rsidRDefault="00000000">
      <w:pPr>
        <w:spacing w:after="20"/>
        <w:rPr>
          <w:rFonts w:ascii="SF Pro" w:hAnsi="SF Pro"/>
        </w:rPr>
      </w:pPr>
      <w:r w:rsidRPr="00F30CE2">
        <w:rPr>
          <w:rFonts w:ascii="SF Pro" w:hAnsi="SF Pro"/>
          <w:color w:val="1A1A1A"/>
        </w:rPr>
        <w:t>Master of Science (MS), Software Engineering | BITS Pilani</w:t>
      </w:r>
    </w:p>
    <w:p w14:paraId="7950F3C0" w14:textId="77777777" w:rsidR="00B75341" w:rsidRPr="00F30CE2" w:rsidRDefault="00000000">
      <w:pPr>
        <w:rPr>
          <w:rFonts w:ascii="SF Pro" w:hAnsi="SF Pro"/>
        </w:rPr>
      </w:pPr>
      <w:r w:rsidRPr="00F30CE2">
        <w:rPr>
          <w:rFonts w:ascii="SF Pro" w:hAnsi="SF Pro"/>
          <w:color w:val="1A1A1A"/>
        </w:rPr>
        <w:t>Bachelor of Engineering (BE), Computer Science &amp; Engineering | University of Mysore</w:t>
      </w:r>
    </w:p>
    <w:sectPr w:rsidR="00B75341" w:rsidRPr="00F30CE2">
      <w:pgSz w:w="12240" w:h="15840"/>
      <w:pgMar w:top="560" w:right="620" w:bottom="560" w:left="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F Pro">
    <w:panose1 w:val="00000000000000000000"/>
    <w:charset w:val="00"/>
    <w:family w:val="auto"/>
    <w:pitch w:val="variable"/>
    <w:sig w:usb0="E10002FF" w:usb1="5241EDFF" w:usb2="0400802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D548E1"/>
    <w:multiLevelType w:val="hybridMultilevel"/>
    <w:tmpl w:val="CD98FF68"/>
    <w:lvl w:ilvl="0" w:tplc="04090001">
      <w:start w:val="1"/>
      <w:numFmt w:val="bullet"/>
      <w:lvlText w:val=""/>
      <w:lvlJc w:val="left"/>
      <w:pPr>
        <w:ind w:left="720" w:hanging="360"/>
      </w:pPr>
      <w:rPr>
        <w:rFonts w:ascii="Symbol" w:hAnsi="Symbol" w:hint="default"/>
      </w:rPr>
    </w:lvl>
    <w:lvl w:ilvl="1" w:tplc="4614C280">
      <w:start w:val="1"/>
      <w:numFmt w:val="bullet"/>
      <w:lvlText w:val="○"/>
      <w:lvlJc w:val="left"/>
      <w:pPr>
        <w:ind w:left="1440" w:hanging="360"/>
      </w:pPr>
    </w:lvl>
    <w:lvl w:ilvl="2" w:tplc="3E62916E">
      <w:start w:val="1"/>
      <w:numFmt w:val="bullet"/>
      <w:lvlText w:val="■"/>
      <w:lvlJc w:val="left"/>
      <w:pPr>
        <w:ind w:left="2160" w:hanging="360"/>
      </w:pPr>
    </w:lvl>
    <w:lvl w:ilvl="3" w:tplc="C3AC3E76">
      <w:start w:val="1"/>
      <w:numFmt w:val="bullet"/>
      <w:lvlText w:val="●"/>
      <w:lvlJc w:val="left"/>
      <w:pPr>
        <w:ind w:left="2880" w:hanging="360"/>
      </w:pPr>
    </w:lvl>
    <w:lvl w:ilvl="4" w:tplc="AB7AF73A">
      <w:start w:val="1"/>
      <w:numFmt w:val="bullet"/>
      <w:lvlText w:val="○"/>
      <w:lvlJc w:val="left"/>
      <w:pPr>
        <w:ind w:left="3600" w:hanging="360"/>
      </w:pPr>
    </w:lvl>
    <w:lvl w:ilvl="5" w:tplc="2C342876">
      <w:start w:val="1"/>
      <w:numFmt w:val="bullet"/>
      <w:lvlText w:val="■"/>
      <w:lvlJc w:val="left"/>
      <w:pPr>
        <w:ind w:left="4320" w:hanging="360"/>
      </w:pPr>
    </w:lvl>
    <w:lvl w:ilvl="6" w:tplc="8026A0F0">
      <w:start w:val="1"/>
      <w:numFmt w:val="bullet"/>
      <w:lvlText w:val="●"/>
      <w:lvlJc w:val="left"/>
      <w:pPr>
        <w:ind w:left="5040" w:hanging="360"/>
      </w:pPr>
    </w:lvl>
    <w:lvl w:ilvl="7" w:tplc="7E1C548A">
      <w:start w:val="1"/>
      <w:numFmt w:val="bullet"/>
      <w:lvlText w:val="●"/>
      <w:lvlJc w:val="left"/>
      <w:pPr>
        <w:ind w:left="5760" w:hanging="360"/>
      </w:pPr>
    </w:lvl>
    <w:lvl w:ilvl="8" w:tplc="859043EC">
      <w:start w:val="1"/>
      <w:numFmt w:val="bullet"/>
      <w:lvlText w:val="●"/>
      <w:lvlJc w:val="left"/>
      <w:pPr>
        <w:ind w:left="6480" w:hanging="360"/>
      </w:pPr>
    </w:lvl>
  </w:abstractNum>
  <w:num w:numId="1" w16cid:durableId="1092624608">
    <w:abstractNumId w:val="0"/>
  </w:num>
  <w:num w:numId="2" w16cid:durableId="3030051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341"/>
    <w:rsid w:val="002D2B0F"/>
    <w:rsid w:val="004219E2"/>
    <w:rsid w:val="005A463A"/>
    <w:rsid w:val="006759AC"/>
    <w:rsid w:val="006A096C"/>
    <w:rsid w:val="007F6CE4"/>
    <w:rsid w:val="008A482A"/>
    <w:rsid w:val="00A8740C"/>
    <w:rsid w:val="00B03DCD"/>
    <w:rsid w:val="00B75341"/>
    <w:rsid w:val="00C86780"/>
    <w:rsid w:val="00D15ED1"/>
    <w:rsid w:val="00DE4C29"/>
    <w:rsid w:val="00DF79E8"/>
    <w:rsid w:val="00F30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16863D"/>
  <w15:docId w15:val="{24038DF1-6460-9942-9CF9-E57EDE953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1377</Words>
  <Characters>7852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Prasad M.K.</cp:lastModifiedBy>
  <cp:revision>3</cp:revision>
  <cp:lastPrinted>2026-09-14T19:59:00Z</cp:lastPrinted>
  <dcterms:created xsi:type="dcterms:W3CDTF">2026-09-14T19:58:00Z</dcterms:created>
  <dcterms:modified xsi:type="dcterms:W3CDTF">2026-09-14T20:01:00Z</dcterms:modified>
</cp:coreProperties>
</file>