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7AEF" w14:textId="77777777" w:rsidR="00BB353F" w:rsidRDefault="00000000">
      <w:pPr>
        <w:jc w:val="center"/>
      </w:pPr>
      <w:r>
        <w:rPr>
          <w:b/>
          <w:sz w:val="40"/>
        </w:rPr>
        <w:t>SaffronHealth.AI – NextGen Population Health Dashboard</w:t>
      </w:r>
      <w:r>
        <w:rPr>
          <w:b/>
          <w:sz w:val="40"/>
        </w:rPr>
        <w:br/>
        <w:t>Requirements (MVP)</w:t>
      </w:r>
    </w:p>
    <w:p w14:paraId="0487F71F" w14:textId="77777777" w:rsidR="00BB353F" w:rsidRDefault="00000000">
      <w:r>
        <w:t>Date: 09-Dec-2025</w:t>
      </w:r>
      <w:r>
        <w:br/>
        <w:t>Owner: Mohit Prasad (Principal Data Scientist)</w:t>
      </w:r>
      <w:r>
        <w:br/>
        <w:t>Version: 0.9 – MVP (UI-first, JSON-only)</w:t>
      </w:r>
    </w:p>
    <w:p w14:paraId="6F2020FF" w14:textId="77777777" w:rsidR="00BB353F" w:rsidRDefault="00000000">
      <w:pPr>
        <w:pStyle w:val="Heading1"/>
      </w:pPr>
      <w:r>
        <w:t>1. Scope &amp; Objectives</w:t>
      </w:r>
    </w:p>
    <w:p w14:paraId="3E9ED471" w14:textId="77777777" w:rsidR="00BB353F" w:rsidRDefault="00000000">
      <w:r>
        <w:t>Build an MVP of a clinician-first, role-based population health dashboard that reads patient data from a JSON dump, adds explainable, actionable metrics, and supports drill-down flows for three user roles: Payer, Provider, Care Coordinator. No backend APIs; all computations are client-side from JSON.</w:t>
      </w:r>
    </w:p>
    <w:p w14:paraId="6E48CBFD" w14:textId="77777777" w:rsidR="00BB353F" w:rsidRDefault="00000000">
      <w:pPr>
        <w:pStyle w:val="Heading1"/>
      </w:pPr>
      <w:r>
        <w:t>2. Personas &amp; Primary Goals</w:t>
      </w:r>
    </w:p>
    <w:p w14:paraId="79C69A0C" w14:textId="77777777" w:rsidR="00BB353F" w:rsidRDefault="00000000">
      <w:r>
        <w:rPr>
          <w:b/>
        </w:rPr>
        <w:t xml:space="preserve">Payer: </w:t>
      </w:r>
      <w:r>
        <w:t>Reduce avoidable acute spend; identify high-cost cohorts; forecast 12m spend; share actionable cohorts.</w:t>
      </w:r>
    </w:p>
    <w:p w14:paraId="5310C95A" w14:textId="77777777" w:rsidR="00BB353F" w:rsidRDefault="00000000">
      <w:r>
        <w:rPr>
          <w:b/>
        </w:rPr>
        <w:t xml:space="preserve">Provider: </w:t>
      </w:r>
      <w:r>
        <w:t>Point-of-care snapshot with care gaps, HCC/CMI evidence, and ED/Inpatient risk; document interventions.</w:t>
      </w:r>
    </w:p>
    <w:p w14:paraId="46095970" w14:textId="77777777" w:rsidR="00BB353F" w:rsidRDefault="00000000">
      <w:r>
        <w:rPr>
          <w:b/>
        </w:rPr>
        <w:t xml:space="preserve">Care Coordinator: </w:t>
      </w:r>
      <w:r>
        <w:t>Triage SDoH+care gaps; send resources; assign tasks; enroll pathway; track closure.</w:t>
      </w:r>
    </w:p>
    <w:p w14:paraId="6FB8EC0F" w14:textId="77777777" w:rsidR="00BB353F" w:rsidRDefault="00000000">
      <w:pPr>
        <w:pStyle w:val="Heading1"/>
      </w:pPr>
      <w:r>
        <w:t>3. Data Source &amp; Path</w:t>
      </w:r>
    </w:p>
    <w:p w14:paraId="2444FB81" w14:textId="77777777" w:rsidR="00BB353F" w:rsidRDefault="00000000">
      <w:r>
        <w:t>Default dev path: C:\\Users\\mprasa30\\Downloads\\patient.json</w:t>
      </w:r>
      <w:r>
        <w:br/>
        <w:t>Build/runtime path: /public/patient.json (Cloud Run container).</w:t>
      </w:r>
    </w:p>
    <w:p w14:paraId="057147AD" w14:textId="77777777" w:rsidR="00BB353F" w:rsidRDefault="00000000">
      <w:pPr>
        <w:pStyle w:val="Heading1"/>
      </w:pPr>
      <w:r>
        <w:t>4. Key Metrics (computed from JSON)</w:t>
      </w:r>
    </w:p>
    <w:p w14:paraId="65D77A15" w14:textId="77777777" w:rsidR="00BB353F" w:rsidRDefault="00000000">
      <w:r>
        <w:t>• Total Members (count)</w:t>
      </w:r>
    </w:p>
    <w:p w14:paraId="1673675A" w14:textId="77777777" w:rsidR="00BB353F" w:rsidRDefault="00000000">
      <w:r>
        <w:t>• Engaged Members % (Engaged/High Utilizer)</w:t>
      </w:r>
    </w:p>
    <w:p w14:paraId="64509480" w14:textId="77777777" w:rsidR="00BB353F" w:rsidRDefault="00000000">
      <w:r>
        <w:t>• Total Cost of Care (YTD): yearlySpending[2025] OR edCostYtd + inpatientCostYtd + surgeryCostYtd</w:t>
      </w:r>
    </w:p>
    <w:p w14:paraId="025DE42C" w14:textId="77777777" w:rsidR="00BB353F" w:rsidRDefault="00000000">
      <w:r>
        <w:t>• Preventable ED (modeled): sum(predictedEdCost)</w:t>
      </w:r>
    </w:p>
    <w:p w14:paraId="67070E26" w14:textId="77777777" w:rsidR="00BB353F" w:rsidRDefault="00000000">
      <w:r>
        <w:lastRenderedPageBreak/>
        <w:t>• Surgery Spend (YTD): sum(surgeryCostYtd) and Projected: sum(predictedSurgeryCost)</w:t>
      </w:r>
    </w:p>
    <w:p w14:paraId="14B6C16B" w14:textId="77777777" w:rsidR="00BB353F" w:rsidRDefault="00000000">
      <w:r>
        <w:t>• Risk Segment counts (Very High, High, Medium, Low)</w:t>
      </w:r>
    </w:p>
    <w:p w14:paraId="4226E8C8" w14:textId="77777777" w:rsidR="00BB353F" w:rsidRDefault="00000000">
      <w:r>
        <w:t>• 12m Predictions: Total, ED, Inpatient, Surgery, Chronic, Other</w:t>
      </w:r>
    </w:p>
    <w:p w14:paraId="69BD225C" w14:textId="77777777" w:rsidR="00BB353F" w:rsidRDefault="00000000">
      <w:r>
        <w:t>• Cost Drivers: frequency-weighted (Oncology, MSK, Behavioral Health, COPD)</w:t>
      </w:r>
    </w:p>
    <w:p w14:paraId="17DC1E3B" w14:textId="77777777" w:rsidR="00BB353F" w:rsidRDefault="00000000">
      <w:pPr>
        <w:pStyle w:val="Heading1"/>
      </w:pPr>
      <w:r>
        <w:t>5. Cost Avoidance (MVP)</w:t>
      </w:r>
    </w:p>
    <w:p w14:paraId="72808C1B" w14:textId="77777777" w:rsidR="00BB353F" w:rsidRDefault="00000000">
      <w:r>
        <w:t>Formula shown in UI and “Why?” tooltip for transparency:</w:t>
      </w:r>
    </w:p>
    <w:p w14:paraId="488BDD5F" w14:textId="77777777" w:rsidR="00BB353F" w:rsidRDefault="00000000">
      <w:r>
        <w:t>Cost Avoidance = (Σ predictedEdCost + Σ predictedInpatientCost) − (Σ edCostYtd + Σ inpatientCostYtd)</w:t>
      </w:r>
    </w:p>
    <w:p w14:paraId="38B85F34" w14:textId="77777777" w:rsidR="00BB353F" w:rsidRDefault="00000000">
      <w:pPr>
        <w:pStyle w:val="Heading1"/>
      </w:pPr>
      <w:r>
        <w:t>6. Role-Based Screens &amp; Drill-downs</w:t>
      </w:r>
    </w:p>
    <w:p w14:paraId="142911A1" w14:textId="77777777" w:rsidR="00BB353F" w:rsidRDefault="00000000">
      <w:pPr>
        <w:pStyle w:val="Heading2"/>
      </w:pPr>
      <w:r>
        <w:t>Payer Summary</w:t>
      </w:r>
    </w:p>
    <w:p w14:paraId="069608C3" w14:textId="77777777" w:rsidR="00BB353F" w:rsidRDefault="00000000">
      <w:r>
        <w:t>• KPIs: Total, Engaged%, YTD, Preventable ED, Surgery YTD, Cost Avoidance</w:t>
      </w:r>
    </w:p>
    <w:p w14:paraId="44DAC7F4" w14:textId="77777777" w:rsidR="00BB353F" w:rsidRDefault="00000000">
      <w:r>
        <w:t>• Risk segments grid with SDoH chips and “View members”</w:t>
      </w:r>
    </w:p>
    <w:p w14:paraId="1835AE70" w14:textId="77777777" w:rsidR="00BB353F" w:rsidRDefault="00000000">
      <w:r>
        <w:t>• 12m predictions grid</w:t>
      </w:r>
    </w:p>
    <w:p w14:paraId="5E71CD83" w14:textId="77777777" w:rsidR="00BB353F" w:rsidRDefault="00000000">
      <w:r>
        <w:t>• Cost Drivers chips that filter cohorts</w:t>
      </w:r>
    </w:p>
    <w:p w14:paraId="4EE5F7BA" w14:textId="77777777" w:rsidR="00BB353F" w:rsidRDefault="00000000">
      <w:r>
        <w:t>• Drill-down: KPI/driver → Cohort List (virtualized) → Member Drawer (Cost tab) with evidence</w:t>
      </w:r>
    </w:p>
    <w:p w14:paraId="675D6BF1" w14:textId="77777777" w:rsidR="00BB353F" w:rsidRDefault="00000000">
      <w:pPr>
        <w:pStyle w:val="Heading2"/>
      </w:pPr>
      <w:r>
        <w:t>Provider Clinical Cockpit</w:t>
      </w:r>
    </w:p>
    <w:p w14:paraId="0602E06F" w14:textId="77777777" w:rsidR="00BB353F" w:rsidRDefault="00000000">
      <w:r>
        <w:t>• KPIs: High-risk visits today, Open care gaps, HCC opportunities, Abnormal trends</w:t>
      </w:r>
    </w:p>
    <w:p w14:paraId="3768BAAC" w14:textId="77777777" w:rsidR="00BB353F" w:rsidRDefault="00000000">
      <w:r>
        <w:t>• Patient tiles with risk pill, condition, SDoH chips, Why? evidence</w:t>
      </w:r>
    </w:p>
    <w:p w14:paraId="47CE22BD" w14:textId="77777777" w:rsidR="00BB353F" w:rsidRDefault="00000000">
      <w:r>
        <w:t>• Drawer Timeline: Summary (care gaps/recs), Utilization (ED/IP risk, cost split, YTD)</w:t>
      </w:r>
    </w:p>
    <w:p w14:paraId="4A1786B9" w14:textId="77777777" w:rsidR="00BB353F" w:rsidRDefault="00000000">
      <w:r>
        <w:t>• Actions: Confirm HCC, Plan note, Mark gap planned</w:t>
      </w:r>
    </w:p>
    <w:p w14:paraId="03984DCA" w14:textId="77777777" w:rsidR="00BB353F" w:rsidRDefault="00000000">
      <w:pPr>
        <w:pStyle w:val="Heading2"/>
      </w:pPr>
      <w:r>
        <w:t>Care Coordinator Workbench</w:t>
      </w:r>
    </w:p>
    <w:p w14:paraId="04ECE50D" w14:textId="77777777" w:rsidR="00BB353F" w:rsidRDefault="00000000">
      <w:r>
        <w:t>• KPIs: Care gaps, ≥2 SDoH, Tasks due, Engagement mix</w:t>
      </w:r>
    </w:p>
    <w:p w14:paraId="0F1BCCB6" w14:textId="77777777" w:rsidR="00BB353F" w:rsidRDefault="00000000">
      <w:r>
        <w:t>• Triage queue sorted by SDoH→risk→lastUpdated</w:t>
      </w:r>
    </w:p>
    <w:p w14:paraId="3889234E" w14:textId="77777777" w:rsidR="00BB353F" w:rsidRDefault="00000000">
      <w:r>
        <w:t>• Drawer Care tab: checklist, assign, acknowledge, enroll pathway</w:t>
      </w:r>
    </w:p>
    <w:p w14:paraId="001C423A" w14:textId="77777777" w:rsidR="00BB353F" w:rsidRDefault="00000000">
      <w:r>
        <w:t>• Resources: copy/share links from communityResources</w:t>
      </w:r>
    </w:p>
    <w:p w14:paraId="57256B35" w14:textId="77777777" w:rsidR="00BB353F" w:rsidRDefault="00000000">
      <w:pPr>
        <w:pStyle w:val="Heading1"/>
      </w:pPr>
      <w:r>
        <w:lastRenderedPageBreak/>
        <w:t>7. Employee Finder, List &amp; Details</w:t>
      </w:r>
    </w:p>
    <w:p w14:paraId="518EBCAD" w14:textId="77777777" w:rsidR="00BB353F" w:rsidRDefault="00000000">
      <w:r>
        <w:t>• Finder filters: State, Risk Segment, Condition, Engagement, SDoH (Housing/Food/Transport/Financial)</w:t>
      </w:r>
    </w:p>
    <w:p w14:paraId="6BE91AB4" w14:textId="77777777" w:rsidR="00BB353F" w:rsidRDefault="00000000">
      <w:r>
        <w:t>• Employee List: virtualized 10k, columns: Member, State, Risk, Risk Score, Conditions, SDoH chips, Engagement, Pred 12m Cost</w:t>
      </w:r>
    </w:p>
    <w:p w14:paraId="68B24DC5" w14:textId="77777777" w:rsidR="00BB353F" w:rsidRDefault="00000000">
      <w:r>
        <w:t>• Row click opens Member Drawer (Summary/Cost/Care/SDoH) with evidence pills</w:t>
      </w:r>
    </w:p>
    <w:p w14:paraId="1B5E6B71" w14:textId="77777777" w:rsidR="00BB353F" w:rsidRDefault="00000000">
      <w:pPr>
        <w:pStyle w:val="Heading1"/>
      </w:pPr>
      <w:r>
        <w:t>8. Narratives &amp; Explainability</w:t>
      </w:r>
    </w:p>
    <w:p w14:paraId="104C7E9C" w14:textId="77777777" w:rsidR="00BB353F" w:rsidRDefault="00000000">
      <w:r>
        <w:t>• Each KPI/alert includes a “Why?” pill showing top drivers and JSON evidence (hccRiskExplanation, cmiExplanation, edUseExplanation, inpatientExplanation).</w:t>
      </w:r>
    </w:p>
    <w:p w14:paraId="61A1CEC2" w14:textId="77777777" w:rsidR="00BB353F" w:rsidRDefault="00000000">
      <w:r>
        <w:t>• Narratives: Trend, Distribution, Care focus—auto-generated from segment mix and predicted acute utilization.</w:t>
      </w:r>
    </w:p>
    <w:p w14:paraId="1785C923" w14:textId="77777777" w:rsidR="00BB353F" w:rsidRDefault="00000000">
      <w:pPr>
        <w:pStyle w:val="Heading1"/>
      </w:pPr>
      <w:r>
        <w:t>9. Accessibility &amp; Performance</w:t>
      </w:r>
    </w:p>
    <w:p w14:paraId="02820355" w14:textId="77777777" w:rsidR="00BB353F" w:rsidRDefault="00000000">
      <w:r>
        <w:t>• WCAG AA contrast; color+icon+text for status; keyboard shortcuts (g o / g l / g d; Esc).</w:t>
      </w:r>
    </w:p>
    <w:p w14:paraId="50C68F85" w14:textId="77777777" w:rsidR="00BB353F" w:rsidRDefault="00000000">
      <w:r>
        <w:t>• Virtualized tables (react-window) for 10k; memoized computations; cohort chips persist across tabs.</w:t>
      </w:r>
    </w:p>
    <w:p w14:paraId="6C7CD1A2" w14:textId="77777777" w:rsidR="00BB353F" w:rsidRDefault="00000000">
      <w:pPr>
        <w:pStyle w:val="Heading1"/>
      </w:pPr>
      <w:r>
        <w:t>10. Non-functional &amp; Deployment</w:t>
      </w:r>
    </w:p>
    <w:p w14:paraId="0B832F69" w14:textId="77777777" w:rsidR="00BB353F" w:rsidRDefault="00000000">
      <w:r>
        <w:t>• No backend APIs (MVP): all metrics computed from JSON dumps.</w:t>
      </w:r>
    </w:p>
    <w:p w14:paraId="42BE96DA" w14:textId="77777777" w:rsidR="00BB353F" w:rsidRDefault="00000000">
      <w:r>
        <w:t>• Next.js + Tailwind; JSON read via Node fs in dev, /public in build; Cloud Run container serves static build.</w:t>
      </w:r>
    </w:p>
    <w:p w14:paraId="24ADFC84" w14:textId="77777777" w:rsidR="00BB353F" w:rsidRDefault="00000000">
      <w:r>
        <w:t>• High-contrast variant for Provider acute flows; Saffron Purple (Light) theme.</w:t>
      </w:r>
    </w:p>
    <w:p w14:paraId="41BD2D31" w14:textId="77777777" w:rsidR="00BB353F" w:rsidRDefault="00000000">
      <w:pPr>
        <w:pStyle w:val="Heading1"/>
      </w:pPr>
      <w:r>
        <w:t>11. Screenshots (Wireframes &amp; Drill-down)</w:t>
      </w:r>
    </w:p>
    <w:p w14:paraId="117B9775" w14:textId="77777777" w:rsidR="00BB353F" w:rsidRDefault="00000000">
      <w:r>
        <w:t>Composite drill-down wireframes:</w:t>
      </w:r>
    </w:p>
    <w:p w14:paraId="4D6E1122" w14:textId="77777777" w:rsidR="00BB353F" w:rsidRDefault="00000000">
      <w:r>
        <w:rPr>
          <w:noProof/>
        </w:rPr>
        <w:lastRenderedPageBreak/>
        <w:drawing>
          <wp:inline distT="0" distB="0" distL="0" distR="0" wp14:anchorId="129436F2" wp14:editId="5B0CA37A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e send me wireframe and snaphots !!!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146427">
    <w:abstractNumId w:val="8"/>
  </w:num>
  <w:num w:numId="2" w16cid:durableId="382216767">
    <w:abstractNumId w:val="6"/>
  </w:num>
  <w:num w:numId="3" w16cid:durableId="259026460">
    <w:abstractNumId w:val="5"/>
  </w:num>
  <w:num w:numId="4" w16cid:durableId="713116516">
    <w:abstractNumId w:val="4"/>
  </w:num>
  <w:num w:numId="5" w16cid:durableId="95640798">
    <w:abstractNumId w:val="7"/>
  </w:num>
  <w:num w:numId="6" w16cid:durableId="1766925383">
    <w:abstractNumId w:val="3"/>
  </w:num>
  <w:num w:numId="7" w16cid:durableId="529926191">
    <w:abstractNumId w:val="2"/>
  </w:num>
  <w:num w:numId="8" w16cid:durableId="591279354">
    <w:abstractNumId w:val="1"/>
  </w:num>
  <w:num w:numId="9" w16cid:durableId="77818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332"/>
    <w:rsid w:val="009F7C4E"/>
    <w:rsid w:val="00AA1D8D"/>
    <w:rsid w:val="00B47730"/>
    <w:rsid w:val="00BB35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3AAB7"/>
  <w14:defaultImageDpi w14:val="300"/>
  <w15:docId w15:val="{2A7F914D-F58B-49C4-A23E-99DBF3902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3349</Characters>
  <Application>Microsoft Office Word</Application>
  <DocSecurity>0</DocSecurity>
  <Lines>76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Prasad, Mohit</cp:lastModifiedBy>
  <cp:revision>3</cp:revision>
  <dcterms:created xsi:type="dcterms:W3CDTF">2013-12-23T23:15:00Z</dcterms:created>
  <dcterms:modified xsi:type="dcterms:W3CDTF">2025-12-10T11:45:00Z</dcterms:modified>
  <cp:category/>
</cp:coreProperties>
</file>