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rPr>
        <w:t xml:space="preserve"/>
      </w:r>
    </w:p>
    <w:p>
      <w:pPr>
        <w:spacing w:after="60" w:line="276"/>
        <w:jc w:val="center"/>
      </w:pPr>
      <w:r>
        <w:rPr>
          <w:rFonts w:ascii="Times New Roman" w:cs="Times New Roman" w:eastAsia="Times New Roman" w:hAnsi="Times New Roman"/>
          <w:b/>
          <w:bCs/>
          <w:sz w:val="36"/>
          <w:szCs w:val="36"/>
        </w:rPr>
        <w:t xml:space="preserve">Mini Project Report</w:t>
      </w:r>
    </w:p>
    <w:p>
      <w:pPr>
        <w:spacing w:after="300" w:line="276"/>
        <w:jc w:val="center"/>
      </w:pPr>
      <w:r>
        <w:rPr>
          <w:rFonts w:ascii="Times New Roman" w:cs="Times New Roman" w:eastAsia="Times New Roman" w:hAnsi="Times New Roman"/>
          <w:sz w:val="28"/>
          <w:szCs w:val="28"/>
        </w:rPr>
        <w:t xml:space="preserve">On</w:t>
      </w:r>
    </w:p>
    <w:p>
      <w:pPr>
        <w:spacing w:after="40" w:line="276"/>
        <w:jc w:val="center"/>
      </w:pPr>
      <w:r>
        <w:rPr>
          <w:rFonts w:ascii="Times New Roman" w:cs="Times New Roman" w:eastAsia="Times New Roman" w:hAnsi="Times New Roman"/>
          <w:b/>
          <w:bCs/>
          <w:sz w:val="40"/>
          <w:szCs w:val="40"/>
        </w:rPr>
        <w:t xml:space="preserve">AI-Powered Teacher-Facing Student</w:t>
      </w:r>
    </w:p>
    <w:p>
      <w:pPr>
        <w:spacing w:after="500" w:line="276"/>
        <w:jc w:val="center"/>
      </w:pPr>
      <w:r>
        <w:rPr>
          <w:rFonts w:ascii="Times New Roman" w:cs="Times New Roman" w:eastAsia="Times New Roman" w:hAnsi="Times New Roman"/>
          <w:b/>
          <w:bCs/>
          <w:sz w:val="40"/>
          <w:szCs w:val="40"/>
        </w:rPr>
        <w:t xml:space="preserve">Information Assistant</w:t>
      </w:r>
    </w:p>
    <w:p>
      <w:pPr>
        <w:spacing w:after="140" w:line="276"/>
        <w:jc w:val="center"/>
      </w:pPr>
      <w:r>
        <w:rPr>
          <w:rFonts w:ascii="Times New Roman" w:cs="Times New Roman" w:eastAsia="Times New Roman" w:hAnsi="Times New Roman"/>
          <w:sz w:val="26"/>
          <w:szCs w:val="26"/>
        </w:rPr>
        <w:t xml:space="preserve">Submitted by:</w:t>
      </w:r>
    </w:p>
    <w:p>
      <w:pPr>
        <w:spacing w:after="500" w:line="276"/>
        <w:jc w:val="center"/>
      </w:pPr>
      <w:r>
        <w:rPr>
          <w:rFonts w:ascii="Times New Roman" w:cs="Times New Roman" w:eastAsia="Times New Roman" w:hAnsi="Times New Roman"/>
          <w:b/>
          <w:bCs/>
          <w:sz w:val="28"/>
          <w:szCs w:val="28"/>
        </w:rPr>
        <w:t xml:space="preserve">Prasad Bhalerao (RBT24CB026)</w:t>
      </w:r>
    </w:p>
    <w:p>
      <w:pPr>
        <w:spacing w:after="120" w:line="276"/>
        <w:jc w:val="center"/>
      </w:pPr>
      <w:r>
        <w:rPr>
          <w:rFonts w:ascii="Times New Roman" w:cs="Times New Roman" w:eastAsia="Times New Roman" w:hAnsi="Times New Roman"/>
          <w:sz w:val="26"/>
          <w:szCs w:val="26"/>
        </w:rPr>
        <w:t xml:space="preserve">Under the guidance of</w:t>
      </w:r>
    </w:p>
    <w:p>
      <w:pPr>
        <w:spacing w:after="500" w:line="276"/>
        <w:jc w:val="center"/>
      </w:pPr>
      <w:r>
        <w:rPr>
          <w:rFonts w:ascii="Times New Roman" w:cs="Times New Roman" w:eastAsia="Times New Roman" w:hAnsi="Times New Roman"/>
          <w:b/>
          <w:bCs/>
          <w:sz w:val="30"/>
          <w:szCs w:val="30"/>
        </w:rPr>
        <w:t xml:space="preserve">Prof. Sumedha Raut</w:t>
      </w:r>
    </w:p>
    <w:p>
      <w:pPr>
        <w:spacing w:after="80" w:line="276"/>
        <w:jc w:val="center"/>
      </w:pPr>
      <w:r>
        <w:rPr>
          <w:rFonts w:ascii="Times New Roman" w:cs="Times New Roman" w:eastAsia="Times New Roman" w:hAnsi="Times New Roman"/>
          <w:sz w:val="26"/>
          <w:szCs w:val="26"/>
        </w:rPr>
        <w:t xml:space="preserve">Course: Artificial Intelligence</w:t>
      </w:r>
    </w:p>
    <w:p>
      <w:pPr>
        <w:spacing w:after="80" w:line="276"/>
        <w:jc w:val="center"/>
      </w:pPr>
      <w:r>
        <w:rPr>
          <w:rFonts w:ascii="Times New Roman" w:cs="Times New Roman" w:eastAsia="Times New Roman" w:hAnsi="Times New Roman"/>
          <w:sz w:val="24"/>
          <w:szCs w:val="24"/>
        </w:rPr>
        <w:t xml:space="preserve">Department of Computer Science and Business Systems</w:t>
      </w:r>
    </w:p>
    <w:p>
      <w:pPr>
        <w:spacing w:after="0" w:line="276"/>
        <w:jc w:val="center"/>
      </w:pPr>
      <w:r>
        <w:rPr>
          <w:rFonts w:ascii="Times New Roman" w:cs="Times New Roman" w:eastAsia="Times New Roman" w:hAnsi="Times New Roman"/>
          <w:sz w:val="26"/>
          <w:szCs w:val="26"/>
        </w:rPr>
        <w:t xml:space="preserve">Academic Year: 2026–27 (Semester VI)</w:t>
      </w:r>
    </w:p>
    <w:p>
      <w:r>
        <w:br w:type="page"/>
      </w:r>
    </w:p>
    <w:p>
      <w:pPr>
        <w:spacing w:after="240"/>
        <w:jc w:val="center"/>
      </w:pPr>
      <w:r>
        <w:rPr>
          <w:rFonts w:ascii="Times New Roman" w:cs="Times New Roman" w:eastAsia="Times New Roman" w:hAnsi="Times New Roman"/>
          <w:b/>
          <w:bCs/>
          <w:sz w:val="30"/>
          <w:szCs w:val="30"/>
        </w:rPr>
        <w:t xml:space="preserve">Table of Contents</w:t>
      </w:r>
    </w:p>
    <w:sdt>
      <w:sdtPr>
        <w:alias w:val="Contents"/>
      </w:sdtPr>
      <w:sdtContent>
        <w:p>
          <w:pPr>
            <w:pStyle w:val="TOC1"/>
            <w:tabs>
              <w:tab w:val="right" w:pos="9354" w:leader="dot"/>
            </w:tabs>
          </w:pPr>
          <w:r>
            <w:fldChar w:fldCharType="begin" w:dirty="true"/>
            <w:instrText xml:space="preserve">TOC \h \o "1-2"</w:instrText>
            <w:fldChar w:fldCharType="separate"/>
          </w:r>
          <w:hyperlink w:history="1" w:anchor="_Toc1">
            <w:r>
              <w:t xml:space="preserve">1. Abstract</w:t>
            </w:r>
            <w:r>
              <w:tab/>
            </w:r>
            <w:r>
              <w:fldChar w:fldCharType="begin" w:dirty="true"/>
              <w:instrText xml:space="preserve">PAGEREF _Toc1 \h</w:instrText>
              <w:fldChar w:fldCharType="separate"/>
              <w:fldChar w:fldCharType="end"/>
            </w:r>
          </w:hyperlink>
        </w:p>
        <w:p>
          <w:pPr>
            <w:pStyle w:val="TOC1"/>
            <w:tabs>
              <w:tab w:val="right" w:pos="9354" w:leader="dot"/>
            </w:tabs>
          </w:pPr>
          <w:hyperlink w:history="1" w:anchor="_Toc2">
            <w:r>
              <w:t xml:space="preserve">2. Introduction</w:t>
            </w:r>
            <w:r>
              <w:tab/>
            </w:r>
            <w:r>
              <w:fldChar w:fldCharType="begin" w:dirty="true"/>
              <w:instrText xml:space="preserve">PAGEREF _Toc2 \h</w:instrText>
              <w:fldChar w:fldCharType="separate"/>
              <w:fldChar w:fldCharType="end"/>
            </w:r>
          </w:hyperlink>
        </w:p>
        <w:p>
          <w:pPr>
            <w:pStyle w:val="TOC2"/>
            <w:tabs>
              <w:tab w:val="right" w:pos="9354" w:leader="dot"/>
            </w:tabs>
            <w:ind w:left="220"/>
          </w:pPr>
          <w:hyperlink w:history="1" w:anchor="_Toc3">
            <w:r>
              <w:t xml:space="preserve">2.1 Background and Motivation</w:t>
            </w:r>
            <w:r>
              <w:tab/>
            </w:r>
            <w:r>
              <w:fldChar w:fldCharType="begin" w:dirty="true"/>
              <w:instrText xml:space="preserve">PAGEREF _Toc3 \h</w:instrText>
              <w:fldChar w:fldCharType="separate"/>
              <w:fldChar w:fldCharType="end"/>
            </w:r>
          </w:hyperlink>
        </w:p>
        <w:p>
          <w:pPr>
            <w:pStyle w:val="TOC2"/>
            <w:tabs>
              <w:tab w:val="right" w:pos="9354" w:leader="dot"/>
            </w:tabs>
            <w:ind w:left="220"/>
          </w:pPr>
          <w:hyperlink w:history="1" w:anchor="_Toc4">
            <w:r>
              <w:t xml:space="preserve">2.2 Problem Definition</w:t>
            </w:r>
            <w:r>
              <w:tab/>
            </w:r>
            <w:r>
              <w:fldChar w:fldCharType="begin" w:dirty="true"/>
              <w:instrText xml:space="preserve">PAGEREF _Toc4 \h</w:instrText>
              <w:fldChar w:fldCharType="separate"/>
              <w:fldChar w:fldCharType="end"/>
            </w:r>
          </w:hyperlink>
        </w:p>
        <w:p>
          <w:pPr>
            <w:pStyle w:val="TOC2"/>
            <w:tabs>
              <w:tab w:val="right" w:pos="9354" w:leader="dot"/>
            </w:tabs>
            <w:ind w:left="220"/>
          </w:pPr>
          <w:hyperlink w:history="1" w:anchor="_Toc5">
            <w:r>
              <w:t xml:space="preserve">2.3 Objectives</w:t>
            </w:r>
            <w:r>
              <w:tab/>
            </w:r>
            <w:r>
              <w:fldChar w:fldCharType="begin" w:dirty="true"/>
              <w:instrText xml:space="preserve">PAGEREF _Toc5 \h</w:instrText>
              <w:fldChar w:fldCharType="separate"/>
              <w:fldChar w:fldCharType="end"/>
            </w:r>
          </w:hyperlink>
        </w:p>
        <w:p>
          <w:pPr>
            <w:pStyle w:val="TOC1"/>
            <w:tabs>
              <w:tab w:val="right" w:pos="9354" w:leader="dot"/>
            </w:tabs>
          </w:pPr>
          <w:hyperlink w:history="1" w:anchor="_Toc6">
            <w:r>
              <w:t xml:space="preserve">3. Literature Survey / Existing System</w:t>
            </w:r>
            <w:r>
              <w:tab/>
            </w:r>
            <w:r>
              <w:fldChar w:fldCharType="begin" w:dirty="true"/>
              <w:instrText xml:space="preserve">PAGEREF _Toc6 \h</w:instrText>
              <w:fldChar w:fldCharType="separate"/>
              <w:fldChar w:fldCharType="end"/>
            </w:r>
          </w:hyperlink>
        </w:p>
        <w:p>
          <w:pPr>
            <w:pStyle w:val="TOC2"/>
            <w:tabs>
              <w:tab w:val="right" w:pos="9354" w:leader="dot"/>
            </w:tabs>
            <w:ind w:left="220"/>
          </w:pPr>
          <w:hyperlink w:history="1" w:anchor="_Toc7">
            <w:r>
              <w:t xml:space="preserve">3.1 Review of Related Tools and Approaches</w:t>
            </w:r>
            <w:r>
              <w:tab/>
            </w:r>
            <w:r>
              <w:fldChar w:fldCharType="begin" w:dirty="true"/>
              <w:instrText xml:space="preserve">PAGEREF _Toc7 \h</w:instrText>
              <w:fldChar w:fldCharType="separate"/>
              <w:fldChar w:fldCharType="end"/>
            </w:r>
          </w:hyperlink>
        </w:p>
        <w:p>
          <w:pPr>
            <w:pStyle w:val="TOC2"/>
            <w:tabs>
              <w:tab w:val="right" w:pos="9354" w:leader="dot"/>
            </w:tabs>
            <w:ind w:left="220"/>
          </w:pPr>
          <w:hyperlink w:history="1" w:anchor="_Toc8">
            <w:r>
              <w:t xml:space="preserve">3.2 Gaps Identified</w:t>
            </w:r>
            <w:r>
              <w:tab/>
            </w:r>
            <w:r>
              <w:fldChar w:fldCharType="begin" w:dirty="true"/>
              <w:instrText xml:space="preserve">PAGEREF _Toc8 \h</w:instrText>
              <w:fldChar w:fldCharType="separate"/>
              <w:fldChar w:fldCharType="end"/>
            </w:r>
          </w:hyperlink>
        </w:p>
        <w:p>
          <w:pPr>
            <w:pStyle w:val="TOC1"/>
            <w:tabs>
              <w:tab w:val="right" w:pos="9354" w:leader="dot"/>
            </w:tabs>
          </w:pPr>
          <w:hyperlink w:history="1" w:anchor="_Toc9">
            <w:r>
              <w:t xml:space="preserve">4. Proposed System</w:t>
            </w:r>
            <w:r>
              <w:tab/>
            </w:r>
            <w:r>
              <w:fldChar w:fldCharType="begin" w:dirty="true"/>
              <w:instrText xml:space="preserve">PAGEREF _Toc9 \h</w:instrText>
              <w:fldChar w:fldCharType="separate"/>
              <w:fldChar w:fldCharType="end"/>
            </w:r>
          </w:hyperlink>
        </w:p>
        <w:p>
          <w:pPr>
            <w:pStyle w:val="TOC2"/>
            <w:tabs>
              <w:tab w:val="right" w:pos="9354" w:leader="dot"/>
            </w:tabs>
            <w:ind w:left="220"/>
          </w:pPr>
          <w:hyperlink w:history="1" w:anchor="_Toc10">
            <w:r>
              <w:t xml:space="preserve">4.1 System Overview</w:t>
            </w:r>
            <w:r>
              <w:tab/>
            </w:r>
            <w:r>
              <w:fldChar w:fldCharType="begin" w:dirty="true"/>
              <w:instrText xml:space="preserve">PAGEREF _Toc10 \h</w:instrText>
              <w:fldChar w:fldCharType="separate"/>
              <w:fldChar w:fldCharType="end"/>
            </w:r>
          </w:hyperlink>
        </w:p>
        <w:p>
          <w:pPr>
            <w:pStyle w:val="TOC2"/>
            <w:tabs>
              <w:tab w:val="right" w:pos="9354" w:leader="dot"/>
            </w:tabs>
            <w:ind w:left="220"/>
          </w:pPr>
          <w:hyperlink w:history="1" w:anchor="_Toc11">
            <w:r>
              <w:t xml:space="preserve">4.2 Features and Scope</w:t>
            </w:r>
            <w:r>
              <w:tab/>
            </w:r>
            <w:r>
              <w:fldChar w:fldCharType="begin" w:dirty="true"/>
              <w:instrText xml:space="preserve">PAGEREF _Toc11 \h</w:instrText>
              <w:fldChar w:fldCharType="separate"/>
              <w:fldChar w:fldCharType="end"/>
            </w:r>
          </w:hyperlink>
        </w:p>
        <w:p>
          <w:pPr>
            <w:pStyle w:val="TOC2"/>
            <w:tabs>
              <w:tab w:val="right" w:pos="9354" w:leader="dot"/>
            </w:tabs>
            <w:ind w:left="220"/>
          </w:pPr>
          <w:hyperlink w:history="1" w:anchor="_Toc12">
            <w:r>
              <w:t xml:space="preserve">4.3 System Architecture</w:t>
            </w:r>
            <w:r>
              <w:tab/>
            </w:r>
            <w:r>
              <w:fldChar w:fldCharType="begin" w:dirty="true"/>
              <w:instrText xml:space="preserve">PAGEREF _Toc12 \h</w:instrText>
              <w:fldChar w:fldCharType="separate"/>
              <w:fldChar w:fldCharType="end"/>
            </w:r>
          </w:hyperlink>
        </w:p>
        <w:p>
          <w:pPr>
            <w:pStyle w:val="TOC2"/>
            <w:tabs>
              <w:tab w:val="right" w:pos="9354" w:leader="dot"/>
            </w:tabs>
            <w:ind w:left="220"/>
          </w:pPr>
          <w:hyperlink w:history="1" w:anchor="_Toc13">
            <w:r>
              <w:t xml:space="preserve">4.4 Database Design</w:t>
            </w:r>
            <w:r>
              <w:tab/>
            </w:r>
            <w:r>
              <w:fldChar w:fldCharType="begin" w:dirty="true"/>
              <w:instrText xml:space="preserve">PAGEREF _Toc13 \h</w:instrText>
              <w:fldChar w:fldCharType="separate"/>
              <w:fldChar w:fldCharType="end"/>
            </w:r>
          </w:hyperlink>
        </w:p>
        <w:p>
          <w:pPr>
            <w:pStyle w:val="TOC1"/>
            <w:tabs>
              <w:tab w:val="right" w:pos="9354" w:leader="dot"/>
            </w:tabs>
          </w:pPr>
          <w:hyperlink w:history="1" w:anchor="_Toc14">
            <w:r>
              <w:t xml:space="preserve">5. Methodology / Implementation</w:t>
            </w:r>
            <w:r>
              <w:tab/>
            </w:r>
            <w:r>
              <w:fldChar w:fldCharType="begin" w:dirty="true"/>
              <w:instrText xml:space="preserve">PAGEREF _Toc14 \h</w:instrText>
              <w:fldChar w:fldCharType="separate"/>
              <w:fldChar w:fldCharType="end"/>
            </w:r>
          </w:hyperlink>
        </w:p>
        <w:p>
          <w:pPr>
            <w:pStyle w:val="TOC2"/>
            <w:tabs>
              <w:tab w:val="right" w:pos="9354" w:leader="dot"/>
            </w:tabs>
            <w:ind w:left="220"/>
          </w:pPr>
          <w:hyperlink w:history="1" w:anchor="_Toc15">
            <w:r>
              <w:t xml:space="preserve">5.1 Tools and Technologies Used</w:t>
            </w:r>
            <w:r>
              <w:tab/>
            </w:r>
            <w:r>
              <w:fldChar w:fldCharType="begin" w:dirty="true"/>
              <w:instrText xml:space="preserve">PAGEREF _Toc15 \h</w:instrText>
              <w:fldChar w:fldCharType="separate"/>
              <w:fldChar w:fldCharType="end"/>
            </w:r>
          </w:hyperlink>
        </w:p>
        <w:p>
          <w:pPr>
            <w:pStyle w:val="TOC2"/>
            <w:tabs>
              <w:tab w:val="right" w:pos="9354" w:leader="dot"/>
            </w:tabs>
            <w:ind w:left="220"/>
          </w:pPr>
          <w:hyperlink w:history="1" w:anchor="_Toc16">
            <w:r>
              <w:t xml:space="preserve">5.2 Synthetic Dataset Generation</w:t>
            </w:r>
            <w:r>
              <w:tab/>
            </w:r>
            <w:r>
              <w:fldChar w:fldCharType="begin" w:dirty="true"/>
              <w:instrText xml:space="preserve">PAGEREF _Toc16 \h</w:instrText>
              <w:fldChar w:fldCharType="separate"/>
              <w:fldChar w:fldCharType="end"/>
            </w:r>
          </w:hyperlink>
        </w:p>
        <w:p>
          <w:pPr>
            <w:pStyle w:val="TOC2"/>
            <w:tabs>
              <w:tab w:val="right" w:pos="9354" w:leader="dot"/>
            </w:tabs>
            <w:ind w:left="220"/>
          </w:pPr>
          <w:hyperlink w:history="1" w:anchor="_Toc17">
            <w:r>
              <w:t xml:space="preserve">5.3 Authorisation Model</w:t>
            </w:r>
            <w:r>
              <w:tab/>
            </w:r>
            <w:r>
              <w:fldChar w:fldCharType="begin" w:dirty="true"/>
              <w:instrText xml:space="preserve">PAGEREF _Toc17 \h</w:instrText>
              <w:fldChar w:fldCharType="separate"/>
              <w:fldChar w:fldCharType="end"/>
            </w:r>
          </w:hyperlink>
        </w:p>
        <w:p>
          <w:pPr>
            <w:pStyle w:val="TOC2"/>
            <w:tabs>
              <w:tab w:val="right" w:pos="9354" w:leader="dot"/>
            </w:tabs>
            <w:ind w:left="220"/>
          </w:pPr>
          <w:hyperlink w:history="1" w:anchor="_Toc18">
            <w:r>
              <w:t xml:space="preserve">5.4 Exact Attendance Arithmetic</w:t>
            </w:r>
            <w:r>
              <w:tab/>
            </w:r>
            <w:r>
              <w:fldChar w:fldCharType="begin" w:dirty="true"/>
              <w:instrText xml:space="preserve">PAGEREF _Toc18 \h</w:instrText>
              <w:fldChar w:fldCharType="separate"/>
              <w:fldChar w:fldCharType="end"/>
            </w:r>
          </w:hyperlink>
        </w:p>
        <w:p>
          <w:pPr>
            <w:pStyle w:val="TOC2"/>
            <w:tabs>
              <w:tab w:val="right" w:pos="9354" w:leader="dot"/>
            </w:tabs>
            <w:ind w:left="220"/>
          </w:pPr>
          <w:hyperlink w:history="1" w:anchor="_Toc19">
            <w:r>
              <w:t xml:space="preserve">5.5 AI Orchestration</w:t>
            </w:r>
            <w:r>
              <w:tab/>
            </w:r>
            <w:r>
              <w:fldChar w:fldCharType="begin" w:dirty="true"/>
              <w:instrText xml:space="preserve">PAGEREF _Toc19 \h</w:instrText>
              <w:fldChar w:fldCharType="separate"/>
              <w:fldChar w:fldCharType="end"/>
            </w:r>
          </w:hyperlink>
        </w:p>
        <w:p>
          <w:pPr>
            <w:pStyle w:val="TOC2"/>
            <w:tabs>
              <w:tab w:val="right" w:pos="9354" w:leader="dot"/>
            </w:tabs>
            <w:ind w:left="220"/>
          </w:pPr>
          <w:hyperlink w:history="1" w:anchor="_Toc20">
            <w:r>
              <w:t xml:space="preserve">5.6 Streaming and Credential Handling</w:t>
            </w:r>
            <w:r>
              <w:tab/>
            </w:r>
            <w:r>
              <w:fldChar w:fldCharType="begin" w:dirty="true"/>
              <w:instrText xml:space="preserve">PAGEREF _Toc20 \h</w:instrText>
              <w:fldChar w:fldCharType="separate"/>
              <w:fldChar w:fldCharType="end"/>
            </w:r>
          </w:hyperlink>
        </w:p>
        <w:p>
          <w:pPr>
            <w:pStyle w:val="TOC1"/>
            <w:tabs>
              <w:tab w:val="right" w:pos="9354" w:leader="dot"/>
            </w:tabs>
          </w:pPr>
          <w:hyperlink w:history="1" w:anchor="_Toc21">
            <w:r>
              <w:t xml:space="preserve">6. Results and Discussion</w:t>
            </w:r>
            <w:r>
              <w:tab/>
            </w:r>
            <w:r>
              <w:fldChar w:fldCharType="begin" w:dirty="true"/>
              <w:instrText xml:space="preserve">PAGEREF _Toc21 \h</w:instrText>
              <w:fldChar w:fldCharType="separate"/>
              <w:fldChar w:fldCharType="end"/>
            </w:r>
          </w:hyperlink>
        </w:p>
        <w:p>
          <w:pPr>
            <w:pStyle w:val="TOC2"/>
            <w:tabs>
              <w:tab w:val="right" w:pos="9354" w:leader="dot"/>
            </w:tabs>
            <w:ind w:left="220"/>
          </w:pPr>
          <w:hyperlink w:history="1" w:anchor="_Toc22">
            <w:r>
              <w:t xml:space="preserve">6.1 Outputs Achieved</w:t>
            </w:r>
            <w:r>
              <w:tab/>
            </w:r>
            <w:r>
              <w:fldChar w:fldCharType="begin" w:dirty="true"/>
              <w:instrText xml:space="preserve">PAGEREF _Toc22 \h</w:instrText>
              <w:fldChar w:fldCharType="separate"/>
              <w:fldChar w:fldCharType="end"/>
            </w:r>
          </w:hyperlink>
        </w:p>
        <w:p>
          <w:pPr>
            <w:pStyle w:val="TOC2"/>
            <w:tabs>
              <w:tab w:val="right" w:pos="9354" w:leader="dot"/>
            </w:tabs>
            <w:ind w:left="220"/>
          </w:pPr>
          <w:hyperlink w:history="1" w:anchor="_Toc23">
            <w:r>
              <w:t xml:space="preserve">6.2 Verification and Test Coverage</w:t>
            </w:r>
            <w:r>
              <w:tab/>
            </w:r>
            <w:r>
              <w:fldChar w:fldCharType="begin" w:dirty="true"/>
              <w:instrText xml:space="preserve">PAGEREF _Toc23 \h</w:instrText>
              <w:fldChar w:fldCharType="separate"/>
              <w:fldChar w:fldCharType="end"/>
            </w:r>
          </w:hyperlink>
        </w:p>
        <w:p>
          <w:pPr>
            <w:pStyle w:val="TOC2"/>
            <w:tabs>
              <w:tab w:val="right" w:pos="9354" w:leader="dot"/>
            </w:tabs>
            <w:ind w:left="220"/>
          </w:pPr>
          <w:hyperlink w:history="1" w:anchor="_Toc24">
            <w:r>
              <w:t xml:space="preserve">6.3 A Defect Found by Probing the Deployed Assistant</w:t>
            </w:r>
            <w:r>
              <w:tab/>
            </w:r>
            <w:r>
              <w:fldChar w:fldCharType="begin" w:dirty="true"/>
              <w:instrText xml:space="preserve">PAGEREF _Toc24 \h</w:instrText>
              <w:fldChar w:fldCharType="separate"/>
              <w:fldChar w:fldCharType="end"/>
            </w:r>
          </w:hyperlink>
        </w:p>
        <w:p>
          <w:pPr>
            <w:pStyle w:val="TOC2"/>
            <w:tabs>
              <w:tab w:val="right" w:pos="9354" w:leader="dot"/>
            </w:tabs>
            <w:ind w:left="220"/>
          </w:pPr>
          <w:hyperlink w:history="1" w:anchor="_Toc25">
            <w:r>
              <w:t xml:space="preserve">6.4 Authorisation Verification</w:t>
            </w:r>
            <w:r>
              <w:tab/>
            </w:r>
            <w:r>
              <w:fldChar w:fldCharType="begin" w:dirty="true"/>
              <w:instrText xml:space="preserve">PAGEREF _Toc25 \h</w:instrText>
              <w:fldChar w:fldCharType="separate"/>
              <w:fldChar w:fldCharType="end"/>
            </w:r>
          </w:hyperlink>
        </w:p>
        <w:p>
          <w:pPr>
            <w:pStyle w:val="TOC2"/>
            <w:tabs>
              <w:tab w:val="right" w:pos="9354" w:leader="dot"/>
            </w:tabs>
            <w:ind w:left="220"/>
          </w:pPr>
          <w:hyperlink w:history="1" w:anchor="_Toc26">
            <w:r>
              <w:t xml:space="preserve">6.5 Comparison with Existing Approaches</w:t>
            </w:r>
            <w:r>
              <w:tab/>
            </w:r>
            <w:r>
              <w:fldChar w:fldCharType="begin" w:dirty="true"/>
              <w:instrText xml:space="preserve">PAGEREF _Toc26 \h</w:instrText>
              <w:fldChar w:fldCharType="separate"/>
              <w:fldChar w:fldCharType="end"/>
            </w:r>
          </w:hyperlink>
        </w:p>
        <w:p>
          <w:pPr>
            <w:pStyle w:val="TOC1"/>
            <w:tabs>
              <w:tab w:val="right" w:pos="9354" w:leader="dot"/>
            </w:tabs>
          </w:pPr>
          <w:hyperlink w:history="1" w:anchor="_Toc27">
            <w:r>
              <w:t xml:space="preserve">7. Conclusion and Future Scope</w:t>
            </w:r>
            <w:r>
              <w:tab/>
            </w:r>
            <w:r>
              <w:fldChar w:fldCharType="begin" w:dirty="true"/>
              <w:instrText xml:space="preserve">PAGEREF _Toc27 \h</w:instrText>
              <w:fldChar w:fldCharType="separate"/>
              <w:fldChar w:fldCharType="end"/>
            </w:r>
          </w:hyperlink>
        </w:p>
        <w:p>
          <w:pPr>
            <w:pStyle w:val="TOC2"/>
            <w:tabs>
              <w:tab w:val="right" w:pos="9354" w:leader="dot"/>
            </w:tabs>
            <w:ind w:left="220"/>
          </w:pPr>
          <w:hyperlink w:history="1" w:anchor="_Toc28">
            <w:r>
              <w:t xml:space="preserve">7.1 Summary of Achievements</w:t>
            </w:r>
            <w:r>
              <w:tab/>
            </w:r>
            <w:r>
              <w:fldChar w:fldCharType="begin" w:dirty="true"/>
              <w:instrText xml:space="preserve">PAGEREF _Toc28 \h</w:instrText>
              <w:fldChar w:fldCharType="separate"/>
              <w:fldChar w:fldCharType="end"/>
            </w:r>
          </w:hyperlink>
        </w:p>
        <w:p>
          <w:pPr>
            <w:pStyle w:val="TOC2"/>
            <w:tabs>
              <w:tab w:val="right" w:pos="9354" w:leader="dot"/>
            </w:tabs>
            <w:ind w:left="220"/>
          </w:pPr>
          <w:hyperlink w:history="1" w:anchor="_Toc29">
            <w:r>
              <w:t xml:space="preserve">7.2 Limitations</w:t>
            </w:r>
            <w:r>
              <w:tab/>
            </w:r>
            <w:r>
              <w:fldChar w:fldCharType="begin" w:dirty="true"/>
              <w:instrText xml:space="preserve">PAGEREF _Toc29 \h</w:instrText>
              <w:fldChar w:fldCharType="separate"/>
              <w:fldChar w:fldCharType="end"/>
            </w:r>
          </w:hyperlink>
        </w:p>
        <w:p>
          <w:pPr>
            <w:pStyle w:val="TOC2"/>
            <w:tabs>
              <w:tab w:val="right" w:pos="9354" w:leader="dot"/>
            </w:tabs>
            <w:ind w:left="220"/>
          </w:pPr>
          <w:hyperlink w:history="1" w:anchor="_Toc30">
            <w:r>
              <w:t xml:space="preserve">7.3 Future Scope</w:t>
            </w:r>
            <w:r>
              <w:tab/>
            </w:r>
            <w:r>
              <w:fldChar w:fldCharType="begin" w:dirty="true"/>
              <w:instrText xml:space="preserve">PAGEREF _Toc30 \h</w:instrText>
              <w:fldChar w:fldCharType="separate"/>
              <w:fldChar w:fldCharType="end"/>
            </w:r>
          </w:hyperlink>
        </w:p>
        <w:p>
          <w:pPr>
            <w:pStyle w:val="TOC2"/>
            <w:tabs>
              <w:tab w:val="right" w:pos="9354" w:leader="dot"/>
            </w:tabs>
            <w:ind w:left="220"/>
          </w:pPr>
          <w:hyperlink w:history="1" w:anchor="_Toc31">
            <w:r>
              <w:t xml:space="preserve">7.4 Reflection</w:t>
            </w:r>
            <w:r>
              <w:tab/>
            </w:r>
            <w:r>
              <w:fldChar w:fldCharType="begin" w:dirty="true"/>
              <w:instrText xml:space="preserve">PAGEREF _Toc31 \h</w:instrText>
              <w:fldChar w:fldCharType="separate"/>
              <w:fldChar w:fldCharType="end"/>
            </w:r>
          </w:hyperlink>
        </w:p>
        <w:p>
          <w:pPr>
            <w:pStyle w:val="TOC1"/>
            <w:tabs>
              <w:tab w:val="right" w:pos="9354" w:leader="dot"/>
            </w:tabs>
          </w:pPr>
          <w:hyperlink w:history="1" w:anchor="_Toc32">
            <w:r>
              <w:t xml:space="preserve">8. References</w:t>
            </w:r>
            <w:r>
              <w:tab/>
            </w:r>
            <w:r>
              <w:fldChar w:fldCharType="begin" w:dirty="true"/>
              <w:instrText xml:space="preserve">PAGEREF _Toc32 \h</w:instrText>
              <w:fldChar w:fldCharType="separate"/>
              <w:fldChar w:fldCharType="end"/>
            </w:r>
          </w:hyperlink>
        </w:p>
        <w:p>
          <w:pPr>
            <w:pStyle w:val="TOC2"/>
            <w:tabs>
              <w:tab w:val="right" w:pos="9354" w:leader="dot"/>
            </w:tabs>
            <w:ind w:left="220"/>
          </w:pPr>
          <w:hyperlink w:history="1" w:anchor="_Toc33">
            <w:r>
              <w:t xml:space="preserve">Project Repository and Live Deployment</w:t>
            </w:r>
            <w:r>
              <w:tab/>
            </w:r>
            <w:r>
              <w:fldChar w:fldCharType="begin" w:dirty="true"/>
              <w:instrText xml:space="preserve">PAGEREF _Toc33 \h</w:instrText>
              <w:fldChar w:fldCharType="separate"/>
              <w:fldChar w:fldCharType="end"/>
            </w:r>
          </w:hyperlink>
        </w:p>
        <w:p>
          <w:r>
            <w:fldChar w:fldCharType="end"/>
          </w:r>
        </w:p>
      </w:sdtContent>
    </w:sdt>
    <w:p>
      <w:r>
        <w:br w:type="page"/>
      </w:r>
    </w:p>
    <w:p>
      <w:pPr>
        <w:pStyle w:val="Heading1"/>
        <w:pageBreakBefore/>
        <w:spacing w:after="160" w:before="320"/>
      </w:pPr>
      <w:bookmarkStart w:name="_Toc1" w:id="1"/>
      <w:r>
        <w:rPr>
          <w:rFonts w:ascii="Times New Roman" w:cs="Times New Roman" w:eastAsia="Times New Roman" w:hAnsi="Times New Roman"/>
          <w:b/>
          <w:bCs/>
          <w:color w:val="1B2227"/>
          <w:sz w:val="30"/>
          <w:szCs w:val="30"/>
        </w:rPr>
        <w:t xml:space="preserve">1. Abstract</w:t>
      </w:r>
      <w:bookmarkEnd w:id="1"/>
    </w:p>
    <w:p>
      <w:pPr>
        <w:spacing w:after="120" w:line="276"/>
        <w:jc w:val="both"/>
      </w:pPr>
      <w:r>
        <w:rPr>
          <w:rFonts w:ascii="Times New Roman" w:cs="Times New Roman" w:eastAsia="Times New Roman" w:hAnsi="Times New Roman"/>
          <w:sz w:val="24"/>
          <w:szCs w:val="24"/>
        </w:rPr>
        <w:t xml:space="preserve">This project implements an AI-powered student information assistant for teaching staff in a third-year Computer Science and Business Systems department. Faculty members sign in, view only the subjects assigned to them, and inspect attendance, academic performance, assignment submissions and extracurricular participation, either through dedicated application pages or by asking questions in plain English.</w:t>
      </w:r>
    </w:p>
    <w:p>
      <w:pPr>
        <w:spacing w:after="120" w:line="276"/>
        <w:jc w:val="both"/>
      </w:pPr>
      <w:r>
        <w:rPr>
          <w:rFonts w:ascii="Times New Roman" w:cs="Times New Roman" w:eastAsia="Times New Roman" w:hAnsi="Times New Roman"/>
          <w:sz w:val="24"/>
          <w:szCs w:val="24"/>
        </w:rPr>
        <w:t xml:space="preserve">The system is a monorepo containing a Next.js frontend and a FastAPI backend over a PostgreSQL database holding 27,975 synthetic records across eleven normalised tables. The distinguishing design decision is that the language model is never given database access. Instead it may call thirteen fixed, access-controlled functions, each of which re-verifies the signed-in teacher's permissions against the database before reading anything. No SQL is generated by the model, and a request for another teacher's subject is refused in code rather than by instruction.</w:t>
      </w:r>
    </w:p>
    <w:p>
      <w:pPr>
        <w:spacing w:after="120" w:line="276"/>
        <w:jc w:val="both"/>
      </w:pPr>
      <w:r>
        <w:rPr>
          <w:rFonts w:ascii="Times New Roman" w:cs="Times New Roman" w:eastAsia="Times New Roman" w:hAnsi="Times New Roman"/>
          <w:sz w:val="24"/>
          <w:szCs w:val="24"/>
        </w:rPr>
        <w:t xml:space="preserve">All attendance arithmetic uses exact rational numbers so that a student at precisely the threshold is never misclassified by floating-point rounding. The system distinguishes unevaluated work from a recorded zero, and genuinely overdue submissions from work awaiting marking. Responses stream token by token from the chosen model provider. The application is deployed and verified end to end, with 208 automated tests covering dataset integrity, business logic, authorisation and the AI layer.</w:t>
      </w:r>
    </w:p>
    <w:p>
      <w:pPr>
        <w:pStyle w:val="Heading1"/>
        <w:pageBreakBefore/>
        <w:spacing w:after="160" w:before="320"/>
      </w:pPr>
      <w:bookmarkStart w:name="_Toc2" w:id="2"/>
      <w:r>
        <w:rPr>
          <w:rFonts w:ascii="Times New Roman" w:cs="Times New Roman" w:eastAsia="Times New Roman" w:hAnsi="Times New Roman"/>
          <w:b/>
          <w:bCs/>
          <w:color w:val="1B2227"/>
          <w:sz w:val="30"/>
          <w:szCs w:val="30"/>
        </w:rPr>
        <w:t xml:space="preserve">2. Introduction</w:t>
      </w:r>
      <w:bookmarkEnd w:id="2"/>
    </w:p>
    <w:p>
      <w:pPr>
        <w:pStyle w:val="Heading2"/>
        <w:spacing w:after="120" w:before="240"/>
      </w:pPr>
      <w:bookmarkStart w:name="_Toc3" w:id="3"/>
      <w:r>
        <w:rPr>
          <w:rFonts w:ascii="Times New Roman" w:cs="Times New Roman" w:eastAsia="Times New Roman" w:hAnsi="Times New Roman"/>
          <w:b/>
          <w:bCs/>
          <w:color w:val="1B2227"/>
          <w:sz w:val="26"/>
          <w:szCs w:val="26"/>
        </w:rPr>
        <w:t xml:space="preserve">2.1 Background and Motivation</w:t>
      </w:r>
      <w:bookmarkEnd w:id="3"/>
    </w:p>
    <w:p>
      <w:pPr>
        <w:spacing w:after="120" w:line="276"/>
        <w:jc w:val="both"/>
      </w:pPr>
      <w:r>
        <w:rPr>
          <w:rFonts w:ascii="Times New Roman" w:cs="Times New Roman" w:eastAsia="Times New Roman" w:hAnsi="Times New Roman"/>
          <w:sz w:val="24"/>
          <w:szCs w:val="24"/>
        </w:rPr>
        <w:t xml:space="preserve">Departmental student data is usually spread across spreadsheets, attendance registers and examination records. A teacher who wants to answer a simple question — which students in my class are at risk of falling below the attendance requirement — typically has to open several files, filter them by hand and compute percentages manually. The work is repetitive, easy to get wrong, and has to be redone every time the question changes slightly.</w:t>
      </w:r>
    </w:p>
    <w:p>
      <w:pPr>
        <w:spacing w:after="120" w:line="276"/>
        <w:jc w:val="both"/>
      </w:pPr>
      <w:r>
        <w:rPr>
          <w:rFonts w:ascii="Times New Roman" w:cs="Times New Roman" w:eastAsia="Times New Roman" w:hAnsi="Times New Roman"/>
          <w:sz w:val="24"/>
          <w:szCs w:val="24"/>
        </w:rPr>
        <w:t xml:space="preserve">Large language models appear to offer a solution: ask the question in English and receive an answer. In practice, connecting a language model directly to institutional records introduces two serious problems. First, a model asked for a number it cannot retrieve will often produce a plausible-looking figure instead of admitting the gap. Second, a model given broad database access has no inherent notion of which teacher may see which student, so a persuasive instruction in a chat message could expose records the user is not entitled to.</w:t>
      </w:r>
    </w:p>
    <w:p>
      <w:pPr>
        <w:spacing w:after="120" w:line="276"/>
        <w:jc w:val="both"/>
      </w:pPr>
      <w:r>
        <w:rPr>
          <w:rFonts w:ascii="Times New Roman" w:cs="Times New Roman" w:eastAsia="Times New Roman" w:hAnsi="Times New Roman"/>
          <w:sz w:val="24"/>
          <w:szCs w:val="24"/>
        </w:rPr>
        <w:t xml:space="preserve">This project treats both problems as architectural rather than conversational. Every number shown to a teacher is computed in Python from database rows; the model's role is to interpret the question and explain the result, never to calculate it. Access control is enforced in backend code and re-checked inside every function the model can invoke, so the system prompt is a guide to behaviour rather than a security boundary.</w:t>
      </w:r>
    </w:p>
    <w:p>
      <w:pPr>
        <w:pStyle w:val="Heading2"/>
        <w:spacing w:after="120" w:before="240"/>
      </w:pPr>
      <w:bookmarkStart w:name="_Toc4" w:id="4"/>
      <w:r>
        <w:rPr>
          <w:rFonts w:ascii="Times New Roman" w:cs="Times New Roman" w:eastAsia="Times New Roman" w:hAnsi="Times New Roman"/>
          <w:b/>
          <w:bCs/>
          <w:color w:val="1B2227"/>
          <w:sz w:val="26"/>
          <w:szCs w:val="26"/>
        </w:rPr>
        <w:t xml:space="preserve">2.2 Problem Definition</w:t>
      </w:r>
      <w:bookmarkEnd w:id="4"/>
    </w:p>
    <w:p>
      <w:pPr>
        <w:spacing w:after="120" w:line="276"/>
        <w:jc w:val="both"/>
      </w:pPr>
      <w:r>
        <w:rPr>
          <w:rFonts w:ascii="Times New Roman" w:cs="Times New Roman" w:eastAsia="Times New Roman" w:hAnsi="Times New Roman"/>
          <w:sz w:val="24"/>
          <w:szCs w:val="24"/>
        </w:rPr>
        <w:t xml:space="preserve">Design and implement a teacher-facing system that lets faculty query synthetic student information in natural language, such that: every factual answer derives from database records and verified calculations rather than model inference; a teacher can access only the subjects assigned to them and only students enrolled in those subjects; and the restriction holds even when the request is made through the AI assistant or by editing a URL directly.</w:t>
      </w:r>
    </w:p>
    <w:p>
      <w:pPr>
        <w:pStyle w:val="Heading2"/>
        <w:spacing w:after="120" w:before="240"/>
      </w:pPr>
      <w:bookmarkStart w:name="_Toc5" w:id="5"/>
      <w:r>
        <w:rPr>
          <w:rFonts w:ascii="Times New Roman" w:cs="Times New Roman" w:eastAsia="Times New Roman" w:hAnsi="Times New Roman"/>
          <w:b/>
          <w:bCs/>
          <w:color w:val="1B2227"/>
          <w:sz w:val="26"/>
          <w:szCs w:val="26"/>
        </w:rPr>
        <w:t xml:space="preserve">2.3 Objectives</w:t>
      </w:r>
      <w:bookmarkEnd w:id="5"/>
    </w:p>
    <w:p>
      <w:pPr>
        <w:pStyle w:val="ListParagraph"/>
        <w:numPr>
          <w:ilvl w:val="0"/>
          <w:numId w:val="2"/>
        </w:numPr>
        <w:spacing w:after="80" w:line="276"/>
      </w:pPr>
      <w:r>
        <w:rPr>
          <w:rFonts w:ascii="Times New Roman" w:cs="Times New Roman" w:eastAsia="Times New Roman" w:hAnsi="Times New Roman"/>
          <w:sz w:val="24"/>
          <w:szCs w:val="24"/>
        </w:rPr>
        <w:t xml:space="preserve">Generate a reproducible synthetic dataset of 250 students across 12 subjects.</w:t>
      </w:r>
    </w:p>
    <w:p>
      <w:pPr>
        <w:pStyle w:val="ListParagraph"/>
        <w:numPr>
          <w:ilvl w:val="0"/>
          <w:numId w:val="2"/>
        </w:numPr>
        <w:spacing w:after="80" w:line="276"/>
      </w:pPr>
      <w:r>
        <w:rPr>
          <w:rFonts w:ascii="Times New Roman" w:cs="Times New Roman" w:eastAsia="Times New Roman" w:hAnsi="Times New Roman"/>
          <w:sz w:val="24"/>
          <w:szCs w:val="24"/>
        </w:rPr>
        <w:t xml:space="preserve">Model the data in a normalised relational schema with integrity constraints enforced by the database.</w:t>
      </w:r>
    </w:p>
    <w:p>
      <w:pPr>
        <w:pStyle w:val="ListParagraph"/>
        <w:numPr>
          <w:ilvl w:val="0"/>
          <w:numId w:val="2"/>
        </w:numPr>
        <w:spacing w:after="80" w:line="276"/>
      </w:pPr>
      <w:r>
        <w:rPr>
          <w:rFonts w:ascii="Times New Roman" w:cs="Times New Roman" w:eastAsia="Times New Roman" w:hAnsi="Times New Roman"/>
          <w:sz w:val="24"/>
          <w:szCs w:val="24"/>
        </w:rPr>
        <w:t xml:space="preserve">Implement server-side authorisation resolving each teacher's scope from the database on every request.</w:t>
      </w:r>
    </w:p>
    <w:p>
      <w:pPr>
        <w:pStyle w:val="ListParagraph"/>
        <w:numPr>
          <w:ilvl w:val="0"/>
          <w:numId w:val="2"/>
        </w:numPr>
        <w:spacing w:after="80" w:line="276"/>
      </w:pPr>
      <w:r>
        <w:rPr>
          <w:rFonts w:ascii="Times New Roman" w:cs="Times New Roman" w:eastAsia="Times New Roman" w:hAnsi="Times New Roman"/>
          <w:sz w:val="24"/>
          <w:szCs w:val="24"/>
        </w:rPr>
        <w:t xml:space="preserve">Expose the data to a language model through fixed, access-controlled functions, not generated SQL.</w:t>
      </w:r>
    </w:p>
    <w:p>
      <w:pPr>
        <w:pStyle w:val="ListParagraph"/>
        <w:numPr>
          <w:ilvl w:val="0"/>
          <w:numId w:val="2"/>
        </w:numPr>
        <w:spacing w:after="80" w:line="276"/>
      </w:pPr>
      <w:r>
        <w:rPr>
          <w:rFonts w:ascii="Times New Roman" w:cs="Times New Roman" w:eastAsia="Times New Roman" w:hAnsi="Times New Roman"/>
          <w:sz w:val="24"/>
          <w:szCs w:val="24"/>
        </w:rPr>
        <w:t xml:space="preserve">Compute all attendance and performance figures using exact arithmetic in a single shared module.</w:t>
      </w:r>
    </w:p>
    <w:p>
      <w:pPr>
        <w:pStyle w:val="ListParagraph"/>
        <w:numPr>
          <w:ilvl w:val="0"/>
          <w:numId w:val="2"/>
        </w:numPr>
        <w:spacing w:after="80" w:line="276"/>
      </w:pPr>
      <w:r>
        <w:rPr>
          <w:rFonts w:ascii="Times New Roman" w:cs="Times New Roman" w:eastAsia="Times New Roman" w:hAnsi="Times New Roman"/>
          <w:sz w:val="24"/>
          <w:szCs w:val="24"/>
        </w:rPr>
        <w:t xml:space="preserve">Stream model responses progressively and report provider failures honestly instead of substituting invented text.</w:t>
      </w:r>
    </w:p>
    <w:p>
      <w:pPr>
        <w:pStyle w:val="ListParagraph"/>
        <w:numPr>
          <w:ilvl w:val="0"/>
          <w:numId w:val="2"/>
        </w:numPr>
        <w:spacing w:after="80" w:line="276"/>
      </w:pPr>
      <w:r>
        <w:rPr>
          <w:rFonts w:ascii="Times New Roman" w:cs="Times New Roman" w:eastAsia="Times New Roman" w:hAnsi="Times New Roman"/>
          <w:sz w:val="24"/>
          <w:szCs w:val="24"/>
        </w:rPr>
        <w:t xml:space="preserve">Support multiple AI providers so a user can supply their own API key without it being stored.</w:t>
      </w:r>
    </w:p>
    <w:p>
      <w:pPr>
        <w:pStyle w:val="ListParagraph"/>
        <w:numPr>
          <w:ilvl w:val="0"/>
          <w:numId w:val="2"/>
        </w:numPr>
        <w:spacing w:after="80" w:line="276"/>
      </w:pPr>
      <w:r>
        <w:rPr>
          <w:rFonts w:ascii="Times New Roman" w:cs="Times New Roman" w:eastAsia="Times New Roman" w:hAnsi="Times New Roman"/>
          <w:sz w:val="24"/>
          <w:szCs w:val="24"/>
        </w:rPr>
        <w:t xml:space="preserve">Validate the system with automated tests covering data, logic, authorisation and AI behaviour.</w:t>
      </w:r>
    </w:p>
    <w:p>
      <w:pPr>
        <w:pStyle w:val="Heading1"/>
        <w:pageBreakBefore/>
        <w:spacing w:after="160" w:before="320"/>
      </w:pPr>
      <w:bookmarkStart w:name="_Toc6" w:id="6"/>
      <w:r>
        <w:rPr>
          <w:rFonts w:ascii="Times New Roman" w:cs="Times New Roman" w:eastAsia="Times New Roman" w:hAnsi="Times New Roman"/>
          <w:b/>
          <w:bCs/>
          <w:color w:val="1B2227"/>
          <w:sz w:val="30"/>
          <w:szCs w:val="30"/>
        </w:rPr>
        <w:t xml:space="preserve">3. Literature Survey / Existing System</w:t>
      </w:r>
      <w:bookmarkEnd w:id="6"/>
    </w:p>
    <w:p>
      <w:pPr>
        <w:pStyle w:val="Heading2"/>
        <w:spacing w:after="120" w:before="240"/>
      </w:pPr>
      <w:bookmarkStart w:name="_Toc7" w:id="7"/>
      <w:r>
        <w:rPr>
          <w:rFonts w:ascii="Times New Roman" w:cs="Times New Roman" w:eastAsia="Times New Roman" w:hAnsi="Times New Roman"/>
          <w:b/>
          <w:bCs/>
          <w:color w:val="1B2227"/>
          <w:sz w:val="26"/>
          <w:szCs w:val="26"/>
        </w:rPr>
        <w:t xml:space="preserve">3.1 Review of Related Tools and Approaches</w:t>
      </w:r>
      <w:bookmarkEnd w:id="7"/>
    </w:p>
    <w:p>
      <w:pPr>
        <w:spacing w:after="120" w:line="276"/>
        <w:jc w:val="both"/>
      </w:pPr>
      <w:r>
        <w:rPr>
          <w:rFonts w:ascii="Times New Roman" w:cs="Times New Roman" w:eastAsia="Times New Roman" w:hAnsi="Times New Roman"/>
          <w:sz w:val="24"/>
          <w:szCs w:val="24"/>
        </w:rPr>
        <w:t xml:space="preserve">Existing approaches to querying institutional data with language models fall into three broad categories, each with characteristic limitations relevant to this problem.</w:t>
      </w:r>
    </w:p>
    <w:p>
      <w:pPr>
        <w:spacing w:after="6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50"/>
      </w:tblGrid>
      <w:tr>
        <w:trPr>
          <w:tblHeader/>
        </w:trPr>
        <w:tc>
          <w:tcPr>
            <w:tcW w:type="dxa" w:w="19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Approach</w:t>
            </w:r>
          </w:p>
        </w:tc>
        <w:tc>
          <w:tcPr>
            <w:tcW w:type="dxa" w:w="31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How it works</w:t>
            </w:r>
          </w:p>
        </w:tc>
        <w:tc>
          <w:tcPr>
            <w:tcW w:type="dxa" w:w="43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Limitation for this problem</w:t>
            </w:r>
          </w:p>
        </w:tc>
      </w:tr>
      <w:t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Conventional ERP / LMS dashboards</w:t>
            </w:r>
          </w:p>
        </w:tc>
        <w:tc>
          <w:tcPr>
            <w:tcW w:type="dxa" w:w="3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Fixed reports and filters built by developers</w:t>
            </w:r>
          </w:p>
        </w:tc>
        <w:tc>
          <w:tcPr>
            <w:tcW w:type="dxa" w:w="4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Any question the designer did not anticipate requires a code change or manual spreadsheet work</w:t>
            </w:r>
          </w:p>
        </w:tc>
      </w:tr>
      <w:t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Text-to-SQL systems</w:t>
            </w:r>
          </w:p>
        </w:tc>
        <w:tc>
          <w:tcPr>
            <w:tcW w:type="dxa" w:w="3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model writes SQL against a schema description, which is then executed</w:t>
            </w:r>
          </w:p>
        </w:tc>
        <w:tc>
          <w:tcPr>
            <w:tcW w:type="dxa" w:w="4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Query correctness depends on model output; access control must be expressed in prompt text, which can be argued with</w:t>
            </w:r>
          </w:p>
        </w:tc>
      </w:tr>
      <w:t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Retrieval-Augmented Generation (RAG)</w:t>
            </w:r>
          </w:p>
        </w:tc>
        <w:tc>
          <w:tcPr>
            <w:tcW w:type="dxa" w:w="3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Records are embedded as vectors and semantically similar ones retrieved as context</w:t>
            </w:r>
          </w:p>
        </w:tc>
        <w:tc>
          <w:tcPr>
            <w:tcW w:type="dxa" w:w="4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Similarity search cannot express 'only this teacher's subjects', and approximate retrieval is unsuitable for exact counts</w:t>
            </w:r>
          </w:p>
        </w:tc>
      </w:tr>
      <w:tr>
        <w:tc>
          <w:tcPr>
            <w:tcW w:type="dxa" w:w="1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Function or tool calling</w:t>
            </w:r>
          </w:p>
        </w:tc>
        <w:tc>
          <w:tcPr>
            <w:tcW w:type="dxa" w:w="3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model selects from a fixed set of developer-written functions</w:t>
            </w:r>
          </w:p>
        </w:tc>
        <w:tc>
          <w:tcPr>
            <w:tcW w:type="dxa" w:w="4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set of possible operations is finite and reviewable; each function can enforce permissions in code</w:t>
            </w:r>
          </w:p>
        </w:tc>
      </w:tr>
    </w:tbl>
    <w:p>
      <w:pPr>
        <w:spacing w:after="240" w:before="80"/>
        <w:jc w:val="center"/>
      </w:pPr>
      <w:r>
        <w:rPr>
          <w:rFonts w:ascii="Times New Roman" w:cs="Times New Roman" w:eastAsia="Times New Roman" w:hAnsi="Times New Roman"/>
          <w:i/>
          <w:iCs/>
          <w:sz w:val="20"/>
          <w:szCs w:val="20"/>
        </w:rPr>
        <w:t xml:space="preserve">Table 3.1: Comparison of approaches for natural-language access to relational records</w:t>
      </w:r>
    </w:p>
    <w:p>
      <w:pPr>
        <w:pStyle w:val="Heading2"/>
        <w:spacing w:after="120" w:before="240"/>
      </w:pPr>
      <w:bookmarkStart w:name="_Toc8" w:id="8"/>
      <w:r>
        <w:rPr>
          <w:rFonts w:ascii="Times New Roman" w:cs="Times New Roman" w:eastAsia="Times New Roman" w:hAnsi="Times New Roman"/>
          <w:b/>
          <w:bCs/>
          <w:color w:val="1B2227"/>
          <w:sz w:val="26"/>
          <w:szCs w:val="26"/>
        </w:rPr>
        <w:t xml:space="preserve">3.2 Gaps Identified</w:t>
      </w:r>
      <w:bookmarkEnd w:id="8"/>
    </w:p>
    <w:p>
      <w:pPr>
        <w:spacing w:after="120" w:line="276"/>
        <w:jc w:val="both"/>
      </w:pPr>
      <w:r>
        <w:rPr>
          <w:rFonts w:ascii="Times New Roman" w:cs="Times New Roman" w:eastAsia="Times New Roman" w:hAnsi="Times New Roman"/>
          <w:sz w:val="24"/>
          <w:szCs w:val="24"/>
        </w:rPr>
        <w:t xml:space="preserve">Three gaps emerged from this review and directly shaped the design of the proposed system.</w:t>
      </w:r>
    </w:p>
    <w:p>
      <w:pPr>
        <w:pStyle w:val="ListParagraph"/>
        <w:numPr>
          <w:ilvl w:val="0"/>
          <w:numId w:val="2"/>
        </w:numPr>
        <w:spacing w:after="80" w:line="276"/>
      </w:pPr>
      <w:r>
        <w:rPr>
          <w:rFonts w:ascii="Times New Roman" w:cs="Times New Roman" w:eastAsia="Times New Roman" w:hAnsi="Times New Roman"/>
          <w:sz w:val="24"/>
          <w:szCs w:val="24"/>
        </w:rPr>
        <w:t xml:space="preserve">Authorisation expressed in prompts is not authorisation. Instructing a model to respect permissions leaves the restriction subject to persuasion. Permission checks must execute in code on the server, independently of what the model decides to do.</w:t>
      </w:r>
    </w:p>
    <w:p>
      <w:pPr>
        <w:pStyle w:val="ListParagraph"/>
        <w:numPr>
          <w:ilvl w:val="0"/>
          <w:numId w:val="2"/>
        </w:numPr>
        <w:spacing w:after="80" w:line="276"/>
      </w:pPr>
      <w:r>
        <w:rPr>
          <w:rFonts w:ascii="Times New Roman" w:cs="Times New Roman" w:eastAsia="Times New Roman" w:hAnsi="Times New Roman"/>
          <w:sz w:val="24"/>
          <w:szCs w:val="24"/>
        </w:rPr>
        <w:t xml:space="preserve">Approximate retrieval is wrong for exact questions. Attendance percentages, counts of students below a threshold and marks averages have single correct answers. Vector similarity is the wrong instrument; indexed relational queries with exact arithmetic are the right one.</w:t>
      </w:r>
    </w:p>
    <w:p>
      <w:pPr>
        <w:pStyle w:val="ListParagraph"/>
        <w:numPr>
          <w:ilvl w:val="0"/>
          <w:numId w:val="2"/>
        </w:numPr>
        <w:spacing w:after="80" w:line="276"/>
      </w:pPr>
      <w:r>
        <w:rPr>
          <w:rFonts w:ascii="Times New Roman" w:cs="Times New Roman" w:eastAsia="Times New Roman" w:hAnsi="Times New Roman"/>
          <w:sz w:val="24"/>
          <w:szCs w:val="24"/>
        </w:rPr>
        <w:t xml:space="preserve">A truncated result set invites a false total. If a function returns the ten worst cases without stating how many exist, a model will reasonably but incorrectly report ten as the total. Every function must return explicit counts separate from the rows it displays. This gap was confirmed experimentally during development, as described in Section 6.3.</w:t>
      </w:r>
    </w:p>
    <w:p>
      <w:pPr>
        <w:pStyle w:val="Heading1"/>
        <w:pageBreakBefore/>
        <w:spacing w:after="160" w:before="320"/>
      </w:pPr>
      <w:bookmarkStart w:name="_Toc9" w:id="9"/>
      <w:r>
        <w:rPr>
          <w:rFonts w:ascii="Times New Roman" w:cs="Times New Roman" w:eastAsia="Times New Roman" w:hAnsi="Times New Roman"/>
          <w:b/>
          <w:bCs/>
          <w:color w:val="1B2227"/>
          <w:sz w:val="30"/>
          <w:szCs w:val="30"/>
        </w:rPr>
        <w:t xml:space="preserve">4. Proposed System</w:t>
      </w:r>
      <w:bookmarkEnd w:id="9"/>
    </w:p>
    <w:p>
      <w:pPr>
        <w:pStyle w:val="Heading2"/>
        <w:spacing w:after="120" w:before="240"/>
      </w:pPr>
      <w:bookmarkStart w:name="_Toc10" w:id="10"/>
      <w:r>
        <w:rPr>
          <w:rFonts w:ascii="Times New Roman" w:cs="Times New Roman" w:eastAsia="Times New Roman" w:hAnsi="Times New Roman"/>
          <w:b/>
          <w:bCs/>
          <w:color w:val="1B2227"/>
          <w:sz w:val="26"/>
          <w:szCs w:val="26"/>
        </w:rPr>
        <w:t xml:space="preserve">4.1 System Overview</w:t>
      </w:r>
      <w:bookmarkEnd w:id="10"/>
    </w:p>
    <w:p>
      <w:pPr>
        <w:spacing w:after="120" w:line="276"/>
        <w:jc w:val="both"/>
      </w:pPr>
      <w:r>
        <w:rPr>
          <w:rFonts w:ascii="Times New Roman" w:cs="Times New Roman" w:eastAsia="Times New Roman" w:hAnsi="Times New Roman"/>
          <w:sz w:val="24"/>
          <w:szCs w:val="24"/>
        </w:rPr>
        <w:t xml:space="preserve">The proposed system is a web application in which a faculty member signs in, is issued a signed session, and thereafter sees only data within their teaching scope. A browser-based frontend renders nine pages of analytics and a chat interface. A backend resolves permissions, performs all calculations and orchestrates the language model. A relational database holds the records. An external model provider supplies language understanding only; it receives the question and authorised results, never direct database access.</w:t>
      </w:r>
    </w:p>
    <w:p>
      <w:pPr>
        <w:spacing w:after="80" w:before="200"/>
        <w:jc w:val="center"/>
      </w:pPr>
      <w:r>
        <w:drawing>
          <wp:inline distT="0" distB="0" distL="0" distR="0">
            <wp:extent cx="5715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811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4.1: System context and external interfaces</w:t>
      </w:r>
    </w:p>
    <w:p>
      <w:pPr>
        <w:pStyle w:val="Heading2"/>
        <w:spacing w:after="120" w:before="240"/>
      </w:pPr>
      <w:bookmarkStart w:name="_Toc11" w:id="11"/>
      <w:r>
        <w:rPr>
          <w:rFonts w:ascii="Times New Roman" w:cs="Times New Roman" w:eastAsia="Times New Roman" w:hAnsi="Times New Roman"/>
          <w:b/>
          <w:bCs/>
          <w:color w:val="1B2227"/>
          <w:sz w:val="26"/>
          <w:szCs w:val="26"/>
        </w:rPr>
        <w:t xml:space="preserve">4.2 Features and Scope</w:t>
      </w:r>
      <w:bookmarkEnd w:id="11"/>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Module</w:t>
            </w:r>
          </w:p>
        </w:tc>
        <w:tc>
          <w:tcPr>
            <w:tcW w:type="dxa" w:w="67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Capability</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Faculty Dashboard</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Subject count, students in scope, below-threshold totals, overdue work, attendance chart, upcoming deadlines</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My Subjects</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Assigned subjects with enrolment and aggregate attendance</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Attendance Analytics</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Per-student attendance with filters, sorting, search, pagination and authorised CSV export</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Student Directory</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Students within scope, with a detail view of permitted records</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Academic Performance</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Weighted scores, marks distribution, evaluation progress, threshold filtering</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Assignments</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Submission rollups distinguishing evaluated, submitted-unmarked and genuinely overdue work</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Extracurricular</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Aggregate participation by category and role; department-wide view for a coordinator only</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AI Assistant</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Natural-language questions answered from authorised database functions, streamed progressively</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Settings</w:t>
            </w:r>
          </w:p>
        </w:tc>
        <w:tc>
          <w:tcPr>
            <w:tcW w:type="dxa" w:w="6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Provider selection, model, API key entry, connection test, and the teacher's resolved permissions</w:t>
            </w:r>
          </w:p>
        </w:tc>
      </w:tr>
    </w:tbl>
    <w:p>
      <w:pPr>
        <w:spacing w:after="240" w:before="80"/>
        <w:jc w:val="center"/>
      </w:pPr>
      <w:r>
        <w:rPr>
          <w:rFonts w:ascii="Times New Roman" w:cs="Times New Roman" w:eastAsia="Times New Roman" w:hAnsi="Times New Roman"/>
          <w:i/>
          <w:iCs/>
          <w:sz w:val="20"/>
          <w:szCs w:val="20"/>
        </w:rPr>
        <w:t xml:space="preserve">Table 4.1: Functional modules and their capabilities</w:t>
      </w:r>
    </w:p>
    <w:p>
      <w:pPr>
        <w:spacing w:after="120" w:line="276"/>
        <w:jc w:val="both"/>
      </w:pPr>
      <w:r>
        <w:rPr>
          <w:rFonts w:ascii="Times New Roman" w:cs="Times New Roman" w:eastAsia="Times New Roman" w:hAnsi="Times New Roman"/>
          <w:sz w:val="24"/>
          <w:szCs w:val="24"/>
        </w:rPr>
        <w:t xml:space="preserve">Out of scope: the system is read-only with respect to student records. No function available to the model or the interface modifies attendance, marks or submissions. There is no student-facing portal; students are the subject of analysis, not users.</w:t>
      </w:r>
    </w:p>
    <w:p>
      <w:pPr>
        <w:pStyle w:val="Heading2"/>
        <w:spacing w:after="120" w:before="240"/>
      </w:pPr>
      <w:bookmarkStart w:name="_Toc12" w:id="12"/>
      <w:r>
        <w:rPr>
          <w:rFonts w:ascii="Times New Roman" w:cs="Times New Roman" w:eastAsia="Times New Roman" w:hAnsi="Times New Roman"/>
          <w:b/>
          <w:bCs/>
          <w:color w:val="1B2227"/>
          <w:sz w:val="26"/>
          <w:szCs w:val="26"/>
        </w:rPr>
        <w:t xml:space="preserve">4.3 System Architecture</w:t>
      </w:r>
      <w:bookmarkEnd w:id="12"/>
    </w:p>
    <w:p>
      <w:pPr>
        <w:spacing w:after="120" w:line="276"/>
        <w:jc w:val="both"/>
      </w:pPr>
      <w:r>
        <w:rPr>
          <w:rFonts w:ascii="Times New Roman" w:cs="Times New Roman" w:eastAsia="Times New Roman" w:hAnsi="Times New Roman"/>
          <w:sz w:val="24"/>
          <w:szCs w:val="24"/>
        </w:rPr>
        <w:t xml:space="preserve">The architecture separates four concerns: presentation, authorisation, business logic and AI orchestration. Authorisation is a single module that both the REST routes and the AI functions call into, so no second implementation can drift from the first. Calculations likewise live in a shared services layer, so a figure on the dashboard and the same figure quoted by the assistant cannot disagree.</w:t>
      </w:r>
    </w:p>
    <w:p>
      <w:pPr>
        <w:spacing w:after="80" w:before="200"/>
        <w:jc w:val="center"/>
      </w:pPr>
      <w:r>
        <w:drawing>
          <wp:inline distT="0" distB="0" distL="0" distR="0">
            <wp:extent cx="4095750" cy="7600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76009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4.2: Component architecture and layer responsibilities</w:t>
      </w:r>
    </w:p>
    <w:p>
      <w:pPr>
        <w:pStyle w:val="Heading2"/>
        <w:spacing w:after="120" w:before="240"/>
      </w:pPr>
      <w:bookmarkStart w:name="_Toc13" w:id="13"/>
      <w:r>
        <w:rPr>
          <w:rFonts w:ascii="Times New Roman" w:cs="Times New Roman" w:eastAsia="Times New Roman" w:hAnsi="Times New Roman"/>
          <w:b/>
          <w:bCs/>
          <w:color w:val="1B2227"/>
          <w:sz w:val="26"/>
          <w:szCs w:val="26"/>
        </w:rPr>
        <w:t xml:space="preserve">4.4 Database Design</w:t>
      </w:r>
      <w:bookmarkEnd w:id="13"/>
    </w:p>
    <w:p>
      <w:pPr>
        <w:spacing w:after="120" w:line="276"/>
        <w:jc w:val="both"/>
      </w:pPr>
      <w:r>
        <w:rPr>
          <w:rFonts w:ascii="Times New Roman" w:cs="Times New Roman" w:eastAsia="Times New Roman" w:hAnsi="Times New Roman"/>
          <w:sz w:val="24"/>
          <w:szCs w:val="24"/>
        </w:rPr>
        <w:t xml:space="preserve">Eleven normalised tables hold the records. The teacher_subjects table is the authoritative source for authorisation: it is the only place the subject-to-faculty mapping exists, and it is read fresh on every request so that a change in teaching assignment takes effect immediately rather than when a session expires.</w:t>
      </w:r>
    </w:p>
    <w:p>
      <w:pPr>
        <w:spacing w:after="80" w:before="200"/>
        <w:jc w:val="center"/>
      </w:pPr>
      <w:r>
        <w:drawing>
          <wp:inline distT="0" distB="0" distL="0" distR="0">
            <wp:extent cx="5762625" cy="2305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3050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4.3: Entity-relationship diagram of the database schema</w:t>
      </w:r>
    </w:p>
    <w:p>
      <w:pPr>
        <w:spacing w:after="120" w:line="276"/>
        <w:jc w:val="both"/>
      </w:pPr>
      <w:r>
        <w:rPr>
          <w:rFonts w:ascii="Times New Roman" w:cs="Times New Roman" w:eastAsia="Times New Roman" w:hAnsi="Times New Roman"/>
          <w:sz w:val="24"/>
          <w:szCs w:val="24"/>
        </w:rPr>
        <w:t xml:space="preserve">Integrity is enforced by the database itself, not only by application code, so that a programming error cannot write an impossible record:</w:t>
      </w:r>
    </w:p>
    <w:p>
      <w:pPr>
        <w:pStyle w:val="ListParagraph"/>
        <w:numPr>
          <w:ilvl w:val="0"/>
          <w:numId w:val="2"/>
        </w:numPr>
        <w:spacing w:after="80" w:line="276"/>
      </w:pPr>
      <w:r>
        <w:rPr>
          <w:rFonts w:ascii="Times New Roman" w:cs="Times New Roman" w:eastAsia="Times New Roman" w:hAnsi="Times New Roman"/>
          <w:sz w:val="24"/>
          <w:szCs w:val="24"/>
        </w:rPr>
        <w:t xml:space="preserve">classes_conducted must be greater than zero, and classes_attended must lie between zero and classes_conducted.</w:t>
      </w:r>
    </w:p>
    <w:p>
      <w:pPr>
        <w:pStyle w:val="ListParagraph"/>
        <w:numPr>
          <w:ilvl w:val="0"/>
          <w:numId w:val="2"/>
        </w:numPr>
        <w:spacing w:after="80" w:line="276"/>
      </w:pPr>
      <w:r>
        <w:rPr>
          <w:rFonts w:ascii="Times New Roman" w:cs="Times New Roman" w:eastAsia="Times New Roman" w:hAnsi="Times New Roman"/>
          <w:sz w:val="24"/>
          <w:szCs w:val="24"/>
        </w:rPr>
        <w:t xml:space="preserve">A student may have at most one attendance record per subject, and a teacher at most one assignment per subject.</w:t>
      </w:r>
    </w:p>
    <w:p>
      <w:pPr>
        <w:pStyle w:val="ListParagraph"/>
        <w:numPr>
          <w:ilvl w:val="0"/>
          <w:numId w:val="2"/>
        </w:numPr>
        <w:spacing w:after="80" w:line="276"/>
      </w:pPr>
      <w:r>
        <w:rPr>
          <w:rFonts w:ascii="Times New Roman" w:cs="Times New Roman" w:eastAsia="Times New Roman" w:hAnsi="Times New Roman"/>
          <w:sz w:val="24"/>
          <w:szCs w:val="24"/>
        </w:rPr>
        <w:t xml:space="preserve">Submission status is restricted to pending, submitted or evaluated.</w:t>
      </w:r>
    </w:p>
    <w:p>
      <w:pPr>
        <w:pStyle w:val="ListParagraph"/>
        <w:numPr>
          <w:ilvl w:val="0"/>
          <w:numId w:val="2"/>
        </w:numPr>
        <w:spacing w:after="80" w:line="276"/>
      </w:pPr>
      <w:r>
        <w:rPr>
          <w:rFonts w:ascii="Times New Roman" w:cs="Times New Roman" w:eastAsia="Times New Roman" w:hAnsi="Times New Roman"/>
          <w:sz w:val="24"/>
          <w:szCs w:val="24"/>
        </w:rPr>
        <w:t xml:space="preserve">Marks, where recorded, must be non-negative; a null mark denotes work not yet evaluated.</w:t>
      </w:r>
    </w:p>
    <w:p>
      <w:pPr>
        <w:pStyle w:val="Heading1"/>
        <w:pageBreakBefore/>
        <w:spacing w:after="160" w:before="320"/>
      </w:pPr>
      <w:bookmarkStart w:name="_Toc14" w:id="14"/>
      <w:r>
        <w:rPr>
          <w:rFonts w:ascii="Times New Roman" w:cs="Times New Roman" w:eastAsia="Times New Roman" w:hAnsi="Times New Roman"/>
          <w:b/>
          <w:bCs/>
          <w:color w:val="1B2227"/>
          <w:sz w:val="30"/>
          <w:szCs w:val="30"/>
        </w:rPr>
        <w:t xml:space="preserve">5. Methodology / Implementation</w:t>
      </w:r>
      <w:bookmarkEnd w:id="14"/>
    </w:p>
    <w:p>
      <w:pPr>
        <w:pStyle w:val="Heading2"/>
        <w:spacing w:after="120" w:before="240"/>
      </w:pPr>
      <w:bookmarkStart w:name="_Toc15" w:id="15"/>
      <w:r>
        <w:rPr>
          <w:rFonts w:ascii="Times New Roman" w:cs="Times New Roman" w:eastAsia="Times New Roman" w:hAnsi="Times New Roman"/>
          <w:b/>
          <w:bCs/>
          <w:color w:val="1B2227"/>
          <w:sz w:val="26"/>
          <w:szCs w:val="26"/>
        </w:rPr>
        <w:t xml:space="preserve">5.1 Tools and Technologies Used</w:t>
      </w:r>
      <w:bookmarkEnd w:id="15"/>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50"/>
      </w:tblGrid>
      <w:tr>
        <w:trPr>
          <w:tblHeader/>
        </w:trPr>
        <w:tc>
          <w:tcPr>
            <w:tcW w:type="dxa" w:w="17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Layer</w:t>
            </w:r>
          </w:p>
        </w:tc>
        <w:tc>
          <w:tcPr>
            <w:tcW w:type="dxa" w:w="34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Technology</w:t>
            </w:r>
          </w:p>
        </w:tc>
        <w:tc>
          <w:tcPr>
            <w:tcW w:type="dxa" w:w="42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Purpose</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Frontend</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Next.js 16, React 19, TypeScript</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pages and routing with static type checking</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Styling</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Tailwind CSS 4</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Utility-first styling with a restrained neutral palette</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Charts</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Recharts</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Attendance and marks distribution visualisations</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Backend</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FastAPI, Python 3.12</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Typed HTTP API with automatic OpenAPI documentation</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Validation</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Pydantic v2</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Request and response schemas, including identifier patterns</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ORM</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SQLAlchemy 2.x</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Parameterised database access and schema definition</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Migrations</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Alembic</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Versioned schema evolution</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Database</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PostgreSQL 18 (Neon)</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Managed relational storage</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AI framework</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LangChain 1.x</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Uniform model interface, tool binding and streaming</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Providers</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Gemini, OpenAI, Anthropic, Groq, Ollama, and OpenAI-compatible services</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Interchangeable language model backends</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Testing</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pytest, Vitest, Testing Library</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Backend and frontend automated tests</w:t>
            </w:r>
          </w:p>
        </w:tc>
      </w:tr>
      <w:tr>
        <w:tc>
          <w:tcPr>
            <w:tcW w:type="dxa" w:w="1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Deployment</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Vercel, GitHub Actions</w:t>
            </w:r>
          </w:p>
        </w:tc>
        <w:tc>
          <w:tcPr>
            <w:tcW w:type="dxa" w:w="42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Hosting and continuous integration</w:t>
            </w:r>
          </w:p>
        </w:tc>
      </w:tr>
    </w:tbl>
    <w:p>
      <w:pPr>
        <w:spacing w:after="240" w:before="80"/>
        <w:jc w:val="center"/>
      </w:pPr>
      <w:r>
        <w:rPr>
          <w:rFonts w:ascii="Times New Roman" w:cs="Times New Roman" w:eastAsia="Times New Roman" w:hAnsi="Times New Roman"/>
          <w:i/>
          <w:iCs/>
          <w:sz w:val="20"/>
          <w:szCs w:val="20"/>
        </w:rPr>
        <w:t xml:space="preserve">Table 5.1: Technology stack</w:t>
      </w:r>
    </w:p>
    <w:p>
      <w:pPr>
        <w:pStyle w:val="Heading2"/>
        <w:spacing w:after="120" w:before="240"/>
      </w:pPr>
      <w:bookmarkStart w:name="_Toc16" w:id="16"/>
      <w:r>
        <w:rPr>
          <w:rFonts w:ascii="Times New Roman" w:cs="Times New Roman" w:eastAsia="Times New Roman" w:hAnsi="Times New Roman"/>
          <w:b/>
          <w:bCs/>
          <w:color w:val="1B2227"/>
          <w:sz w:val="26"/>
          <w:szCs w:val="26"/>
        </w:rPr>
        <w:t xml:space="preserve">5.2 Synthetic Dataset Generation</w:t>
      </w:r>
      <w:bookmarkEnd w:id="16"/>
    </w:p>
    <w:p>
      <w:pPr>
        <w:spacing w:after="120" w:line="276"/>
        <w:jc w:val="both"/>
      </w:pPr>
      <w:r>
        <w:rPr>
          <w:rFonts w:ascii="Times New Roman" w:cs="Times New Roman" w:eastAsia="Times New Roman" w:hAnsi="Times New Roman"/>
          <w:sz w:val="24"/>
          <w:szCs w:val="24"/>
        </w:rPr>
        <w:t xml:space="preserve">No real student information is used. A generator script seeded with a fixed value produces byte-identical output on every run, which allows the dataset to be regenerated and verified in continuous integration. Student email addresses use the .invalid top-level domain reserved by RFC 2606, so they can never resolve to a real address.</w:t>
      </w:r>
    </w:p>
    <w:p>
      <w:pPr>
        <w:spacing w:after="120" w:line="276"/>
        <w:jc w:val="both"/>
      </w:pPr>
      <w:r>
        <w:rPr>
          <w:rFonts w:ascii="Times New Roman" w:cs="Times New Roman" w:eastAsia="Times New Roman" w:hAnsi="Times New Roman"/>
          <w:sz w:val="24"/>
          <w:szCs w:val="24"/>
        </w:rPr>
        <w:t xml:space="preserve">Attendance is generated from a latent diligence value per student, so a student's record correlates across subjects as it would in reality, while per-subject variation keeps the distribution realistic. The cohort is deliberately shaped to contain excellent, average, borderline and poor cases so that every analytic has data to exercise it.</w:t>
      </w:r>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50"/>
      </w:tblGrid>
      <w:tr>
        <w:trPr>
          <w:tblHeader/>
        </w:trPr>
        <w:tc>
          <w:tcPr>
            <w:tcW w:type="dxa" w:w="29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Table</w:t>
            </w:r>
          </w:p>
        </w:tc>
        <w:tc>
          <w:tcPr>
            <w:tcW w:type="dxa" w:w="14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Rows</w:t>
            </w:r>
          </w:p>
        </w:tc>
        <w:tc>
          <w:tcPr>
            <w:tcW w:type="dxa" w:w="50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Notes</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students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250</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Divisions A, B and C; year 3, semester 6</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subjects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Subject codes stored exactly as supplied, including suffixes</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teachers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per distinct faculty member; one department coordinator</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teacher_subjects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Authoritative mapping used for authorisation</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attendance</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3,000</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record per student-subject pair</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assessments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Five weighted assessments per subject</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grades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15,000</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532 unevaluated, 312 absent, 217 genuine zeros</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assignments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36</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Three per subject with distinct due dates</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student_assignments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9,000</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5,489 evaluated, 1,759 submitted, 1,752 pending</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extracurricular_activities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25</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Ten categories from hackathons to volunteering</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student_activities</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572</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200 of 250 students participate; awards are the exception</w:t>
            </w:r>
          </w:p>
        </w:tc>
      </w:tr>
      <w:tr>
        <w:tc>
          <w:tcPr>
            <w:tcW w:type="dxa" w:w="2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Total</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27,975</w:t>
            </w:r>
          </w:p>
        </w:tc>
        <w:tc>
          <w:tcPr>
            <w:tcW w:type="dxa" w:w="5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All synthetic demonstration data</w:t>
            </w:r>
          </w:p>
        </w:tc>
      </w:tr>
    </w:tbl>
    <w:p>
      <w:pPr>
        <w:spacing w:after="240" w:before="80"/>
        <w:jc w:val="center"/>
      </w:pPr>
      <w:r>
        <w:rPr>
          <w:rFonts w:ascii="Times New Roman" w:cs="Times New Roman" w:eastAsia="Times New Roman" w:hAnsi="Times New Roman"/>
          <w:i/>
          <w:iCs/>
          <w:sz w:val="20"/>
          <w:szCs w:val="20"/>
        </w:rPr>
        <w:t xml:space="preserve">Table 5.2: Composition of the generated dataset</w:t>
      </w:r>
    </w:p>
    <w:p>
      <w:pPr>
        <w:pStyle w:val="Heading2"/>
        <w:spacing w:after="120" w:before="240"/>
      </w:pPr>
      <w:bookmarkStart w:name="_Toc17" w:id="17"/>
      <w:r>
        <w:rPr>
          <w:rFonts w:ascii="Times New Roman" w:cs="Times New Roman" w:eastAsia="Times New Roman" w:hAnsi="Times New Roman"/>
          <w:b/>
          <w:bCs/>
          <w:color w:val="1B2227"/>
          <w:sz w:val="26"/>
          <w:szCs w:val="26"/>
        </w:rPr>
        <w:t xml:space="preserve">5.3 Authorisation Model</w:t>
      </w:r>
      <w:bookmarkEnd w:id="17"/>
    </w:p>
    <w:p>
      <w:pPr>
        <w:spacing w:after="120" w:line="276"/>
        <w:jc w:val="both"/>
      </w:pPr>
      <w:r>
        <w:rPr>
          <w:rFonts w:ascii="Times New Roman" w:cs="Times New Roman" w:eastAsia="Times New Roman" w:hAnsi="Times New Roman"/>
          <w:sz w:val="24"/>
          <w:szCs w:val="24"/>
        </w:rPr>
        <w:t xml:space="preserve">A teacher's identity comes only from a cryptographically signed session cookie. A teacher identifier appearing in a request body, a query string or a chat message is ignored entirely. On every request the backend reads that teacher's assigned subjects from the database and constructs a principal object carrying the resolved scope. Each endpoint then validates the requested subject or student against that scope before any data is read.</w:t>
      </w:r>
    </w:p>
    <w:p>
      <w:pPr>
        <w:spacing w:after="120" w:line="276"/>
        <w:jc w:val="both"/>
      </w:pPr>
      <w:r>
        <w:rPr>
          <w:rFonts w:ascii="Times New Roman" w:cs="Times New Roman" w:eastAsia="Times New Roman" w:hAnsi="Times New Roman"/>
          <w:sz w:val="24"/>
          <w:szCs w:val="24"/>
        </w:rPr>
        <w:t xml:space="preserve">A subject that does not exist and a subject belonging to another teacher both return the same refusal, so the endpoint cannot be used to discover which subject codes are valid.</w:t>
      </w:r>
    </w:p>
    <w:p>
      <w:pPr>
        <w:spacing w:after="80" w:before="200"/>
        <w:jc w:val="center"/>
      </w:pPr>
      <w:r>
        <w:drawing>
          <wp:inline distT="0" distB="0" distL="0" distR="0">
            <wp:extent cx="5715000" cy="1333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33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5.1: Authorisation decision sequence applied to every request</w:t>
      </w:r>
    </w:p>
    <w:p>
      <w:pPr>
        <w:spacing w:after="80" w:before="200"/>
        <w:jc w:val="center"/>
      </w:pPr>
      <w:r>
        <w:drawing>
          <wp:inline distT="0" distB="0" distL="0" distR="0">
            <wp:extent cx="5524500" cy="3648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480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5.2: Request lifecycle from browser to database</w:t>
      </w:r>
    </w:p>
    <w:p>
      <w:pPr>
        <w:pStyle w:val="Heading2"/>
        <w:spacing w:after="120" w:before="240"/>
      </w:pPr>
      <w:bookmarkStart w:name="_Toc18" w:id="18"/>
      <w:r>
        <w:rPr>
          <w:rFonts w:ascii="Times New Roman" w:cs="Times New Roman" w:eastAsia="Times New Roman" w:hAnsi="Times New Roman"/>
          <w:b/>
          <w:bCs/>
          <w:color w:val="1B2227"/>
          <w:sz w:val="26"/>
          <w:szCs w:val="26"/>
        </w:rPr>
        <w:t xml:space="preserve">5.4 Exact Attendance Arithmetic</w:t>
      </w:r>
      <w:bookmarkEnd w:id="18"/>
    </w:p>
    <w:p>
      <w:pPr>
        <w:spacing w:after="120" w:line="276"/>
        <w:jc w:val="both"/>
      </w:pPr>
      <w:r>
        <w:rPr>
          <w:rFonts w:ascii="Times New Roman" w:cs="Times New Roman" w:eastAsia="Times New Roman" w:hAnsi="Times New Roman"/>
          <w:sz w:val="24"/>
          <w:szCs w:val="24"/>
        </w:rPr>
        <w:t xml:space="preserve">All attendance calculations are implemented once, in a single module, using Python's exact rational Fraction type rather than floating-point numbers. This is not a theoretical nicety: thirty classes attended out of forty is exactly seventy-five percent, and with floating-point arithmetic such a student can be classified as below a seventy-five percent threshold depending on rounding. That would be a visible and unfair error in a report a teacher might act upon.</w:t>
      </w:r>
    </w:p>
    <w:p>
      <w:pPr>
        <w:spacing w:after="120" w:line="276"/>
        <w:jc w:val="both"/>
      </w:pPr>
      <w:r>
        <w:rPr>
          <w:rFonts w:ascii="Times New Roman" w:cs="Times New Roman" w:eastAsia="Times New Roman" w:hAnsi="Times New Roman"/>
          <w:sz w:val="24"/>
          <w:szCs w:val="24"/>
        </w:rPr>
        <w:t xml:space="preserve">Attendance percentage is computed as classes attended divided by classes conducted, multiplied by one hundred.</w:t>
      </w:r>
    </w:p>
    <w:p>
      <w:pPr>
        <w:spacing w:after="120" w:line="276"/>
        <w:jc w:val="both"/>
      </w:pPr>
      <w:r>
        <w:rPr>
          <w:rFonts w:ascii="Times New Roman" w:cs="Times New Roman" w:eastAsia="Times New Roman" w:hAnsi="Times New Roman"/>
          <w:sz w:val="24"/>
          <w:szCs w:val="24"/>
        </w:rPr>
        <w:t xml:space="preserve">The number of consecutive future classes a student must attend to reach a target percentage T, having attended A of C classes, is the ceiling of (T×C − A×100) divided by (100 − T), floored at zero. A target of one hundred percent after any absence is mathematically unreachable, and the implementation raises an error rather than returning a misleading figure.</w:t>
      </w:r>
    </w:p>
    <w:p>
      <w:pPr>
        <w:spacing w:after="120" w:line="276"/>
        <w:jc w:val="both"/>
      </w:pPr>
      <w:r>
        <w:rPr>
          <w:rFonts w:ascii="Times New Roman" w:cs="Times New Roman" w:eastAsia="Times New Roman" w:hAnsi="Times New Roman"/>
          <w:sz w:val="24"/>
          <w:szCs w:val="24"/>
        </w:rPr>
        <w:t xml:space="preserve">Two different averages are reported and both are labelled in the interface. The pooled average divides total classes attended by total classes conducted, weighting every class equally. The mean student average takes the unweighted mean of each student's own percentage, weighting every student equally. These differ whenever subjects have different class counts, so presenting one unlabelled figure would misrepresent the cohort.</w:t>
      </w:r>
    </w:p>
    <w:p>
      <w:pPr>
        <w:pStyle w:val="Heading2"/>
        <w:spacing w:after="120" w:before="240"/>
      </w:pPr>
      <w:bookmarkStart w:name="_Toc19" w:id="19"/>
      <w:r>
        <w:rPr>
          <w:rFonts w:ascii="Times New Roman" w:cs="Times New Roman" w:eastAsia="Times New Roman" w:hAnsi="Times New Roman"/>
          <w:b/>
          <w:bCs/>
          <w:color w:val="1B2227"/>
          <w:sz w:val="26"/>
          <w:szCs w:val="26"/>
        </w:rPr>
        <w:t xml:space="preserve">5.5 AI Orchestration</w:t>
      </w:r>
      <w:bookmarkEnd w:id="19"/>
    </w:p>
    <w:p>
      <w:pPr>
        <w:spacing w:after="120" w:line="276"/>
        <w:jc w:val="both"/>
      </w:pPr>
      <w:r>
        <w:rPr>
          <w:rFonts w:ascii="Times New Roman" w:cs="Times New Roman" w:eastAsia="Times New Roman" w:hAnsi="Times New Roman"/>
          <w:sz w:val="24"/>
          <w:szCs w:val="24"/>
        </w:rPr>
        <w:t xml:space="preserve">The language model is given thirteen functions and no database access. There is no SQL-executing function and no function that writes data. Each is bound to the authenticated teacher and re-checks scope against the database before reading, so a subject code or student identifier that the model invents simply fails authorisation and returns a refusal the model must relay.</w:t>
      </w:r>
    </w:p>
    <w:p>
      <w:pPr>
        <w:spacing w:after="80" w:before="200"/>
        <w:jc w:val="center"/>
      </w:pPr>
      <w:r>
        <w:drawing>
          <wp:inline distT="0" distB="0" distL="0" distR="0">
            <wp:extent cx="5715000" cy="1714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14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5.3: AI request flow with per-function authorisation</w:t>
      </w:r>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Category</w:t>
            </w:r>
          </w:p>
        </w:tc>
        <w:tc>
          <w:tcPr>
            <w:tcW w:type="dxa" w:w="70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Functions</w:t>
            </w:r>
          </w:p>
        </w:tc>
      </w:tr>
      <w:tr>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Scope discovery</w:t>
            </w:r>
          </w:p>
        </w:tc>
        <w:tc>
          <w:tcPr>
            <w:tcW w:type="dxa" w:w="7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get_teacher_subjects, find_students</w:t>
            </w:r>
          </w:p>
        </w:tc>
      </w:tr>
      <w:tr>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Attendance</w:t>
            </w:r>
          </w:p>
        </w:tc>
        <w:tc>
          <w:tcPr>
            <w:tcW w:type="dxa" w:w="7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get_subject_attendance_summary, get_low_attendance_students, get_student_attendance, get_classes_needed_for_target</w:t>
            </w:r>
          </w:p>
        </w:tc>
      </w:tr>
      <w:tr>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Academic performance</w:t>
            </w:r>
          </w:p>
        </w:tc>
        <w:tc>
          <w:tcPr>
            <w:tcW w:type="dxa" w:w="7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get_subject_performance_summary, get_students_below_marks_threshold, get_student_academic_summary</w:t>
            </w:r>
          </w:p>
        </w:tc>
      </w:tr>
      <w:tr>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Assignments</w:t>
            </w:r>
          </w:p>
        </w:tc>
        <w:tc>
          <w:tcPr>
            <w:tcW w:type="dxa" w:w="7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get_assignment_submission_summary, get_student_assignment_status</w:t>
            </w:r>
          </w:p>
        </w:tc>
      </w:tr>
      <w:tr>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Extracurricular</w:t>
            </w:r>
          </w:p>
        </w:tc>
        <w:tc>
          <w:tcPr>
            <w:tcW w:type="dxa" w:w="70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get_extracurricular_summary, get_student_extracurricular</w:t>
            </w:r>
          </w:p>
        </w:tc>
      </w:tr>
    </w:tbl>
    <w:p>
      <w:pPr>
        <w:spacing w:after="240" w:before="80"/>
        <w:jc w:val="center"/>
      </w:pPr>
      <w:r>
        <w:rPr>
          <w:rFonts w:ascii="Times New Roman" w:cs="Times New Roman" w:eastAsia="Times New Roman" w:hAnsi="Times New Roman"/>
          <w:i/>
          <w:iCs/>
          <w:sz w:val="20"/>
          <w:szCs w:val="20"/>
        </w:rPr>
        <w:t xml:space="preserve">Table 5.3: The thirteen access-controlled functions available to the model</w:t>
      </w:r>
    </w:p>
    <w:p>
      <w:pPr>
        <w:spacing w:after="120" w:line="276"/>
        <w:jc w:val="both"/>
      </w:pPr>
      <w:r>
        <w:rPr>
          <w:rFonts w:ascii="Times New Roman" w:cs="Times New Roman" w:eastAsia="Times New Roman" w:hAnsi="Times New Roman"/>
          <w:sz w:val="24"/>
          <w:szCs w:val="24"/>
        </w:rPr>
        <w:t xml:space="preserve">Results are capped at forty rows and every function reports the full matching total separately from the number of rows displayed, together with an explicit truncation flag. Function results also carry the definitions they depend upon — the threshold applied, what counts as overdue, how unevaluated work was treated — so that the model restates them accurately rather than inferring them.</w:t>
      </w:r>
    </w:p>
    <w:p>
      <w:pPr>
        <w:spacing w:after="120" w:line="276"/>
        <w:jc w:val="both"/>
      </w:pPr>
      <w:r>
        <w:rPr>
          <w:rFonts w:ascii="Times New Roman" w:cs="Times New Roman" w:eastAsia="Times New Roman" w:hAnsi="Times New Roman"/>
          <w:sz w:val="24"/>
          <w:szCs w:val="24"/>
        </w:rPr>
        <w:t xml:space="preserve">Models that do not support function calling, such as certain reasoning-oriented models, are detected from a capability registry. For these, the backend places an aggregate-only snapshot in the prompt; no individual student record is ever written into prompt text, and the assistant states that per-student answers require a function-calling model.</w:t>
      </w:r>
    </w:p>
    <w:p>
      <w:pPr>
        <w:pStyle w:val="Heading2"/>
        <w:spacing w:after="120" w:before="240"/>
      </w:pPr>
      <w:bookmarkStart w:name="_Toc20" w:id="20"/>
      <w:r>
        <w:rPr>
          <w:rFonts w:ascii="Times New Roman" w:cs="Times New Roman" w:eastAsia="Times New Roman" w:hAnsi="Times New Roman"/>
          <w:b/>
          <w:bCs/>
          <w:color w:val="1B2227"/>
          <w:sz w:val="26"/>
          <w:szCs w:val="26"/>
        </w:rPr>
        <w:t xml:space="preserve">5.6 Streaming and Credential Handling</w:t>
      </w:r>
      <w:bookmarkEnd w:id="20"/>
    </w:p>
    <w:p>
      <w:pPr>
        <w:spacing w:after="120" w:line="276"/>
        <w:jc w:val="both"/>
      </w:pPr>
      <w:r>
        <w:rPr>
          <w:rFonts w:ascii="Times New Roman" w:cs="Times New Roman" w:eastAsia="Times New Roman" w:hAnsi="Times New Roman"/>
          <w:sz w:val="24"/>
          <w:szCs w:val="24"/>
        </w:rPr>
        <w:t xml:space="preserve">Responses are delivered using Server-Sent Events. Tokens are forwarded to the browser as the provider emits them, with no buffering of the complete response and no simulated typing animation. The interface supports stopping generation mid-stream, retrying a failed request, copying a response and clearing the conversation. When a provider request fails, the failure is reported with a retry option; it is never replaced with invented text.</w:t>
      </w:r>
    </w:p>
    <w:p>
      <w:pPr>
        <w:spacing w:after="120" w:line="276"/>
        <w:jc w:val="both"/>
      </w:pPr>
      <w:r>
        <w:rPr>
          <w:rFonts w:ascii="Times New Roman" w:cs="Times New Roman" w:eastAsia="Times New Roman" w:hAnsi="Times New Roman"/>
          <w:sz w:val="24"/>
          <w:szCs w:val="24"/>
        </w:rPr>
        <w:t xml:space="preserve">A user-supplied API key is held only in browser memory. It is never written to local storage, a cookie, a URL or the database, and is transmitted to the backend only with the request that needs it, used to construct a client for that single call, and then discarded. A redaction filter strips credential-shaped strings from every log record, and provider exceptions are rewritten into actionable messages before display, because provider SDKs routinely echo the authorisation header into their error text.</w:t>
      </w:r>
    </w:p>
    <w:p>
      <w:pPr>
        <w:spacing w:after="120" w:line="276"/>
        <w:jc w:val="both"/>
      </w:pPr>
      <w:r>
        <w:rPr>
          <w:rFonts w:ascii="Times New Roman" w:cs="Times New Roman" w:eastAsia="Times New Roman" w:hAnsi="Times New Roman"/>
          <w:sz w:val="24"/>
          <w:szCs w:val="24"/>
        </w:rPr>
        <w:t xml:space="preserve">Custom provider endpoint URLs are validated before use. Each hostname is resolved and all returned addresses checked, rejecting private, loopback, link-local and reserved ranges. This prevents the endpoint field being used to probe internal infrastructure, including cloud metadata services. Loopback addresses are permitted only for locally hosted models, which is a documented development configuration.</w:t>
      </w:r>
    </w:p>
    <w:p>
      <w:pPr>
        <w:pStyle w:val="Heading1"/>
        <w:pageBreakBefore/>
        <w:spacing w:after="160" w:before="320"/>
      </w:pPr>
      <w:bookmarkStart w:name="_Toc21" w:id="21"/>
      <w:r>
        <w:rPr>
          <w:rFonts w:ascii="Times New Roman" w:cs="Times New Roman" w:eastAsia="Times New Roman" w:hAnsi="Times New Roman"/>
          <w:b/>
          <w:bCs/>
          <w:color w:val="1B2227"/>
          <w:sz w:val="30"/>
          <w:szCs w:val="30"/>
        </w:rPr>
        <w:t xml:space="preserve">6. Results and Discussion</w:t>
      </w:r>
      <w:bookmarkEnd w:id="21"/>
    </w:p>
    <w:p>
      <w:pPr>
        <w:pStyle w:val="Heading2"/>
        <w:spacing w:after="120" w:before="240"/>
      </w:pPr>
      <w:bookmarkStart w:name="_Toc22" w:id="22"/>
      <w:r>
        <w:rPr>
          <w:rFonts w:ascii="Times New Roman" w:cs="Times New Roman" w:eastAsia="Times New Roman" w:hAnsi="Times New Roman"/>
          <w:b/>
          <w:bCs/>
          <w:color w:val="1B2227"/>
          <w:sz w:val="26"/>
          <w:szCs w:val="26"/>
        </w:rPr>
        <w:t xml:space="preserve">6.1 Outputs Achieved</w:t>
      </w:r>
      <w:bookmarkEnd w:id="22"/>
    </w:p>
    <w:p>
      <w:pPr>
        <w:spacing w:after="120" w:line="276"/>
        <w:jc w:val="both"/>
      </w:pPr>
      <w:r>
        <w:rPr>
          <w:rFonts w:ascii="Times New Roman" w:cs="Times New Roman" w:eastAsia="Times New Roman" w:hAnsi="Times New Roman"/>
          <w:sz w:val="24"/>
          <w:szCs w:val="24"/>
        </w:rPr>
        <w:t xml:space="preserve">The system is complete and deployed. All nine interface modules render live data from the database, the assistant answers questions from authorised functions, and authorisation behaves correctly when probed directly over HTTP as well as through the interface.</w:t>
      </w:r>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Component</w:t>
            </w:r>
          </w:p>
        </w:tc>
        <w:tc>
          <w:tcPr>
            <w:tcW w:type="dxa" w:w="68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Delivered</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Database</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 tables, 27,975 synthetic records, constraints enforced at database level</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Backend API</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22 typed endpoints with authorisation on every data route</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Frontend</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responsive pages with loading, empty and error states</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AI layer</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 access-controlled functions across 9 supported model providers</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Streaming</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Server-Sent Events with stop, retry, copy and clear</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Tests</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208 automated tests (182 backend, 26 frontend), all passing</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Code</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Approximately 11,200 lines across backend and frontend</w:t>
            </w:r>
          </w:p>
        </w:tc>
      </w:tr>
      <w:tr>
        <w:tc>
          <w:tcPr>
            <w:tcW w:type="dxa" w:w="25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Deployment</w:t>
            </w:r>
          </w:p>
        </w:tc>
        <w:tc>
          <w:tcPr>
            <w:tcW w:type="dxa" w:w="6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Frontend and backend deployed; continuous integration passing</w:t>
            </w:r>
          </w:p>
        </w:tc>
      </w:tr>
    </w:tbl>
    <w:p>
      <w:pPr>
        <w:spacing w:after="240" w:before="80"/>
        <w:jc w:val="center"/>
      </w:pPr>
      <w:r>
        <w:rPr>
          <w:rFonts w:ascii="Times New Roman" w:cs="Times New Roman" w:eastAsia="Times New Roman" w:hAnsi="Times New Roman"/>
          <w:i/>
          <w:iCs/>
          <w:sz w:val="20"/>
          <w:szCs w:val="20"/>
        </w:rPr>
        <w:t xml:space="preserve">Table 6.1: Delivered components</w:t>
      </w:r>
    </w:p>
    <w:p>
      <w:pPr>
        <w:pStyle w:val="Heading2"/>
        <w:spacing w:after="120" w:before="240"/>
      </w:pPr>
      <w:bookmarkStart w:name="_Toc23" w:id="23"/>
      <w:r>
        <w:rPr>
          <w:rFonts w:ascii="Times New Roman" w:cs="Times New Roman" w:eastAsia="Times New Roman" w:hAnsi="Times New Roman"/>
          <w:b/>
          <w:bCs/>
          <w:color w:val="1B2227"/>
          <w:sz w:val="26"/>
          <w:szCs w:val="26"/>
        </w:rPr>
        <w:t xml:space="preserve">6.2 Verification and Test Coverage</w:t>
      </w:r>
      <w:bookmarkEnd w:id="23"/>
    </w:p>
    <w:p>
      <w:pPr>
        <w:spacing w:after="120" w:line="276"/>
        <w:jc w:val="both"/>
      </w:pPr>
      <w:r>
        <w:rPr>
          <w:rFonts w:ascii="Times New Roman" w:cs="Times New Roman" w:eastAsia="Times New Roman" w:hAnsi="Times New Roman"/>
          <w:sz w:val="24"/>
          <w:szCs w:val="24"/>
        </w:rPr>
        <w:t xml:space="preserve">Testing is organised around the properties that matter rather than line coverage. Backend tests run against an in-memory database built from the same schema definitions, and frontend tests stub the network layer with a controllable stream, so the entire suite runs without a live database or any API credential.</w:t>
      </w:r>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350"/>
      </w:tblGrid>
      <w:tr>
        <w:trPr>
          <w:tblHeader/>
        </w:trPr>
        <w:tc>
          <w:tcPr>
            <w:tcW w:type="dxa" w:w="21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Suite</w:t>
            </w:r>
          </w:p>
        </w:tc>
        <w:tc>
          <w:tcPr>
            <w:tcW w:type="dxa" w:w="9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Tests</w:t>
            </w:r>
          </w:p>
        </w:tc>
        <w:tc>
          <w:tcPr>
            <w:tcW w:type="dxa" w:w="63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Properties verified</w:t>
            </w:r>
          </w:p>
        </w:tc>
      </w:tr>
      <w:tr>
        <w:tc>
          <w:tcPr>
            <w:tcW w:type="dxa" w:w="2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Dataset integrity</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39</w:t>
            </w:r>
          </w:p>
        </w:tc>
        <w:tc>
          <w:tcPr>
            <w:tcW w:type="dxa" w:w="6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Exactly 12 subjects, faculty names preserved, valid references, attendance within bounds, all evaluation states present, byte-identical regeneration</w:t>
            </w:r>
          </w:p>
        </w:tc>
      </w:tr>
      <w:tr>
        <w:tc>
          <w:tcPr>
            <w:tcW w:type="dxa" w:w="2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Attendance arithmetic</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25</w:t>
            </w:r>
          </w:p>
        </w:tc>
        <w:tc>
          <w:tcPr>
            <w:tcW w:type="dxa" w:w="6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Percentages, exact threshold boundaries, the classes-needed formula checked against its own definition, invalid inputs rejected</w:t>
            </w:r>
          </w:p>
        </w:tc>
      </w:tr>
      <w:tr>
        <w:tc>
          <w:tcPr>
            <w:tcW w:type="dxa" w:w="2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Business logic</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28</w:t>
            </w:r>
          </w:p>
        </w:tc>
        <w:tc>
          <w:tcPr>
            <w:tcW w:type="dxa" w:w="6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Zero distinguished from missing, absent from unevaluated, overdue from unmarked, pooled from mean averages</w:t>
            </w:r>
          </w:p>
        </w:tc>
      </w:tr>
      <w:tr>
        <w:tc>
          <w:tcPr>
            <w:tcW w:type="dxa" w:w="2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Authorisation</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w:t>
            </w:r>
          </w:p>
        </w:tc>
        <w:tc>
          <w:tcPr>
            <w:tcW w:type="dxa" w:w="6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Forged and expired sessions rejected, cross-teacher access denied, coordinator role gated, export scope and filters honoured</w:t>
            </w:r>
          </w:p>
        </w:tc>
      </w:tr>
      <w:tr>
        <w:tc>
          <w:tcPr>
            <w:tcW w:type="dxa" w:w="2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AI layer</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w:t>
            </w:r>
          </w:p>
        </w:tc>
        <w:tc>
          <w:tcPr>
            <w:tcW w:type="dxa" w:w="6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Provider configuration, endpoint validation, credential redaction, per-function authorisation, progressive streaming, provider failure, injection resistance</w:t>
            </w:r>
          </w:p>
        </w:tc>
      </w:tr>
      <w:tr>
        <w:tc>
          <w:tcPr>
            <w:tcW w:type="dxa" w:w="21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Frontend</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26</w:t>
            </w:r>
          </w:p>
        </w:tc>
        <w:tc>
          <w:tcPr>
            <w:tcW w:type="dxa" w:w="63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Stream parsing including split frames, stop and retry, error handling, missing values rendered as a dash rather than zero</w:t>
            </w:r>
          </w:p>
        </w:tc>
      </w:tr>
    </w:tbl>
    <w:p>
      <w:pPr>
        <w:spacing w:after="240" w:before="80"/>
        <w:jc w:val="center"/>
      </w:pPr>
      <w:r>
        <w:rPr>
          <w:rFonts w:ascii="Times New Roman" w:cs="Times New Roman" w:eastAsia="Times New Roman" w:hAnsi="Times New Roman"/>
          <w:i/>
          <w:iCs/>
          <w:sz w:val="20"/>
          <w:szCs w:val="20"/>
        </w:rPr>
        <w:t xml:space="preserve">Table 6.2: Automated test coverage by suite</w:t>
      </w:r>
    </w:p>
    <w:p>
      <w:pPr>
        <w:pStyle w:val="Heading2"/>
        <w:spacing w:after="120" w:before="240"/>
      </w:pPr>
      <w:bookmarkStart w:name="_Toc24" w:id="24"/>
      <w:r>
        <w:rPr>
          <w:rFonts w:ascii="Times New Roman" w:cs="Times New Roman" w:eastAsia="Times New Roman" w:hAnsi="Times New Roman"/>
          <w:b/>
          <w:bCs/>
          <w:color w:val="1B2227"/>
          <w:sz w:val="26"/>
          <w:szCs w:val="26"/>
        </w:rPr>
        <w:t xml:space="preserve">6.3 A Defect Found by Probing the Deployed Assistant</w:t>
      </w:r>
      <w:bookmarkEnd w:id="24"/>
    </w:p>
    <w:p>
      <w:pPr>
        <w:spacing w:after="120" w:line="276"/>
        <w:jc w:val="both"/>
      </w:pPr>
      <w:r>
        <w:rPr>
          <w:rFonts w:ascii="Times New Roman" w:cs="Times New Roman" w:eastAsia="Times New Roman" w:hAnsi="Times New Roman"/>
          <w:sz w:val="24"/>
          <w:szCs w:val="24"/>
        </w:rPr>
        <w:t xml:space="preserve">After deployment the assistant was probed with deliberately difficult questions rather than assumed correct. Asked an open-ended question about which students needed attention, it replied that a total of fifteen students were below the attendance threshold. The correct figure was 154 student-subject records across 96 distinct students.</w:t>
      </w:r>
    </w:p>
    <w:p>
      <w:pPr>
        <w:spacing w:after="120" w:line="276"/>
        <w:jc w:val="both"/>
      </w:pPr>
      <w:r>
        <w:rPr>
          <w:rFonts w:ascii="Times New Roman" w:cs="Times New Roman" w:eastAsia="Times New Roman" w:hAnsi="Times New Roman"/>
          <w:sz w:val="24"/>
          <w:szCs w:val="24"/>
        </w:rPr>
        <w:t xml:space="preserve">The cause was not the wording of the prompt but the design of the function. It returned only the number of rows in its capped sample, with no field expressing the full total. The model had no means of knowing the population size and reported what it could observe. No change to prompt wording could have corrected this, because the required information was absent from the data the model received.</w:t>
      </w:r>
    </w:p>
    <w:p>
      <w:pPr>
        <w:spacing w:after="120" w:line="276"/>
        <w:jc w:val="both"/>
      </w:pPr>
      <w:r>
        <w:rPr>
          <w:rFonts w:ascii="Times New Roman" w:cs="Times New Roman" w:eastAsia="Times New Roman" w:hAnsi="Times New Roman"/>
          <w:sz w:val="24"/>
          <w:szCs w:val="24"/>
        </w:rPr>
        <w:t xml:space="preserve">The functions were changed to report the total matching records, the number of distinct students affected, the number of rows displayed and an explicit truncation flag. The system prompt gained a counting rule naming the specific fields to cite and forbidding any count inferred from the length of a list. The same question now returns the correct figure, and the distinction between records and people is stated explicitly, which matters because a student below the threshold in both a theory and a laboratory paper is two records but one person.</w:t>
      </w:r>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50"/>
      </w:tblGrid>
      <w:tr>
        <w:trPr>
          <w:tblHeader/>
        </w:trPr>
        <w:tc>
          <w:tcPr>
            <w:tcW w:type="dxa" w:w="18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
            </w:r>
          </w:p>
        </w:tc>
        <w:tc>
          <w:tcPr>
            <w:tcW w:type="dxa" w:w="37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Before the fix</w:t>
            </w:r>
          </w:p>
        </w:tc>
        <w:tc>
          <w:tcPr>
            <w:tcW w:type="dxa" w:w="38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After the fix</w:t>
            </w:r>
          </w:p>
        </w:tc>
      </w:tr>
      <w:tr>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Assistant's answer</w:t>
            </w:r>
          </w:p>
        </w:tc>
        <w:tc>
          <w:tcPr>
            <w:tcW w:type="dxa" w:w="3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total of 15 students are recorded below the threshold”</w:t>
            </w:r>
          </w:p>
        </w:tc>
        <w:tc>
          <w:tcPr>
            <w:tcW w:type="dxa" w:w="3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“154 student-subject records across 96 distinct students below the 75.0% threshold”</w:t>
            </w:r>
          </w:p>
        </w:tc>
      </w:tr>
      <w:tr>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Correctness</w:t>
            </w:r>
          </w:p>
        </w:tc>
        <w:tc>
          <w:tcPr>
            <w:tcW w:type="dxa" w:w="3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Incorrect by an order of magnitude</w:t>
            </w:r>
          </w:p>
        </w:tc>
        <w:tc>
          <w:tcPr>
            <w:tcW w:type="dxa" w:w="3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Matches the database exactly</w:t>
            </w:r>
          </w:p>
        </w:tc>
      </w:tr>
      <w:tr>
        <w:tc>
          <w:tcPr>
            <w:tcW w:type="dxa" w:w="18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Truncation</w:t>
            </w:r>
          </w:p>
        </w:tc>
        <w:tc>
          <w:tcPr>
            <w:tcW w:type="dxa" w:w="37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disclosed</w:t>
            </w:r>
          </w:p>
        </w:tc>
        <w:tc>
          <w:tcPr>
            <w:tcW w:type="dxa" w:w="38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Stated alongside the total</w:t>
            </w:r>
          </w:p>
        </w:tc>
      </w:tr>
    </w:tbl>
    <w:p>
      <w:pPr>
        <w:spacing w:after="240" w:before="80"/>
        <w:jc w:val="center"/>
      </w:pPr>
      <w:r>
        <w:rPr>
          <w:rFonts w:ascii="Times New Roman" w:cs="Times New Roman" w:eastAsia="Times New Roman" w:hAnsi="Times New Roman"/>
          <w:i/>
          <w:iCs/>
          <w:sz w:val="20"/>
          <w:szCs w:val="20"/>
        </w:rPr>
        <w:t xml:space="preserve">Table 6.3: Effect of the counting fix on assistant output</w:t>
      </w:r>
    </w:p>
    <w:p>
      <w:pPr>
        <w:spacing w:after="120" w:line="276"/>
        <w:jc w:val="both"/>
      </w:pPr>
      <w:r>
        <w:rPr>
          <w:rFonts w:ascii="Times New Roman" w:cs="Times New Roman" w:eastAsia="Times New Roman" w:hAnsi="Times New Roman"/>
          <w:sz w:val="24"/>
          <w:szCs w:val="24"/>
        </w:rPr>
        <w:t xml:space="preserve">This episode is reported because it illustrates the project's central thesis. The safeguard that worked was not an instruction but a change to the data the model received. A plausible, confident and entirely wrong number is the characteristic failure mode of language models over structured data, and it is prevented by design rather than by exhortation.</w:t>
      </w:r>
    </w:p>
    <w:p>
      <w:r>
        <w:br w:type="page"/>
      </w:r>
    </w:p>
    <w:p>
      <w:pPr>
        <w:pStyle w:val="Heading2"/>
        <w:spacing w:after="120" w:before="240"/>
      </w:pPr>
      <w:bookmarkStart w:name="_Toc25" w:id="25"/>
      <w:r>
        <w:rPr>
          <w:rFonts w:ascii="Times New Roman" w:cs="Times New Roman" w:eastAsia="Times New Roman" w:hAnsi="Times New Roman"/>
          <w:b/>
          <w:bCs/>
          <w:color w:val="1B2227"/>
          <w:sz w:val="26"/>
          <w:szCs w:val="26"/>
        </w:rPr>
        <w:t xml:space="preserve">6.4 Authorisation Verification</w:t>
      </w:r>
      <w:bookmarkEnd w:id="25"/>
    </w:p>
    <w:p>
      <w:pPr>
        <w:spacing w:after="120" w:line="276"/>
        <w:jc w:val="both"/>
      </w:pPr>
      <w:r>
        <w:rPr>
          <w:rFonts w:ascii="Times New Roman" w:cs="Times New Roman" w:eastAsia="Times New Roman" w:hAnsi="Times New Roman"/>
          <w:sz w:val="24"/>
          <w:szCs w:val="24"/>
        </w:rPr>
        <w:t xml:space="preserve">Authorisation was verified against the deployed system rather than only in tests. Signed in as a teacher assigned two Machine Learning papers, the following results were observed:</w:t>
      </w:r>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50"/>
      </w:tblGrid>
      <w:tr>
        <w:trPr>
          <w:tblHeader/>
        </w:trPr>
        <w:tc>
          <w:tcPr>
            <w:tcW w:type="dxa" w:w="40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Request</w:t>
            </w:r>
          </w:p>
        </w:tc>
        <w:tc>
          <w:tcPr>
            <w:tcW w:type="dxa" w:w="26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Expected</w:t>
            </w:r>
          </w:p>
        </w:tc>
        <w:tc>
          <w:tcPr>
            <w:tcW w:type="dxa" w:w="27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Observed</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Own assigned subject</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200 OK</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200 OK</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Another teacher's subject</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403 Forbidden</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403 Forbidden</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Student outside teaching scope</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403 Forbidden</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403 Forbidden</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session cookie</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401 Unauthorized</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401 Unauthorized</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Forged session cookie</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401 Unauthorized</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401 Unauthorized</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Department report as non-coordinator</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403 Forbidden</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403 Forbidden</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Department report as coordinator</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200 OK</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200 OK</w:t>
            </w:r>
          </w:p>
        </w:tc>
      </w:tr>
      <w:tr>
        <w:tc>
          <w:tcPr>
            <w:tcW w:type="dxa" w:w="40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Chat message with a forged system role</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422 Unprocessable</w:t>
            </w:r>
          </w:p>
        </w:tc>
        <w:tc>
          <w:tcPr>
            <w:tcW w:type="dxa" w:w="27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422 Unprocessable</w:t>
            </w:r>
          </w:p>
        </w:tc>
      </w:tr>
    </w:tbl>
    <w:p>
      <w:pPr>
        <w:spacing w:after="240" w:before="80"/>
        <w:jc w:val="center"/>
      </w:pPr>
      <w:r>
        <w:rPr>
          <w:rFonts w:ascii="Times New Roman" w:cs="Times New Roman" w:eastAsia="Times New Roman" w:hAnsi="Times New Roman"/>
          <w:i/>
          <w:iCs/>
          <w:sz w:val="20"/>
          <w:szCs w:val="20"/>
        </w:rPr>
        <w:t xml:space="preserve">Table 6.4: Authorisation behaviour observed on the deployed system</w:t>
      </w:r>
    </w:p>
    <w:p>
      <w:pPr>
        <w:spacing w:after="120" w:line="276"/>
        <w:jc w:val="both"/>
      </w:pPr>
      <w:r>
        <w:rPr>
          <w:rFonts w:ascii="Times New Roman" w:cs="Times New Roman" w:eastAsia="Times New Roman" w:hAnsi="Times New Roman"/>
          <w:sz w:val="24"/>
          <w:szCs w:val="24"/>
        </w:rPr>
        <w:t xml:space="preserve">The assistant was additionally instructed to disregard its restrictions and disclose another teacher's subject. It refused, correctly naming the authenticated identity and the actual permitted scope. The refusal is reassuring but not the protection itself: the underlying function would have denied the request regardless of the model's decision.</w:t>
      </w:r>
    </w:p>
    <w:p>
      <w:pPr>
        <w:pStyle w:val="Heading2"/>
        <w:spacing w:after="120" w:before="240"/>
      </w:pPr>
      <w:bookmarkStart w:name="_Toc26" w:id="26"/>
      <w:r>
        <w:rPr>
          <w:rFonts w:ascii="Times New Roman" w:cs="Times New Roman" w:eastAsia="Times New Roman" w:hAnsi="Times New Roman"/>
          <w:b/>
          <w:bCs/>
          <w:color w:val="1B2227"/>
          <w:sz w:val="26"/>
          <w:szCs w:val="26"/>
        </w:rPr>
        <w:t xml:space="preserve">6.5 Comparison with Existing Approaches</w:t>
      </w:r>
      <w:bookmarkEnd w:id="26"/>
    </w:p>
    <w:p>
      <w:pPr>
        <w:spacing w:after="40"/>
      </w:pPr>
      <w:r>
        <w:rPr>
          <w:rFonts w:ascii="Times New Roman" w:cs="Times New Roman" w:eastAsia="Times New Roman" w:hAnsi="Times New Roman"/>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50"/>
      </w:tblGrid>
      <w:tr>
        <w:trPr>
          <w:tblHeader/>
        </w:trPr>
        <w:tc>
          <w:tcPr>
            <w:tcW w:type="dxa" w:w="22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Property</w:t>
            </w:r>
          </w:p>
        </w:tc>
        <w:tc>
          <w:tcPr>
            <w:tcW w:type="dxa" w:w="24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Text-to-SQL</w:t>
            </w:r>
          </w:p>
        </w:tc>
        <w:tc>
          <w:tcPr>
            <w:tcW w:type="dxa" w:w="230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RAG</w:t>
            </w:r>
          </w:p>
        </w:tc>
        <w:tc>
          <w:tcPr>
            <w:tcW w:type="dxa" w:w="2450"/>
            <w:shd w:fill="E6F2F1"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This system</w:t>
            </w:r>
          </w:p>
        </w:tc>
      </w:tr>
      <w:tr>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Numerical accuracy</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Depends on generated query</w:t>
            </w:r>
          </w:p>
        </w:tc>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Approximate retrieval</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Exact, computed in Python</w:t>
            </w:r>
          </w:p>
        </w:tc>
      </w:tr>
      <w:tr>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Access control</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Expressed in prompt text</w:t>
            </w:r>
          </w:p>
        </w:tc>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Difficult to express per-user</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Enforced in code per function</w:t>
            </w:r>
          </w:p>
        </w:tc>
      </w:tr>
      <w:tr>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Auditability</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Queries vary per request</w:t>
            </w:r>
          </w:p>
        </w:tc>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Retrieval is opaque</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Finite, reviewable function set</w:t>
            </w:r>
          </w:p>
        </w:tc>
      </w:tr>
      <w:tr>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Failure mode</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Silently wrong query</w:t>
            </w:r>
          </w:p>
        </w:tc>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Plausible wrong context</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Explicit refusal or error</w:t>
            </w:r>
          </w:p>
        </w:tc>
      </w:tr>
      <w:tr>
        <w:tc>
          <w:tcPr>
            <w:tcW w:type="dxa" w:w="22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Added infrastructure</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w:t>
            </w:r>
          </w:p>
        </w:tc>
        <w:tc>
          <w:tcPr>
            <w:tcW w:type="dxa" w:w="230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Vector store and embeddings</w:t>
            </w:r>
          </w:p>
        </w:tc>
        <w:tc>
          <w:tcPr>
            <w:tcW w:type="dxa" w:w="2450"/>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w:t>
            </w:r>
          </w:p>
        </w:tc>
      </w:tr>
    </w:tbl>
    <w:p>
      <w:pPr>
        <w:spacing w:after="240" w:before="80"/>
        <w:jc w:val="center"/>
      </w:pPr>
      <w:r>
        <w:rPr>
          <w:rFonts w:ascii="Times New Roman" w:cs="Times New Roman" w:eastAsia="Times New Roman" w:hAnsi="Times New Roman"/>
          <w:i/>
          <w:iCs/>
          <w:sz w:val="20"/>
          <w:szCs w:val="20"/>
        </w:rPr>
        <w:t xml:space="preserve">Table 6.5: Comparison with alternative architectures</w:t>
      </w:r>
    </w:p>
    <w:p>
      <w:pPr>
        <w:spacing w:after="120" w:line="276"/>
        <w:jc w:val="both"/>
      </w:pPr>
      <w:r>
        <w:rPr>
          <w:rFonts w:ascii="Times New Roman" w:cs="Times New Roman" w:eastAsia="Times New Roman" w:hAnsi="Times New Roman"/>
          <w:sz w:val="24"/>
          <w:szCs w:val="24"/>
        </w:rPr>
        <w:t xml:space="preserve">No vector database, retrieval pipeline or agent framework was introduced. The data is relational, and the questions teachers ask have exact answers reachable by indexed queries. Adding retrieval infrastructure would have increased complexity and latency while reducing accuracy, and would have made per-teacher authorisation substantially harder to express.</w:t>
      </w:r>
    </w:p>
    <w:p>
      <w:pPr>
        <w:pStyle w:val="Heading1"/>
        <w:pageBreakBefore/>
        <w:spacing w:after="160" w:before="320"/>
      </w:pPr>
      <w:bookmarkStart w:name="_Toc27" w:id="27"/>
      <w:r>
        <w:rPr>
          <w:rFonts w:ascii="Times New Roman" w:cs="Times New Roman" w:eastAsia="Times New Roman" w:hAnsi="Times New Roman"/>
          <w:b/>
          <w:bCs/>
          <w:color w:val="1B2227"/>
          <w:sz w:val="30"/>
          <w:szCs w:val="30"/>
        </w:rPr>
        <w:t xml:space="preserve">7. Conclusion and Future Scope</w:t>
      </w:r>
      <w:bookmarkEnd w:id="27"/>
    </w:p>
    <w:p>
      <w:pPr>
        <w:pStyle w:val="Heading2"/>
        <w:spacing w:after="120" w:before="240"/>
      </w:pPr>
      <w:bookmarkStart w:name="_Toc28" w:id="28"/>
      <w:r>
        <w:rPr>
          <w:rFonts w:ascii="Times New Roman" w:cs="Times New Roman" w:eastAsia="Times New Roman" w:hAnsi="Times New Roman"/>
          <w:b/>
          <w:bCs/>
          <w:color w:val="1B2227"/>
          <w:sz w:val="26"/>
          <w:szCs w:val="26"/>
        </w:rPr>
        <w:t xml:space="preserve">7.1 Summary of Achievements</w:t>
      </w:r>
      <w:bookmarkEnd w:id="28"/>
    </w:p>
    <w:p>
      <w:pPr>
        <w:spacing w:after="120" w:line="276"/>
        <w:jc w:val="both"/>
      </w:pPr>
      <w:r>
        <w:rPr>
          <w:rFonts w:ascii="Times New Roman" w:cs="Times New Roman" w:eastAsia="Times New Roman" w:hAnsi="Times New Roman"/>
          <w:sz w:val="24"/>
          <w:szCs w:val="24"/>
        </w:rPr>
        <w:t xml:space="preserve">A complete teacher-facing student information assistant was designed, implemented, tested and deployed. The system demonstrates that a language model can provide a natural-language interface to institutional records without being trusted with either the calculations or the access control.</w:t>
      </w:r>
    </w:p>
    <w:p>
      <w:pPr>
        <w:pStyle w:val="ListParagraph"/>
        <w:numPr>
          <w:ilvl w:val="0"/>
          <w:numId w:val="2"/>
        </w:numPr>
        <w:spacing w:after="80" w:line="276"/>
      </w:pPr>
      <w:r>
        <w:rPr>
          <w:rFonts w:ascii="Times New Roman" w:cs="Times New Roman" w:eastAsia="Times New Roman" w:hAnsi="Times New Roman"/>
          <w:sz w:val="24"/>
          <w:szCs w:val="24"/>
        </w:rPr>
        <w:t xml:space="preserve">A reproducible synthetic dataset of 27,975 records whose regeneration is verified byte-for-byte in continuous integration.</w:t>
      </w:r>
    </w:p>
    <w:p>
      <w:pPr>
        <w:pStyle w:val="ListParagraph"/>
        <w:numPr>
          <w:ilvl w:val="0"/>
          <w:numId w:val="2"/>
        </w:numPr>
        <w:spacing w:after="80" w:line="276"/>
      </w:pPr>
      <w:r>
        <w:rPr>
          <w:rFonts w:ascii="Times New Roman" w:cs="Times New Roman" w:eastAsia="Times New Roman" w:hAnsi="Times New Roman"/>
          <w:sz w:val="24"/>
          <w:szCs w:val="24"/>
        </w:rPr>
        <w:t xml:space="preserve">Authorisation enforced in a single server-side module, re-checked inside every function the model can call.</w:t>
      </w:r>
    </w:p>
    <w:p>
      <w:pPr>
        <w:pStyle w:val="ListParagraph"/>
        <w:numPr>
          <w:ilvl w:val="0"/>
          <w:numId w:val="2"/>
        </w:numPr>
        <w:spacing w:after="80" w:line="276"/>
      </w:pPr>
      <w:r>
        <w:rPr>
          <w:rFonts w:ascii="Times New Roman" w:cs="Times New Roman" w:eastAsia="Times New Roman" w:hAnsi="Times New Roman"/>
          <w:sz w:val="24"/>
          <w:szCs w:val="24"/>
        </w:rPr>
        <w:t xml:space="preserve">Exact rational arithmetic in one shared location, so a student at the threshold is never misclassified.</w:t>
      </w:r>
    </w:p>
    <w:p>
      <w:pPr>
        <w:pStyle w:val="ListParagraph"/>
        <w:numPr>
          <w:ilvl w:val="0"/>
          <w:numId w:val="2"/>
        </w:numPr>
        <w:spacing w:after="80" w:line="276"/>
      </w:pPr>
      <w:r>
        <w:rPr>
          <w:rFonts w:ascii="Times New Roman" w:cs="Times New Roman" w:eastAsia="Times New Roman" w:hAnsi="Times New Roman"/>
          <w:sz w:val="24"/>
          <w:szCs w:val="24"/>
        </w:rPr>
        <w:t xml:space="preserve">Thirteen access-controlled functions with no SQL generation and no write capability.</w:t>
      </w:r>
    </w:p>
    <w:p>
      <w:pPr>
        <w:pStyle w:val="ListParagraph"/>
        <w:numPr>
          <w:ilvl w:val="0"/>
          <w:numId w:val="2"/>
        </w:numPr>
        <w:spacing w:after="80" w:line="276"/>
      </w:pPr>
      <w:r>
        <w:rPr>
          <w:rFonts w:ascii="Times New Roman" w:cs="Times New Roman" w:eastAsia="Times New Roman" w:hAnsi="Times New Roman"/>
          <w:sz w:val="24"/>
          <w:szCs w:val="24"/>
        </w:rPr>
        <w:t xml:space="preserve">Genuine progressive streaming across nine interchangeable model providers, with honest failure reporting.</w:t>
      </w:r>
    </w:p>
    <w:p>
      <w:pPr>
        <w:pStyle w:val="ListParagraph"/>
        <w:numPr>
          <w:ilvl w:val="0"/>
          <w:numId w:val="2"/>
        </w:numPr>
        <w:spacing w:after="80" w:line="276"/>
      </w:pPr>
      <w:r>
        <w:rPr>
          <w:rFonts w:ascii="Times New Roman" w:cs="Times New Roman" w:eastAsia="Times New Roman" w:hAnsi="Times New Roman"/>
          <w:sz w:val="24"/>
          <w:szCs w:val="24"/>
        </w:rPr>
        <w:t xml:space="preserve">208 automated tests covering data integrity, business logic, authorisation and AI behaviour.</w:t>
      </w:r>
    </w:p>
    <w:p>
      <w:pPr>
        <w:pStyle w:val="ListParagraph"/>
        <w:numPr>
          <w:ilvl w:val="0"/>
          <w:numId w:val="2"/>
        </w:numPr>
        <w:spacing w:after="80" w:line="276"/>
      </w:pPr>
      <w:r>
        <w:rPr>
          <w:rFonts w:ascii="Times New Roman" w:cs="Times New Roman" w:eastAsia="Times New Roman" w:hAnsi="Times New Roman"/>
          <w:sz w:val="24"/>
          <w:szCs w:val="24"/>
        </w:rPr>
        <w:t xml:space="preserve">A deployed system whose authorisation behaviour was verified by direct probing, not assumed.</w:t>
      </w:r>
    </w:p>
    <w:p>
      <w:pPr>
        <w:pStyle w:val="Heading2"/>
        <w:spacing w:after="120" w:before="240"/>
      </w:pPr>
      <w:bookmarkStart w:name="_Toc29" w:id="29"/>
      <w:r>
        <w:rPr>
          <w:rFonts w:ascii="Times New Roman" w:cs="Times New Roman" w:eastAsia="Times New Roman" w:hAnsi="Times New Roman"/>
          <w:b/>
          <w:bCs/>
          <w:color w:val="1B2227"/>
          <w:sz w:val="26"/>
          <w:szCs w:val="26"/>
        </w:rPr>
        <w:t xml:space="preserve">7.2 Limitations</w:t>
      </w:r>
      <w:bookmarkEnd w:id="29"/>
    </w:p>
    <w:p>
      <w:pPr>
        <w:spacing w:after="120" w:line="276"/>
        <w:jc w:val="both"/>
      </w:pPr>
      <w:r>
        <w:rPr>
          <w:rFonts w:ascii="Times New Roman" w:cs="Times New Roman" w:eastAsia="Times New Roman" w:hAnsi="Times New Roman"/>
          <w:sz w:val="24"/>
          <w:szCs w:val="24"/>
        </w:rPr>
        <w:t xml:space="preserve">The limitations below are stated plainly because a report claiming none would be less useful than one that identifies where the work stops.</w:t>
      </w:r>
    </w:p>
    <w:p>
      <w:pPr>
        <w:pStyle w:val="ListParagraph"/>
        <w:numPr>
          <w:ilvl w:val="0"/>
          <w:numId w:val="2"/>
        </w:numPr>
        <w:spacing w:after="80" w:line="276"/>
      </w:pPr>
      <w:r>
        <w:rPr>
          <w:rFonts w:ascii="Times New Roman" w:cs="Times New Roman" w:eastAsia="Times New Roman" w:hAnsi="Times New Roman"/>
          <w:sz w:val="24"/>
          <w:szCs w:val="24"/>
        </w:rPr>
        <w:t xml:space="preserve">Authentication is a demonstration selector. Choosing a name issues a session with no credential check. The authorisation model that follows is real, but the identity establishment is not.</w:t>
      </w:r>
    </w:p>
    <w:p>
      <w:pPr>
        <w:pStyle w:val="ListParagraph"/>
        <w:numPr>
          <w:ilvl w:val="0"/>
          <w:numId w:val="2"/>
        </w:numPr>
        <w:spacing w:after="80" w:line="276"/>
      </w:pPr>
      <w:r>
        <w:rPr>
          <w:rFonts w:ascii="Times New Roman" w:cs="Times New Roman" w:eastAsia="Times New Roman" w:hAnsi="Times New Roman"/>
          <w:sz w:val="24"/>
          <w:szCs w:val="24"/>
        </w:rPr>
        <w:t xml:space="preserve">Serverless deployment constrains streaming. The hosting platform imposes a sixty-second function limit, so a long response can be truncated. Container-based deployment configurations are included and remove this constraint without code changes.</w:t>
      </w:r>
    </w:p>
    <w:p>
      <w:pPr>
        <w:pStyle w:val="ListParagraph"/>
        <w:numPr>
          <w:ilvl w:val="0"/>
          <w:numId w:val="2"/>
        </w:numPr>
        <w:spacing w:after="80" w:line="276"/>
      </w:pPr>
      <w:r>
        <w:rPr>
          <w:rFonts w:ascii="Times New Roman" w:cs="Times New Roman" w:eastAsia="Times New Roman" w:hAnsi="Times New Roman"/>
          <w:sz w:val="24"/>
          <w:szCs w:val="24"/>
        </w:rPr>
        <w:t xml:space="preserve">Rate limiting is per-instance. Counters are held in process memory, so limits weaken across multiple instances. A shared store such as Redis would be required in production.</w:t>
      </w:r>
    </w:p>
    <w:p>
      <w:pPr>
        <w:pStyle w:val="ListParagraph"/>
        <w:numPr>
          <w:ilvl w:val="0"/>
          <w:numId w:val="2"/>
        </w:numPr>
        <w:spacing w:after="80" w:line="276"/>
      </w:pPr>
      <w:r>
        <w:rPr>
          <w:rFonts w:ascii="Times New Roman" w:cs="Times New Roman" w:eastAsia="Times New Roman" w:hAnsi="Times New Roman"/>
          <w:sz w:val="24"/>
          <w:szCs w:val="24"/>
        </w:rPr>
        <w:t xml:space="preserve">Provider integrations are verified against one provider. Streaming, function calling and error handling are tested comprehensively with mocks, and verified end to end against Google Gemini. The remaining eight providers are implemented but not confirmed against their live APIs.</w:t>
      </w:r>
    </w:p>
    <w:p>
      <w:pPr>
        <w:pStyle w:val="ListParagraph"/>
        <w:numPr>
          <w:ilvl w:val="0"/>
          <w:numId w:val="2"/>
        </w:numPr>
        <w:spacing w:after="80" w:line="276"/>
      </w:pPr>
      <w:r>
        <w:rPr>
          <w:rFonts w:ascii="Times New Roman" w:cs="Times New Roman" w:eastAsia="Times New Roman" w:hAnsi="Times New Roman"/>
          <w:sz w:val="24"/>
          <w:szCs w:val="24"/>
        </w:rPr>
        <w:t xml:space="preserve">No audit trail exists. Access to records is not logged, which would be mandatory before any deployment involving real student information.</w:t>
      </w:r>
    </w:p>
    <w:p>
      <w:pPr>
        <w:pStyle w:val="Heading2"/>
        <w:spacing w:after="120" w:before="240"/>
      </w:pPr>
      <w:bookmarkStart w:name="_Toc30" w:id="30"/>
      <w:r>
        <w:rPr>
          <w:rFonts w:ascii="Times New Roman" w:cs="Times New Roman" w:eastAsia="Times New Roman" w:hAnsi="Times New Roman"/>
          <w:b/>
          <w:bCs/>
          <w:color w:val="1B2227"/>
          <w:sz w:val="26"/>
          <w:szCs w:val="26"/>
        </w:rPr>
        <w:t xml:space="preserve">7.3 Future Scope</w:t>
      </w:r>
      <w:bookmarkEnd w:id="30"/>
    </w:p>
    <w:p>
      <w:pPr>
        <w:pStyle w:val="ListParagraph"/>
        <w:numPr>
          <w:ilvl w:val="0"/>
          <w:numId w:val="2"/>
        </w:numPr>
        <w:spacing w:after="80" w:line="276"/>
      </w:pPr>
      <w:r>
        <w:rPr>
          <w:rFonts w:ascii="Times New Roman" w:cs="Times New Roman" w:eastAsia="Times New Roman" w:hAnsi="Times New Roman"/>
          <w:sz w:val="24"/>
          <w:szCs w:val="24"/>
        </w:rPr>
        <w:t xml:space="preserve">Replace the demonstration sign-in with institutional single sign-on and multi-factor authentication.</w:t>
      </w:r>
    </w:p>
    <w:p>
      <w:pPr>
        <w:pStyle w:val="ListParagraph"/>
        <w:numPr>
          <w:ilvl w:val="0"/>
          <w:numId w:val="2"/>
        </w:numPr>
        <w:spacing w:after="80" w:line="276"/>
      </w:pPr>
      <w:r>
        <w:rPr>
          <w:rFonts w:ascii="Times New Roman" w:cs="Times New Roman" w:eastAsia="Times New Roman" w:hAnsi="Times New Roman"/>
          <w:sz w:val="24"/>
          <w:szCs w:val="24"/>
        </w:rPr>
        <w:t xml:space="preserve">Add an append-only audit log recording who accessed which record and when.</w:t>
      </w:r>
    </w:p>
    <w:p>
      <w:pPr>
        <w:pStyle w:val="ListParagraph"/>
        <w:numPr>
          <w:ilvl w:val="0"/>
          <w:numId w:val="2"/>
        </w:numPr>
        <w:spacing w:after="80" w:line="276"/>
      </w:pPr>
      <w:r>
        <w:rPr>
          <w:rFonts w:ascii="Times New Roman" w:cs="Times New Roman" w:eastAsia="Times New Roman" w:hAnsi="Times New Roman"/>
          <w:sz w:val="24"/>
          <w:szCs w:val="24"/>
        </w:rPr>
        <w:t xml:space="preserve">Introduce historical snapshots so period-over-period comparisons become answerable rather than correctly refused.</w:t>
      </w:r>
    </w:p>
    <w:p>
      <w:pPr>
        <w:pStyle w:val="ListParagraph"/>
        <w:numPr>
          <w:ilvl w:val="0"/>
          <w:numId w:val="2"/>
        </w:numPr>
        <w:spacing w:after="80" w:line="276"/>
      </w:pPr>
      <w:r>
        <w:rPr>
          <w:rFonts w:ascii="Times New Roman" w:cs="Times New Roman" w:eastAsia="Times New Roman" w:hAnsi="Times New Roman"/>
          <w:sz w:val="24"/>
          <w:szCs w:val="24"/>
        </w:rPr>
        <w:t xml:space="preserve">Extend the role model to heads of department, mentors and examination staff with distinct scopes.</w:t>
      </w:r>
    </w:p>
    <w:p>
      <w:pPr>
        <w:pStyle w:val="ListParagraph"/>
        <w:numPr>
          <w:ilvl w:val="0"/>
          <w:numId w:val="2"/>
        </w:numPr>
        <w:spacing w:after="80" w:line="276"/>
      </w:pPr>
      <w:r>
        <w:rPr>
          <w:rFonts w:ascii="Times New Roman" w:cs="Times New Roman" w:eastAsia="Times New Roman" w:hAnsi="Times New Roman"/>
          <w:sz w:val="24"/>
          <w:szCs w:val="24"/>
        </w:rPr>
        <w:t xml:space="preserve">Add scheduled report generation and configurable alerts when a student crosses a threshold.</w:t>
      </w:r>
    </w:p>
    <w:p>
      <w:pPr>
        <w:pStyle w:val="ListParagraph"/>
        <w:numPr>
          <w:ilvl w:val="0"/>
          <w:numId w:val="2"/>
        </w:numPr>
        <w:spacing w:after="80" w:line="276"/>
      </w:pPr>
      <w:r>
        <w:rPr>
          <w:rFonts w:ascii="Times New Roman" w:cs="Times New Roman" w:eastAsia="Times New Roman" w:hAnsi="Times New Roman"/>
          <w:sz w:val="24"/>
          <w:szCs w:val="24"/>
        </w:rPr>
        <w:t xml:space="preserve">Evaluate locally hosted models so that student data need not leave institutional infrastructure.</w:t>
      </w:r>
    </w:p>
    <w:p>
      <w:pPr>
        <w:pStyle w:val="ListParagraph"/>
        <w:numPr>
          <w:ilvl w:val="0"/>
          <w:numId w:val="2"/>
        </w:numPr>
        <w:spacing w:after="80" w:line="276"/>
      </w:pPr>
      <w:r>
        <w:rPr>
          <w:rFonts w:ascii="Times New Roman" w:cs="Times New Roman" w:eastAsia="Times New Roman" w:hAnsi="Times New Roman"/>
          <w:sz w:val="24"/>
          <w:szCs w:val="24"/>
        </w:rPr>
        <w:t xml:space="preserve">Conduct accessibility auditing against WCAG 2.1 AA and a formal security review.</w:t>
      </w:r>
    </w:p>
    <w:p>
      <w:pPr>
        <w:pStyle w:val="Heading2"/>
        <w:spacing w:after="120" w:before="240"/>
      </w:pPr>
      <w:bookmarkStart w:name="_Toc31" w:id="31"/>
      <w:r>
        <w:rPr>
          <w:rFonts w:ascii="Times New Roman" w:cs="Times New Roman" w:eastAsia="Times New Roman" w:hAnsi="Times New Roman"/>
          <w:b/>
          <w:bCs/>
          <w:color w:val="1B2227"/>
          <w:sz w:val="26"/>
          <w:szCs w:val="26"/>
        </w:rPr>
        <w:t xml:space="preserve">7.4 Reflection</w:t>
      </w:r>
      <w:bookmarkEnd w:id="31"/>
    </w:p>
    <w:p>
      <w:pPr>
        <w:spacing w:after="120" w:line="276"/>
        <w:jc w:val="both"/>
      </w:pPr>
      <w:r>
        <w:rPr>
          <w:rFonts w:ascii="Times New Roman" w:cs="Times New Roman" w:eastAsia="Times New Roman" w:hAnsi="Times New Roman"/>
          <w:sz w:val="24"/>
          <w:szCs w:val="24"/>
        </w:rPr>
        <w:t xml:space="preserve">The most instructive outcome of this project was not a feature but a defect. The assistant confidently reported fifteen students where the true figure was 154, and the fault lay in a function that returned a sample without stating the population. It was corrected by changing what the model was given, not by instructing it more firmly. The general lesson is that when a language model is placed over structured data, correctness is a property of the interface the model is handed, and safety is a property of the code that executes beneath it. Neither can be delegated to the prompt.</w:t>
      </w:r>
    </w:p>
    <w:p>
      <w:pPr>
        <w:pStyle w:val="Heading1"/>
        <w:pageBreakBefore/>
        <w:spacing w:after="160" w:before="320"/>
      </w:pPr>
      <w:bookmarkStart w:name="_Toc32" w:id="32"/>
      <w:r>
        <w:rPr>
          <w:rFonts w:ascii="Times New Roman" w:cs="Times New Roman" w:eastAsia="Times New Roman" w:hAnsi="Times New Roman"/>
          <w:b/>
          <w:bCs/>
          <w:color w:val="1B2227"/>
          <w:sz w:val="30"/>
          <w:szCs w:val="30"/>
        </w:rPr>
        <w:t xml:space="preserve">8. References</w:t>
      </w:r>
      <w:bookmarkEnd w:id="32"/>
    </w:p>
    <w:p>
      <w:pPr>
        <w:spacing w:after="140" w:line="276"/>
        <w:ind w:left="420" w:hanging="4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FastAPI Documentation. </w:t>
      </w:r>
      <w:r>
        <w:rPr>
          <w:rFonts w:ascii="Times New Roman" w:cs="Times New Roman" w:eastAsia="Times New Roman" w:hAnsi="Times New Roman"/>
          <w:i/>
          <w:iCs/>
          <w:sz w:val="22"/>
          <w:szCs w:val="22"/>
        </w:rPr>
        <w:t xml:space="preserve">Sebastián Ramírez. https://fastapi.tiangolo.com/</w:t>
      </w:r>
    </w:p>
    <w:p>
      <w:pPr>
        <w:spacing w:after="140" w:line="276"/>
        <w:ind w:left="420" w:hanging="4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Next.js Documentation (App Router). </w:t>
      </w:r>
      <w:r>
        <w:rPr>
          <w:rFonts w:ascii="Times New Roman" w:cs="Times New Roman" w:eastAsia="Times New Roman" w:hAnsi="Times New Roman"/>
          <w:i/>
          <w:iCs/>
          <w:sz w:val="22"/>
          <w:szCs w:val="22"/>
        </w:rPr>
        <w:t xml:space="preserve">Vercel. https://nextjs.org/docs</w:t>
      </w:r>
    </w:p>
    <w:p>
      <w:pPr>
        <w:spacing w:after="140" w:line="276"/>
        <w:ind w:left="420" w:hanging="4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LangChain Documentation. </w:t>
      </w:r>
      <w:r>
        <w:rPr>
          <w:rFonts w:ascii="Times New Roman" w:cs="Times New Roman" w:eastAsia="Times New Roman" w:hAnsi="Times New Roman"/>
          <w:i/>
          <w:iCs/>
          <w:sz w:val="22"/>
          <w:szCs w:val="22"/>
        </w:rPr>
        <w:t xml:space="preserve">LangChain Inc. https://python.langchain.com/docs/</w:t>
      </w:r>
    </w:p>
    <w:p>
      <w:pPr>
        <w:spacing w:after="140" w:line="276"/>
        <w:ind w:left="420" w:hanging="4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SQLAlchemy 2.0 Documentation. </w:t>
      </w:r>
      <w:r>
        <w:rPr>
          <w:rFonts w:ascii="Times New Roman" w:cs="Times New Roman" w:eastAsia="Times New Roman" w:hAnsi="Times New Roman"/>
          <w:i/>
          <w:iCs/>
          <w:sz w:val="22"/>
          <w:szCs w:val="22"/>
        </w:rPr>
        <w:t xml:space="preserve">SQLAlchemy Project. https://docs.sqlalchemy.org/</w:t>
      </w:r>
    </w:p>
    <w:p>
      <w:pPr>
        <w:spacing w:after="140" w:line="276"/>
        <w:ind w:left="420" w:hanging="4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Pydantic Documentation. </w:t>
      </w:r>
      <w:r>
        <w:rPr>
          <w:rFonts w:ascii="Times New Roman" w:cs="Times New Roman" w:eastAsia="Times New Roman" w:hAnsi="Times New Roman"/>
          <w:i/>
          <w:iCs/>
          <w:sz w:val="22"/>
          <w:szCs w:val="22"/>
        </w:rPr>
        <w:t xml:space="preserve">Pydantic Services. https://docs.pydantic.dev/</w:t>
      </w:r>
    </w:p>
    <w:p>
      <w:pPr>
        <w:spacing w:after="140" w:line="276"/>
        <w:ind w:left="420" w:hanging="4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PostgreSQL 18 Documentation. </w:t>
      </w:r>
      <w:r>
        <w:rPr>
          <w:rFonts w:ascii="Times New Roman" w:cs="Times New Roman" w:eastAsia="Times New Roman" w:hAnsi="Times New Roman"/>
          <w:i/>
          <w:iCs/>
          <w:sz w:val="22"/>
          <w:szCs w:val="22"/>
        </w:rPr>
        <w:t xml:space="preserve">PostgreSQL Global Development Group. https://www.postgresql.org/docs/</w:t>
      </w:r>
    </w:p>
    <w:p>
      <w:pPr>
        <w:spacing w:after="140" w:line="276"/>
        <w:ind w:left="420" w:hanging="4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Gemini API Documentation. </w:t>
      </w:r>
      <w:r>
        <w:rPr>
          <w:rFonts w:ascii="Times New Roman" w:cs="Times New Roman" w:eastAsia="Times New Roman" w:hAnsi="Times New Roman"/>
          <w:i/>
          <w:iCs/>
          <w:sz w:val="22"/>
          <w:szCs w:val="22"/>
        </w:rPr>
        <w:t xml:space="preserve">Google. https://ai.google.dev/gemini-api/docs</w:t>
      </w:r>
    </w:p>
    <w:p>
      <w:pPr>
        <w:spacing w:after="140" w:line="276"/>
        <w:ind w:left="420" w:hanging="4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Server-Sent Events, HTML Living Standard. </w:t>
      </w:r>
      <w:r>
        <w:rPr>
          <w:rFonts w:ascii="Times New Roman" w:cs="Times New Roman" w:eastAsia="Times New Roman" w:hAnsi="Times New Roman"/>
          <w:i/>
          <w:iCs/>
          <w:sz w:val="22"/>
          <w:szCs w:val="22"/>
        </w:rPr>
        <w:t xml:space="preserve">WHATWG. https://html.spec.whatwg.org/multipage/server-sent-events.html</w:t>
      </w:r>
    </w:p>
    <w:p>
      <w:pPr>
        <w:spacing w:after="140" w:line="276"/>
        <w:ind w:left="420" w:hanging="4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RFC 2606: Reserved Top Level DNS Names. </w:t>
      </w:r>
      <w:r>
        <w:rPr>
          <w:rFonts w:ascii="Times New Roman" w:cs="Times New Roman" w:eastAsia="Times New Roman" w:hAnsi="Times New Roman"/>
          <w:i/>
          <w:iCs/>
          <w:sz w:val="22"/>
          <w:szCs w:val="22"/>
        </w:rPr>
        <w:t xml:space="preserve">D. Eastlake and A. Panitz, IETF, 1999. https://www.rfc-editor.org/rfc/rfc2606</w:t>
      </w:r>
    </w:p>
    <w:p>
      <w:pPr>
        <w:spacing w:after="140" w:line="276"/>
        <w:ind w:left="420" w:hanging="4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OWASP Top 10 for Large Language Model Applications. </w:t>
      </w:r>
      <w:r>
        <w:rPr>
          <w:rFonts w:ascii="Times New Roman" w:cs="Times New Roman" w:eastAsia="Times New Roman" w:hAnsi="Times New Roman"/>
          <w:i/>
          <w:iCs/>
          <w:sz w:val="22"/>
          <w:szCs w:val="22"/>
        </w:rPr>
        <w:t xml:space="preserve">OWASP Foundation. https://owasp.org/www-project-top-10-for-large-language-model-applications/</w:t>
      </w:r>
    </w:p>
    <w:p>
      <w:pPr>
        <w:spacing w:after="140" w:line="276"/>
        <w:ind w:left="420" w:hanging="4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Rajpurkar, P. et al., “Know What You Don’t Know: Unanswerable Questions for SQuAD”. </w:t>
      </w:r>
      <w:r>
        <w:rPr>
          <w:rFonts w:ascii="Times New Roman" w:cs="Times New Roman" w:eastAsia="Times New Roman" w:hAnsi="Times New Roman"/>
          <w:i/>
          <w:iCs/>
          <w:sz w:val="22"/>
          <w:szCs w:val="22"/>
        </w:rPr>
        <w:t xml:space="preserve">Proceedings of ACL, 2018.</w:t>
      </w:r>
    </w:p>
    <w:p>
      <w:pPr>
        <w:spacing w:after="140" w:line="276"/>
        <w:ind w:left="420" w:hanging="4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Ji, Z. et al., “Survey of Hallucination in Natural Language Generation”. </w:t>
      </w:r>
      <w:r>
        <w:rPr>
          <w:rFonts w:ascii="Times New Roman" w:cs="Times New Roman" w:eastAsia="Times New Roman" w:hAnsi="Times New Roman"/>
          <w:i/>
          <w:iCs/>
          <w:sz w:val="22"/>
          <w:szCs w:val="22"/>
        </w:rPr>
        <w:t xml:space="preserve">ACM Computing Surveys, vol. 55, no. 12, 2023.</w:t>
      </w:r>
    </w:p>
    <w:p>
      <w:pPr>
        <w:spacing w:after="140" w:line="276"/>
        <w:ind w:left="420" w:hanging="4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Recharts Documentation. </w:t>
      </w:r>
      <w:r>
        <w:rPr>
          <w:rFonts w:ascii="Times New Roman" w:cs="Times New Roman" w:eastAsia="Times New Roman" w:hAnsi="Times New Roman"/>
          <w:i/>
          <w:iCs/>
          <w:sz w:val="22"/>
          <w:szCs w:val="22"/>
        </w:rPr>
        <w:t xml:space="preserve">Recharts Group. https://recharts.org/</w:t>
      </w:r>
    </w:p>
    <w:p>
      <w:pPr>
        <w:spacing w:after="140" w:line="276"/>
        <w:ind w:left="420" w:hanging="4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Tailwind CSS Documentation. </w:t>
      </w:r>
      <w:r>
        <w:rPr>
          <w:rFonts w:ascii="Times New Roman" w:cs="Times New Roman" w:eastAsia="Times New Roman" w:hAnsi="Times New Roman"/>
          <w:i/>
          <w:iCs/>
          <w:sz w:val="22"/>
          <w:szCs w:val="22"/>
        </w:rPr>
        <w:t xml:space="preserve">Tailwind Labs. https://tailwindcss.com/docs</w:t>
      </w:r>
    </w:p>
    <w:p>
      <w:pPr>
        <w:spacing w:after="240"/>
      </w:pPr>
      <w:r>
        <w:rPr>
          <w:rFonts w:ascii="Times New Roman" w:cs="Times New Roman" w:eastAsia="Times New Roman" w:hAnsi="Times New Roman"/>
        </w:rPr>
        <w:t xml:space="preserve"/>
      </w:r>
    </w:p>
    <w:p>
      <w:pPr>
        <w:pStyle w:val="Heading2"/>
        <w:spacing w:after="120" w:before="240"/>
      </w:pPr>
      <w:bookmarkStart w:name="_Toc33" w:id="33"/>
      <w:r>
        <w:rPr>
          <w:rFonts w:ascii="Times New Roman" w:cs="Times New Roman" w:eastAsia="Times New Roman" w:hAnsi="Times New Roman"/>
          <w:b/>
          <w:bCs/>
          <w:color w:val="1B2227"/>
          <w:sz w:val="26"/>
          <w:szCs w:val="26"/>
        </w:rPr>
        <w:t xml:space="preserve">Project Repository and Live Deployment</w:t>
      </w:r>
      <w:bookmarkEnd w:id="33"/>
    </w:p>
    <w:p>
      <w:pPr>
        <w:spacing w:after="120" w:line="276"/>
      </w:pPr>
      <w:r>
        <w:rPr>
          <w:rFonts w:ascii="Times New Roman" w:cs="Times New Roman" w:eastAsia="Times New Roman" w:hAnsi="Times New Roman"/>
          <w:sz w:val="22"/>
          <w:szCs w:val="22"/>
        </w:rPr>
        <w:t xml:space="preserve">Source code: https://github.com/prasadbhalerao1/Student-Enquiry-Chatbot</w:t>
      </w:r>
    </w:p>
    <w:p>
      <w:pPr>
        <w:spacing w:after="120" w:line="276"/>
      </w:pPr>
      <w:r>
        <w:rPr>
          <w:rFonts w:ascii="Times New Roman" w:cs="Times New Roman" w:eastAsia="Times New Roman" w:hAnsi="Times New Roman"/>
          <w:sz w:val="22"/>
          <w:szCs w:val="22"/>
        </w:rPr>
        <w:t xml:space="preserve">Live application: https://frontend-kappa-puce-90.vercel.app</w:t>
      </w:r>
    </w:p>
    <w:p>
      <w:pPr>
        <w:spacing w:after="120" w:line="276"/>
      </w:pPr>
      <w:r>
        <w:rPr>
          <w:rFonts w:ascii="Times New Roman" w:cs="Times New Roman" w:eastAsia="Times New Roman" w:hAnsi="Times New Roman"/>
          <w:sz w:val="22"/>
          <w:szCs w:val="22"/>
        </w:rPr>
        <w:t xml:space="preserve">API documentation: https://csbs-faculty-api.vercel.app/docs</w:t>
      </w:r>
    </w:p>
    <w:p>
      <w:pPr>
        <w:spacing w:after="200"/>
      </w:pPr>
      <w:r>
        <w:rPr>
          <w:rFonts w:ascii="Times New Roman" w:cs="Times New Roman" w:eastAsia="Times New Roman" w:hAnsi="Times New Roman"/>
        </w:rPr>
        <w:t xml:space="preserve"/>
      </w:r>
    </w:p>
    <w:p>
      <w:pPr>
        <w:pBdr>
          <w:top w:val="single" w:color="C7D0D7" w:sz="6" w:space="8"/>
        </w:pBdr>
        <w:spacing w:after="80" w:before="200"/>
      </w:pPr>
      <w:r>
        <w:rPr>
          <w:rFonts w:ascii="Times New Roman" w:cs="Times New Roman" w:eastAsia="Times New Roman" w:hAnsi="Times New Roman"/>
          <w:i/>
          <w:iCs/>
          <w:sz w:val="20"/>
          <w:szCs w:val="20"/>
        </w:rPr>
        <w:t xml:space="preserve">All student records referenced in this report are synthetic demonstration data generated for this project. They describe no real individual and are not institutional records.</w:t>
      </w:r>
    </w:p>
    <w:sectPr>
      <w:footerReference w:type="default" r:id="rId6"/>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06b2bc869a2df3e238019962cbcaef55ae56ece.png"/><Relationship Id="rId9" Type="http://schemas.openxmlformats.org/officeDocument/2006/relationships/image" Target="media/ff504fade0dcdccd10ce0a5a2074a5015d982b9c.png"/><Relationship Id="rId10" Type="http://schemas.openxmlformats.org/officeDocument/2006/relationships/image" Target="media/62e2911fd42529cce9ea986e9bb6651648c855b6.png"/><Relationship Id="rId11" Type="http://schemas.openxmlformats.org/officeDocument/2006/relationships/image" Target="media/595cf0f877f9286aeeaf273efda78d1e6ca438b7.png"/><Relationship Id="rId12" Type="http://schemas.openxmlformats.org/officeDocument/2006/relationships/image" Target="media/69bc45f724ad96dfea4e06beba2d120a387d026d.png"/><Relationship Id="rId13" Type="http://schemas.openxmlformats.org/officeDocument/2006/relationships/image" Target="media/1cf01d2888926a7e7648af4438cf38307a48c2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Teacher-Facing Student Information Assistant</dc:title>
  <dc:creator>Prasad Bhalerao</dc:creator>
  <dc:description>Mini Project Report - Artificial Intelligence</dc:description>
  <cp:lastModifiedBy>Un-named</cp:lastModifiedBy>
  <cp:revision>1</cp:revision>
  <dcterms:created xsi:type="dcterms:W3CDTF">2026-10-18T17:44:36.896Z</dcterms:created>
  <dcterms:modified xsi:type="dcterms:W3CDTF">2026-10-18T17:44:36.897Z</dcterms:modified>
</cp:coreProperties>
</file>

<file path=docProps/custom.xml><?xml version="1.0" encoding="utf-8"?>
<Properties xmlns="http://schemas.openxmlformats.org/officeDocument/2006/custom-properties" xmlns:vt="http://schemas.openxmlformats.org/officeDocument/2006/docPropsVTypes"/>
</file>