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365D"/>
          <w:sz w:val="62"/>
        </w:rPr>
        <w:t>AUTOHEAL AI</w:t>
      </w:r>
    </w:p>
    <w:p>
      <w:pPr>
        <w:jc w:val="center"/>
      </w:pPr>
      <w:r>
        <w:rPr>
          <w:b/>
          <w:color w:val="1F4E79"/>
          <w:sz w:val="40"/>
        </w:rPr>
        <w:t>AI Model Placement, Dataset Selection,</w:t>
        <w:br/>
        <w:t>Training Process and Validation Blueprint</w:t>
      </w:r>
    </w:p>
    <w:p>
      <w:pPr>
        <w:spacing w:before="320"/>
        <w:jc w:val="center"/>
      </w:pPr>
      <w:r>
        <w:rPr>
          <w:i/>
          <w:sz w:val="24"/>
        </w:rPr>
        <w:t>For the project: Autonomous Web Application Recovery System Using AI-Based Fault Diagnosis</w:t>
      </w:r>
    </w:p>
    <w:p>
      <w:pPr>
        <w:spacing w:before="500"/>
        <w:jc w:val="center"/>
      </w:pPr>
      <w:r>
        <w:rPr>
          <w:b/>
        </w:rPr>
        <w:t>Implementation-aligned technical plan</w:t>
        <w:br/>
      </w:r>
      <w:r>
        <w:t>Stack: React • Node.js • Spring Boot • Python • PostgreSQL • Prometheus • OpenTelemetry • Grafana • Docker / Kubernetes</w:t>
        <w:br/>
      </w:r>
      <w:r>
        <w:t>Prepared: 15 October 2026</w:t>
      </w:r>
    </w:p>
    <w:p>
      <w:pPr>
        <w:spacing w:before="700"/>
        <w:jc w:val="center"/>
      </w:pPr>
      <w:r>
        <w:rPr>
          <w:b/>
        </w:rPr>
        <w:t>Core design principle: use AI to detect and rank; use a separate deterministic, audited controller to act.</w:t>
      </w:r>
    </w:p>
    <w:p>
      <w:r>
        <w:br w:type="page"/>
      </w:r>
    </w:p>
    <w:p>
      <w:pPr>
        <w:pStyle w:val="Heading1"/>
      </w:pPr>
      <w:r>
        <w:t>How to use this document</w:t>
      </w:r>
    </w:p>
    <w:p>
      <w:r>
        <w:t>This is the model-and-data implementation specification for AutoHeal AI. It complements the main phase-wise development handbook and system-architecture document. Follow the order below; do not train every algorithm at once.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17365D"/>
            <w:tcMar>
              <w:top w:w="85" w:type="dxa"/>
              <w:start w:w="90" w:type="dxa"/>
              <w:bottom w:w="85" w:type="dxa"/>
              <w:end w:w="90" w:type="dxa"/>
            </w:tcMar>
            <w:vAlign w:val="center"/>
          </w:tcPr>
          <w:p>
            <w:pPr>
              <w:spacing w:after="0"/>
            </w:pPr>
            <w:r>
              <w:rPr>
                <w:b/>
                <w:color w:val="FFFFFF"/>
                <w:sz w:val="16"/>
              </w:rPr>
              <w:t>Priority</w:t>
            </w:r>
          </w:p>
        </w:tc>
        <w:tc>
          <w:tcPr>
            <w:tcW w:type="dxa" w:w="3528"/>
            <w:shd w:fill="17365D"/>
            <w:tcMar>
              <w:top w:w="85" w:type="dxa"/>
              <w:start w:w="90" w:type="dxa"/>
              <w:bottom w:w="85" w:type="dxa"/>
              <w:end w:w="90" w:type="dxa"/>
            </w:tcMar>
            <w:vAlign w:val="center"/>
          </w:tcPr>
          <w:p>
            <w:pPr>
              <w:spacing w:after="0"/>
            </w:pPr>
            <w:r>
              <w:rPr>
                <w:b/>
                <w:color w:val="FFFFFF"/>
                <w:sz w:val="16"/>
              </w:rPr>
              <w:t>What to build/use</w:t>
            </w:r>
          </w:p>
        </w:tc>
        <w:tc>
          <w:tcPr>
            <w:tcW w:type="dxa" w:w="5112"/>
            <w:shd w:fill="17365D"/>
            <w:tcMar>
              <w:top w:w="85" w:type="dxa"/>
              <w:start w:w="90" w:type="dxa"/>
              <w:bottom w:w="85" w:type="dxa"/>
              <w:end w:w="90" w:type="dxa"/>
            </w:tcMar>
            <w:vAlign w:val="center"/>
          </w:tcPr>
          <w:p>
            <w:pPr>
              <w:spacing w:after="0"/>
            </w:pPr>
            <w:r>
              <w:rPr>
                <w:b/>
                <w:color w:val="FFFFFF"/>
                <w:sz w:val="16"/>
              </w:rPr>
              <w:t>Why it is in scope</w:t>
            </w:r>
          </w:p>
        </w:tc>
      </w:tr>
      <w:tr>
        <w:tc>
          <w:tcPr>
            <w:tcW w:type="dxa" w:w="1800"/>
            <w:tcMar>
              <w:top w:w="85" w:type="dxa"/>
              <w:start w:w="90" w:type="dxa"/>
              <w:bottom w:w="85" w:type="dxa"/>
              <w:end w:w="90" w:type="dxa"/>
            </w:tcMar>
            <w:vAlign w:val="top"/>
          </w:tcPr>
          <w:p>
            <w:pPr>
              <w:spacing w:after="20" w:line="240" w:lineRule="auto"/>
            </w:pPr>
            <w:r>
              <w:rPr>
                <w:sz w:val="16"/>
              </w:rPr>
              <w:t>Required model 1</w:t>
            </w:r>
          </w:p>
        </w:tc>
        <w:tc>
          <w:tcPr>
            <w:tcW w:type="dxa" w:w="3528"/>
            <w:tcMar>
              <w:top w:w="85" w:type="dxa"/>
              <w:start w:w="90" w:type="dxa"/>
              <w:bottom w:w="85" w:type="dxa"/>
              <w:end w:w="90" w:type="dxa"/>
            </w:tcMar>
            <w:vAlign w:val="top"/>
          </w:tcPr>
          <w:p>
            <w:pPr>
              <w:spacing w:after="20" w:line="240" w:lineRule="auto"/>
            </w:pPr>
            <w:r>
              <w:rPr>
                <w:sz w:val="16"/>
              </w:rPr>
              <w:t>Isolation Forest anomaly detector, trained on normal windows only</w:t>
            </w:r>
          </w:p>
        </w:tc>
        <w:tc>
          <w:tcPr>
            <w:tcW w:type="dxa" w:w="5112"/>
            <w:tcMar>
              <w:top w:w="85" w:type="dxa"/>
              <w:start w:w="90" w:type="dxa"/>
              <w:bottom w:w="85" w:type="dxa"/>
              <w:end w:w="90" w:type="dxa"/>
            </w:tcMar>
            <w:vAlign w:val="top"/>
          </w:tcPr>
          <w:p>
            <w:pPr>
              <w:spacing w:after="20" w:line="240" w:lineRule="auto"/>
            </w:pPr>
            <w:r>
              <w:rPr>
                <w:sz w:val="16"/>
              </w:rPr>
              <w:t>Flags behaviour unlike known-normal telemetry; useful for novel anomalies. Keep a threshold/rule baseline.</w:t>
            </w:r>
          </w:p>
        </w:tc>
      </w:tr>
      <w:tr>
        <w:tc>
          <w:tcPr>
            <w:tcW w:type="dxa" w:w="1800"/>
            <w:tcMar>
              <w:top w:w="85" w:type="dxa"/>
              <w:start w:w="90" w:type="dxa"/>
              <w:bottom w:w="85" w:type="dxa"/>
              <w:end w:w="90" w:type="dxa"/>
            </w:tcMar>
            <w:vAlign w:val="top"/>
            <w:shd w:fill="F3F6FA"/>
          </w:tcPr>
          <w:p>
            <w:pPr>
              <w:spacing w:after="20" w:line="240" w:lineRule="auto"/>
            </w:pPr>
            <w:r>
              <w:rPr>
                <w:sz w:val="16"/>
              </w:rPr>
              <w:t>Required model 2</w:t>
            </w:r>
          </w:p>
        </w:tc>
        <w:tc>
          <w:tcPr>
            <w:tcW w:type="dxa" w:w="3528"/>
            <w:tcMar>
              <w:top w:w="85" w:type="dxa"/>
              <w:start w:w="90" w:type="dxa"/>
              <w:bottom w:w="85" w:type="dxa"/>
              <w:end w:w="90" w:type="dxa"/>
            </w:tcMar>
            <w:vAlign w:val="top"/>
            <w:shd w:fill="F3F6FA"/>
          </w:tcPr>
          <w:p>
            <w:pPr>
              <w:spacing w:after="20" w:line="240" w:lineRule="auto"/>
            </w:pPr>
            <w:r>
              <w:rPr>
                <w:sz w:val="16"/>
              </w:rPr>
              <w:t>XGBoost multiclass fault-family classifier</w:t>
            </w:r>
          </w:p>
        </w:tc>
        <w:tc>
          <w:tcPr>
            <w:tcW w:type="dxa" w:w="5112"/>
            <w:tcMar>
              <w:top w:w="85" w:type="dxa"/>
              <w:start w:w="90" w:type="dxa"/>
              <w:bottom w:w="85" w:type="dxa"/>
              <w:end w:w="90" w:type="dxa"/>
            </w:tcMar>
            <w:vAlign w:val="top"/>
            <w:shd w:fill="F3F6FA"/>
          </w:tcPr>
          <w:p>
            <w:pPr>
              <w:spacing w:after="20" w:line="240" w:lineRule="auto"/>
            </w:pPr>
            <w:r>
              <w:rPr>
                <w:sz w:val="16"/>
              </w:rPr>
              <w:t>Predicts one of the known fault families from features at diagnosis time.</w:t>
            </w:r>
          </w:p>
        </w:tc>
      </w:tr>
      <w:tr>
        <w:tc>
          <w:tcPr>
            <w:tcW w:type="dxa" w:w="1800"/>
            <w:tcMar>
              <w:top w:w="85" w:type="dxa"/>
              <w:start w:w="90" w:type="dxa"/>
              <w:bottom w:w="85" w:type="dxa"/>
              <w:end w:w="90" w:type="dxa"/>
            </w:tcMar>
            <w:vAlign w:val="top"/>
          </w:tcPr>
          <w:p>
            <w:pPr>
              <w:spacing w:after="20" w:line="240" w:lineRule="auto"/>
            </w:pPr>
            <w:r>
              <w:rPr>
                <w:sz w:val="16"/>
              </w:rPr>
              <w:t>Required model 3</w:t>
            </w:r>
          </w:p>
        </w:tc>
        <w:tc>
          <w:tcPr>
            <w:tcW w:type="dxa" w:w="3528"/>
            <w:tcMar>
              <w:top w:w="85" w:type="dxa"/>
              <w:start w:w="90" w:type="dxa"/>
              <w:bottom w:w="85" w:type="dxa"/>
              <w:end w:w="90" w:type="dxa"/>
            </w:tcMar>
            <w:vAlign w:val="top"/>
          </w:tcPr>
          <w:p>
            <w:pPr>
              <w:spacing w:after="20" w:line="240" w:lineRule="auto"/>
            </w:pPr>
            <w:r>
              <w:rPr>
                <w:sz w:val="16"/>
              </w:rPr>
              <w:t>XGBoost candidate-service root-cause ranker</w:t>
            </w:r>
          </w:p>
        </w:tc>
        <w:tc>
          <w:tcPr>
            <w:tcW w:type="dxa" w:w="5112"/>
            <w:tcMar>
              <w:top w:w="85" w:type="dxa"/>
              <w:start w:w="90" w:type="dxa"/>
              <w:bottom w:w="85" w:type="dxa"/>
              <w:end w:w="90" w:type="dxa"/>
            </w:tcMar>
            <w:vAlign w:val="top"/>
          </w:tcPr>
          <w:p>
            <w:pPr>
              <w:spacing w:after="20" w:line="240" w:lineRule="auto"/>
            </w:pPr>
            <w:r>
              <w:rPr>
                <w:sz w:val="16"/>
              </w:rPr>
              <w:t>Ranks which service is most likely the root cause using per-service evidence and dependency context.</w:t>
            </w:r>
          </w:p>
        </w:tc>
      </w:tr>
      <w:tr>
        <w:tc>
          <w:tcPr>
            <w:tcW w:type="dxa" w:w="1800"/>
            <w:tcMar>
              <w:top w:w="85" w:type="dxa"/>
              <w:start w:w="90" w:type="dxa"/>
              <w:bottom w:w="85" w:type="dxa"/>
              <w:end w:w="90" w:type="dxa"/>
            </w:tcMar>
            <w:vAlign w:val="top"/>
            <w:shd w:fill="F3F6FA"/>
          </w:tcPr>
          <w:p>
            <w:pPr>
              <w:spacing w:after="20" w:line="240" w:lineRule="auto"/>
            </w:pPr>
            <w:r>
              <w:rPr>
                <w:sz w:val="16"/>
              </w:rPr>
              <w:t>Required non-ML component</w:t>
            </w:r>
          </w:p>
        </w:tc>
        <w:tc>
          <w:tcPr>
            <w:tcW w:type="dxa" w:w="3528"/>
            <w:tcMar>
              <w:top w:w="85" w:type="dxa"/>
              <w:start w:w="90" w:type="dxa"/>
              <w:bottom w:w="85" w:type="dxa"/>
              <w:end w:w="90" w:type="dxa"/>
            </w:tcMar>
            <w:vAlign w:val="top"/>
            <w:shd w:fill="F3F6FA"/>
          </w:tcPr>
          <w:p>
            <w:pPr>
              <w:spacing w:after="20" w:line="240" w:lineRule="auto"/>
            </w:pPr>
            <w:r>
              <w:rPr>
                <w:sz w:val="16"/>
              </w:rPr>
              <w:t>Deterministic recovery policy + safety gate + verifier</w:t>
            </w:r>
          </w:p>
        </w:tc>
        <w:tc>
          <w:tcPr>
            <w:tcW w:type="dxa" w:w="5112"/>
            <w:tcMar>
              <w:top w:w="85" w:type="dxa"/>
              <w:start w:w="90" w:type="dxa"/>
              <w:bottom w:w="85" w:type="dxa"/>
              <w:end w:w="90" w:type="dxa"/>
            </w:tcMar>
            <w:vAlign w:val="top"/>
            <w:shd w:fill="F3F6FA"/>
          </w:tcPr>
          <w:p>
            <w:pPr>
              <w:spacing w:after="20" w:line="240" w:lineRule="auto"/>
            </w:pPr>
            <w:r>
              <w:rPr>
                <w:sz w:val="16"/>
              </w:rPr>
              <w:t>Protects the system from unsafe or unjustified actions. Do not train an action model in the first release.</w:t>
            </w:r>
          </w:p>
        </w:tc>
      </w:tr>
      <w:tr>
        <w:tc>
          <w:tcPr>
            <w:tcW w:type="dxa" w:w="1800"/>
            <w:tcMar>
              <w:top w:w="85" w:type="dxa"/>
              <w:start w:w="90" w:type="dxa"/>
              <w:bottom w:w="85" w:type="dxa"/>
              <w:end w:w="90" w:type="dxa"/>
            </w:tcMar>
            <w:vAlign w:val="top"/>
          </w:tcPr>
          <w:p>
            <w:pPr>
              <w:spacing w:after="20" w:line="240" w:lineRule="auto"/>
            </w:pPr>
            <w:r>
              <w:rPr>
                <w:sz w:val="16"/>
              </w:rPr>
              <w:t>External benchmark</w:t>
            </w:r>
          </w:p>
        </w:tc>
        <w:tc>
          <w:tcPr>
            <w:tcW w:type="dxa" w:w="3528"/>
            <w:tcMar>
              <w:top w:w="85" w:type="dxa"/>
              <w:start w:w="90" w:type="dxa"/>
              <w:bottom w:w="85" w:type="dxa"/>
              <w:end w:w="90" w:type="dxa"/>
            </w:tcMar>
            <w:vAlign w:val="top"/>
          </w:tcPr>
          <w:p>
            <w:pPr>
              <w:spacing w:after="20" w:line="240" w:lineRule="auto"/>
            </w:pPr>
            <w:r>
              <w:rPr>
                <w:sz w:val="16"/>
              </w:rPr>
              <w:t>RCAEval</w:t>
            </w:r>
          </w:p>
        </w:tc>
        <w:tc>
          <w:tcPr>
            <w:tcW w:type="dxa" w:w="5112"/>
            <w:tcMar>
              <w:top w:w="85" w:type="dxa"/>
              <w:start w:w="90" w:type="dxa"/>
              <w:bottom w:w="85" w:type="dxa"/>
              <w:end w:w="90" w:type="dxa"/>
            </w:tcMar>
            <w:vAlign w:val="top"/>
          </w:tcPr>
          <w:p>
            <w:pPr>
              <w:spacing w:after="20" w:line="240" w:lineRule="auto"/>
            </w:pPr>
            <w:r>
              <w:rPr>
                <w:sz w:val="16"/>
              </w:rPr>
              <w:t>Use published root-cause baselines and a separate evaluation; normalize selected cases only if building a compatible supervised feature table.</w:t>
            </w:r>
          </w:p>
        </w:tc>
      </w:tr>
      <w:tr>
        <w:tc>
          <w:tcPr>
            <w:tcW w:type="dxa" w:w="1800"/>
            <w:tcMar>
              <w:top w:w="85" w:type="dxa"/>
              <w:start w:w="90" w:type="dxa"/>
              <w:bottom w:w="85" w:type="dxa"/>
              <w:end w:w="90" w:type="dxa"/>
            </w:tcMar>
            <w:vAlign w:val="top"/>
            <w:shd w:fill="F3F6FA"/>
          </w:tcPr>
          <w:p>
            <w:pPr>
              <w:spacing w:after="20" w:line="240" w:lineRule="auto"/>
            </w:pPr>
            <w:r>
              <w:rPr>
                <w:sz w:val="16"/>
              </w:rPr>
              <w:t>Optional supporting datasets</w:t>
            </w:r>
          </w:p>
        </w:tc>
        <w:tc>
          <w:tcPr>
            <w:tcW w:type="dxa" w:w="3528"/>
            <w:tcMar>
              <w:top w:w="85" w:type="dxa"/>
              <w:start w:w="90" w:type="dxa"/>
              <w:bottom w:w="85" w:type="dxa"/>
              <w:end w:w="90" w:type="dxa"/>
            </w:tcMar>
            <w:vAlign w:val="top"/>
            <w:shd w:fill="F3F6FA"/>
          </w:tcPr>
          <w:p>
            <w:pPr>
              <w:spacing w:after="20" w:line="240" w:lineRule="auto"/>
            </w:pPr>
            <w:r>
              <w:rPr>
                <w:sz w:val="16"/>
              </w:rPr>
              <w:t>GAIA, LatentScope, Loghub</w:t>
            </w:r>
          </w:p>
        </w:tc>
        <w:tc>
          <w:tcPr>
            <w:tcW w:type="dxa" w:w="5112"/>
            <w:tcMar>
              <w:top w:w="85" w:type="dxa"/>
              <w:start w:w="90" w:type="dxa"/>
              <w:bottom w:w="85" w:type="dxa"/>
              <w:end w:w="90" w:type="dxa"/>
            </w:tcMar>
            <w:vAlign w:val="top"/>
            <w:shd w:fill="F3F6FA"/>
          </w:tcPr>
          <w:p>
            <w:pPr>
              <w:spacing w:after="20" w:line="240" w:lineRule="auto"/>
            </w:pPr>
            <w:r>
              <w:rPr>
                <w:sz w:val="16"/>
              </w:rPr>
              <w:t>Use only for the question each dataset can actually support; do not blindly merge unrelated domains.</w:t>
            </w:r>
          </w:p>
        </w:tc>
      </w:tr>
      <w:tr>
        <w:tc>
          <w:tcPr>
            <w:tcW w:type="dxa" w:w="1800"/>
            <w:tcMar>
              <w:top w:w="85" w:type="dxa"/>
              <w:start w:w="90" w:type="dxa"/>
              <w:bottom w:w="85" w:type="dxa"/>
              <w:end w:w="90" w:type="dxa"/>
            </w:tcMar>
            <w:vAlign w:val="top"/>
          </w:tcPr>
          <w:p>
            <w:pPr>
              <w:spacing w:after="20" w:line="240" w:lineRule="auto"/>
            </w:pPr>
            <w:r>
              <w:rPr>
                <w:sz w:val="16"/>
              </w:rPr>
              <w:t>Do not train initially</w:t>
            </w:r>
          </w:p>
        </w:tc>
        <w:tc>
          <w:tcPr>
            <w:tcW w:type="dxa" w:w="3528"/>
            <w:tcMar>
              <w:top w:w="85" w:type="dxa"/>
              <w:start w:w="90" w:type="dxa"/>
              <w:bottom w:w="85" w:type="dxa"/>
              <w:end w:w="90" w:type="dxa"/>
            </w:tcMar>
            <w:vAlign w:val="top"/>
          </w:tcPr>
          <w:p>
            <w:pPr>
              <w:spacing w:after="20" w:line="240" w:lineRule="auto"/>
            </w:pPr>
            <w:r>
              <w:rPr>
                <w:sz w:val="16"/>
              </w:rPr>
              <w:t>LLM, Transformer log classifier, GNN, reinforcement-learning controller</w:t>
            </w:r>
          </w:p>
        </w:tc>
        <w:tc>
          <w:tcPr>
            <w:tcW w:type="dxa" w:w="5112"/>
            <w:tcMar>
              <w:top w:w="85" w:type="dxa"/>
              <w:start w:w="90" w:type="dxa"/>
              <w:bottom w:w="85" w:type="dxa"/>
              <w:end w:w="90" w:type="dxa"/>
            </w:tcMar>
            <w:vAlign w:val="top"/>
          </w:tcPr>
          <w:p>
            <w:pPr>
              <w:spacing w:after="20" w:line="240" w:lineRule="auto"/>
            </w:pPr>
            <w:r>
              <w:rPr>
                <w:sz w:val="16"/>
              </w:rPr>
              <w:t>The available labelled data and student-project time do not justify these as core dependencies. They are research extensions, not prerequisites.</w:t>
            </w:r>
          </w:p>
        </w:tc>
      </w:tr>
    </w:tbl>
    <w:p>
      <w:pPr>
        <w:spacing w:after="0"/>
      </w:pPr>
    </w:p>
    <w:tbl>
      <w:tblPr>
        <w:tblW w:type="auto" w:w="0"/>
        <w:tblLook w:firstColumn="1" w:firstRow="1" w:lastColumn="0" w:lastRow="0" w:noHBand="0" w:noVBand="1" w:val="04A0"/>
      </w:tblPr>
      <w:tblGrid>
        <w:gridCol w:w="10080"/>
      </w:tblGrid>
      <w:tr>
        <w:tc>
          <w:tcPr>
            <w:tcW w:type="dxa" w:w="10080"/>
            <w:shd w:fill="FFF2CC"/>
            <w:tcMar>
              <w:top w:w="130" w:type="dxa"/>
              <w:start w:w="150" w:type="dxa"/>
              <w:bottom w:w="130" w:type="dxa"/>
              <w:end w:w="150" w:type="dxa"/>
            </w:tcMar>
          </w:tcPr>
          <w:p>
            <w:pPr>
              <w:spacing w:after="60"/>
            </w:pPr>
            <w:r>
              <w:rPr>
                <w:b/>
                <w:color w:val="17365D"/>
                <w:sz w:val="20"/>
              </w:rPr>
              <w:t>Crucial distinction</w:t>
            </w:r>
          </w:p>
          <w:p>
            <w:pPr>
              <w:spacing w:after="0"/>
            </w:pPr>
            <w:r>
              <w:t>Public root-cause datasets usually contain diagnostic cases and labels; they do not, by themselves, provide a reliable supervised dataset of recovery actions and post-recovery outcomes for your exact application. Use your own controlled experiments for that part.</w:t>
            </w:r>
          </w:p>
        </w:tc>
      </w:tr>
    </w:tbl>
    <w:p>
      <w:pPr>
        <w:spacing w:after="0"/>
      </w:pPr>
    </w:p>
    <w:p>
      <w:pPr>
        <w:pStyle w:val="Heading1"/>
      </w:pPr>
      <w:r>
        <w:t>1. Final recommended model architecture</w:t>
      </w:r>
    </w:p>
    <w:p>
      <w:r>
        <w:t>AutoHeal AI should use three models for separate tasks. The feature builder turns telemetry into fixed-schema numeric records. Model 1 detects unusual behaviour. Model 2 predicts the fault family. Model 3 scores each service candidate. The Spring Boot recovery controller combines model output with rules, deployment context, action risk and verification; it must not hand control to a model.</w:t>
      </w:r>
    </w:p>
    <w:p>
      <w:r>
        <w:drawing>
          <wp:inline xmlns:a="http://schemas.openxmlformats.org/drawingml/2006/main" xmlns:pic="http://schemas.openxmlformats.org/drawingml/2006/picture">
            <wp:extent cx="6400800" cy="5040630"/>
            <wp:docPr id="1" name="Picture 1"/>
            <wp:cNvGraphicFramePr>
              <a:graphicFrameLocks noChangeAspect="1"/>
            </wp:cNvGraphicFramePr>
            <a:graphic>
              <a:graphicData uri="http://schemas.openxmlformats.org/drawingml/2006/picture">
                <pic:pic>
                  <pic:nvPicPr>
                    <pic:cNvPr id="0" name="model_placement_architecture.png"/>
                    <pic:cNvPicPr/>
                  </pic:nvPicPr>
                  <pic:blipFill>
                    <a:blip r:embed="rId11"/>
                    <a:stretch>
                      <a:fillRect/>
                    </a:stretch>
                  </pic:blipFill>
                  <pic:spPr>
                    <a:xfrm>
                      <a:off x="0" y="0"/>
                      <a:ext cx="6400800" cy="5040630"/>
                    </a:xfrm>
                    <a:prstGeom prst="rect"/>
                  </pic:spPr>
                </pic:pic>
              </a:graphicData>
            </a:graphic>
          </wp:inline>
        </w:drawing>
      </w:r>
    </w:p>
    <w:p>
      <w:r>
        <w:t>Figure 1. Model placement and control boundary. The Python service has no permission to change the deployment; only the recovery controller can run allow-listed actions.</w:t>
      </w:r>
    </w:p>
    <w:p>
      <w:pPr>
        <w:pStyle w:val="Heading2"/>
      </w:pPr>
      <w:r>
        <w:t>1.1 Placement of each component</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872"/>
            <w:shd w:fill="17365D"/>
            <w:tcMar>
              <w:top w:w="85" w:type="dxa"/>
              <w:start w:w="90" w:type="dxa"/>
              <w:bottom w:w="85" w:type="dxa"/>
              <w:end w:w="90" w:type="dxa"/>
            </w:tcMar>
            <w:vAlign w:val="center"/>
          </w:tcPr>
          <w:p>
            <w:pPr>
              <w:spacing w:after="0"/>
            </w:pPr>
            <w:r>
              <w:rPr>
                <w:b/>
                <w:color w:val="FFFFFF"/>
                <w:sz w:val="16"/>
              </w:rPr>
              <w:t>Component</w:t>
            </w:r>
          </w:p>
        </w:tc>
        <w:tc>
          <w:tcPr>
            <w:tcW w:type="dxa" w:w="2088"/>
            <w:shd w:fill="17365D"/>
            <w:tcMar>
              <w:top w:w="85" w:type="dxa"/>
              <w:start w:w="90" w:type="dxa"/>
              <w:bottom w:w="85" w:type="dxa"/>
              <w:end w:w="90" w:type="dxa"/>
            </w:tcMar>
            <w:vAlign w:val="center"/>
          </w:tcPr>
          <w:p>
            <w:pPr>
              <w:spacing w:after="0"/>
            </w:pPr>
            <w:r>
              <w:rPr>
                <w:b/>
                <w:color w:val="FFFFFF"/>
                <w:sz w:val="16"/>
              </w:rPr>
              <w:t>Technology</w:t>
            </w:r>
          </w:p>
        </w:tc>
        <w:tc>
          <w:tcPr>
            <w:tcW w:type="dxa" w:w="2880"/>
            <w:shd w:fill="17365D"/>
            <w:tcMar>
              <w:top w:w="85" w:type="dxa"/>
              <w:start w:w="90" w:type="dxa"/>
              <w:bottom w:w="85" w:type="dxa"/>
              <w:end w:w="90" w:type="dxa"/>
            </w:tcMar>
            <w:vAlign w:val="center"/>
          </w:tcPr>
          <w:p>
            <w:pPr>
              <w:spacing w:after="0"/>
            </w:pPr>
            <w:r>
              <w:rPr>
                <w:b/>
                <w:color w:val="FFFFFF"/>
                <w:sz w:val="16"/>
              </w:rPr>
              <w:t>Consumes</w:t>
            </w:r>
          </w:p>
        </w:tc>
        <w:tc>
          <w:tcPr>
            <w:tcW w:type="dxa" w:w="3600"/>
            <w:shd w:fill="17365D"/>
            <w:tcMar>
              <w:top w:w="85" w:type="dxa"/>
              <w:start w:w="90" w:type="dxa"/>
              <w:bottom w:w="85" w:type="dxa"/>
              <w:end w:w="90" w:type="dxa"/>
            </w:tcMar>
            <w:vAlign w:val="center"/>
          </w:tcPr>
          <w:p>
            <w:pPr>
              <w:spacing w:after="0"/>
            </w:pPr>
            <w:r>
              <w:rPr>
                <w:b/>
                <w:color w:val="FFFFFF"/>
                <w:sz w:val="16"/>
              </w:rPr>
              <w:t>Produces / responsibility</w:t>
            </w:r>
          </w:p>
        </w:tc>
      </w:tr>
      <w:tr>
        <w:tc>
          <w:tcPr>
            <w:tcW w:type="dxa" w:w="1872"/>
            <w:tcMar>
              <w:top w:w="85" w:type="dxa"/>
              <w:start w:w="90" w:type="dxa"/>
              <w:bottom w:w="85" w:type="dxa"/>
              <w:end w:w="90" w:type="dxa"/>
            </w:tcMar>
            <w:vAlign w:val="top"/>
          </w:tcPr>
          <w:p>
            <w:pPr>
              <w:spacing w:after="20" w:line="240" w:lineRule="auto"/>
            </w:pPr>
            <w:r>
              <w:rPr>
                <w:sz w:val="16"/>
              </w:rPr>
              <w:t>Telemetry collector</w:t>
            </w:r>
          </w:p>
        </w:tc>
        <w:tc>
          <w:tcPr>
            <w:tcW w:type="dxa" w:w="2088"/>
            <w:tcMar>
              <w:top w:w="85" w:type="dxa"/>
              <w:start w:w="90" w:type="dxa"/>
              <w:bottom w:w="85" w:type="dxa"/>
              <w:end w:w="90" w:type="dxa"/>
            </w:tcMar>
            <w:vAlign w:val="top"/>
          </w:tcPr>
          <w:p>
            <w:pPr>
              <w:spacing w:after="20" w:line="240" w:lineRule="auto"/>
            </w:pPr>
            <w:r>
              <w:rPr>
                <w:sz w:val="16"/>
              </w:rPr>
              <w:t>Micrometer / OpenTelemetry SDK + Collector</w:t>
            </w:r>
          </w:p>
        </w:tc>
        <w:tc>
          <w:tcPr>
            <w:tcW w:type="dxa" w:w="2880"/>
            <w:tcMar>
              <w:top w:w="85" w:type="dxa"/>
              <w:start w:w="90" w:type="dxa"/>
              <w:bottom w:w="85" w:type="dxa"/>
              <w:end w:w="90" w:type="dxa"/>
            </w:tcMar>
            <w:vAlign w:val="top"/>
          </w:tcPr>
          <w:p>
            <w:pPr>
              <w:spacing w:after="20" w:line="240" w:lineRule="auto"/>
            </w:pPr>
            <w:r>
              <w:rPr>
                <w:sz w:val="16"/>
              </w:rPr>
              <w:t>Application metrics, logs, traces, deployment and dependency data</w:t>
            </w:r>
          </w:p>
        </w:tc>
        <w:tc>
          <w:tcPr>
            <w:tcW w:type="dxa" w:w="3600"/>
            <w:tcMar>
              <w:top w:w="85" w:type="dxa"/>
              <w:start w:w="90" w:type="dxa"/>
              <w:bottom w:w="85" w:type="dxa"/>
              <w:end w:w="90" w:type="dxa"/>
            </w:tcMar>
            <w:vAlign w:val="top"/>
          </w:tcPr>
          <w:p>
            <w:pPr>
              <w:spacing w:after="20" w:line="240" w:lineRule="auto"/>
            </w:pPr>
            <w:r>
              <w:rPr>
                <w:sz w:val="16"/>
              </w:rPr>
              <w:t>Standardized telemetry; no model training.</w:t>
            </w:r>
          </w:p>
        </w:tc>
      </w:tr>
      <w:tr>
        <w:tc>
          <w:tcPr>
            <w:tcW w:type="dxa" w:w="1872"/>
            <w:tcMar>
              <w:top w:w="85" w:type="dxa"/>
              <w:start w:w="90" w:type="dxa"/>
              <w:bottom w:w="85" w:type="dxa"/>
              <w:end w:w="90" w:type="dxa"/>
            </w:tcMar>
            <w:vAlign w:val="top"/>
            <w:shd w:fill="F3F6FA"/>
          </w:tcPr>
          <w:p>
            <w:pPr>
              <w:spacing w:after="20" w:line="240" w:lineRule="auto"/>
            </w:pPr>
            <w:r>
              <w:rPr>
                <w:sz w:val="16"/>
              </w:rPr>
              <w:t>Feature builder</w:t>
            </w:r>
          </w:p>
        </w:tc>
        <w:tc>
          <w:tcPr>
            <w:tcW w:type="dxa" w:w="2088"/>
            <w:tcMar>
              <w:top w:w="85" w:type="dxa"/>
              <w:start w:w="90" w:type="dxa"/>
              <w:bottom w:w="85" w:type="dxa"/>
              <w:end w:w="90" w:type="dxa"/>
            </w:tcMar>
            <w:vAlign w:val="top"/>
            <w:shd w:fill="F3F6FA"/>
          </w:tcPr>
          <w:p>
            <w:pPr>
              <w:spacing w:after="20" w:line="240" w:lineRule="auto"/>
            </w:pPr>
            <w:r>
              <w:rPr>
                <w:sz w:val="16"/>
              </w:rPr>
              <w:t>Python in diagnosis service or a separate worker</w:t>
            </w:r>
          </w:p>
        </w:tc>
        <w:tc>
          <w:tcPr>
            <w:tcW w:type="dxa" w:w="2880"/>
            <w:tcMar>
              <w:top w:w="85" w:type="dxa"/>
              <w:start w:w="90" w:type="dxa"/>
              <w:bottom w:w="85" w:type="dxa"/>
              <w:end w:w="90" w:type="dxa"/>
            </w:tcMar>
            <w:vAlign w:val="top"/>
            <w:shd w:fill="F3F6FA"/>
          </w:tcPr>
          <w:p>
            <w:pPr>
              <w:spacing w:after="20" w:line="240" w:lineRule="auto"/>
            </w:pPr>
            <w:r>
              <w:rPr>
                <w:sz w:val="16"/>
              </w:rPr>
              <w:t>Last 30–60 seconds of observed data; baseline statistics</w:t>
            </w:r>
          </w:p>
        </w:tc>
        <w:tc>
          <w:tcPr>
            <w:tcW w:type="dxa" w:w="3600"/>
            <w:tcMar>
              <w:top w:w="85" w:type="dxa"/>
              <w:start w:w="90" w:type="dxa"/>
              <w:bottom w:w="85" w:type="dxa"/>
              <w:end w:w="90" w:type="dxa"/>
            </w:tcMar>
            <w:vAlign w:val="top"/>
            <w:shd w:fill="F3F6FA"/>
          </w:tcPr>
          <w:p>
            <w:pPr>
              <w:spacing w:after="20" w:line="240" w:lineRule="auto"/>
            </w:pPr>
            <w:r>
              <w:rPr>
                <w:sz w:val="16"/>
              </w:rPr>
              <w:t>`windows.csv`-schema record and one candidate-service row per service.</w:t>
            </w:r>
          </w:p>
        </w:tc>
      </w:tr>
      <w:tr>
        <w:tc>
          <w:tcPr>
            <w:tcW w:type="dxa" w:w="1872"/>
            <w:tcMar>
              <w:top w:w="85" w:type="dxa"/>
              <w:start w:w="90" w:type="dxa"/>
              <w:bottom w:w="85" w:type="dxa"/>
              <w:end w:w="90" w:type="dxa"/>
            </w:tcMar>
            <w:vAlign w:val="top"/>
          </w:tcPr>
          <w:p>
            <w:pPr>
              <w:spacing w:after="20" w:line="240" w:lineRule="auto"/>
            </w:pPr>
            <w:r>
              <w:rPr>
                <w:sz w:val="16"/>
              </w:rPr>
              <w:t>Anomaly detector</w:t>
            </w:r>
          </w:p>
        </w:tc>
        <w:tc>
          <w:tcPr>
            <w:tcW w:type="dxa" w:w="2088"/>
            <w:tcMar>
              <w:top w:w="85" w:type="dxa"/>
              <w:start w:w="90" w:type="dxa"/>
              <w:bottom w:w="85" w:type="dxa"/>
              <w:end w:w="90" w:type="dxa"/>
            </w:tcMar>
            <w:vAlign w:val="top"/>
          </w:tcPr>
          <w:p>
            <w:pPr>
              <w:spacing w:after="20" w:line="240" w:lineRule="auto"/>
            </w:pPr>
            <w:r>
              <w:rPr>
                <w:sz w:val="16"/>
              </w:rPr>
              <w:t>scikit-learn IsolationForest</w:t>
            </w:r>
          </w:p>
        </w:tc>
        <w:tc>
          <w:tcPr>
            <w:tcW w:type="dxa" w:w="2880"/>
            <w:tcMar>
              <w:top w:w="85" w:type="dxa"/>
              <w:start w:w="90" w:type="dxa"/>
              <w:bottom w:w="85" w:type="dxa"/>
              <w:end w:w="90" w:type="dxa"/>
            </w:tcMar>
            <w:vAlign w:val="top"/>
          </w:tcPr>
          <w:p>
            <w:pPr>
              <w:spacing w:after="20" w:line="240" w:lineRule="auto"/>
            </w:pPr>
            <w:r>
              <w:rPr>
                <w:sz w:val="16"/>
              </w:rPr>
              <w:t>System-level numeric feature vector</w:t>
            </w:r>
          </w:p>
        </w:tc>
        <w:tc>
          <w:tcPr>
            <w:tcW w:type="dxa" w:w="3600"/>
            <w:tcMar>
              <w:top w:w="85" w:type="dxa"/>
              <w:start w:w="90" w:type="dxa"/>
              <w:bottom w:w="85" w:type="dxa"/>
              <w:end w:w="90" w:type="dxa"/>
            </w:tcMar>
            <w:vAlign w:val="top"/>
          </w:tcPr>
          <w:p>
            <w:pPr>
              <w:spacing w:after="20" w:line="240" w:lineRule="auto"/>
            </w:pPr>
            <w:r>
              <w:rPr>
                <w:sz w:val="16"/>
              </w:rPr>
              <w:t>Anomaly score compared with a threshold calibrated from normal validation windows.</w:t>
            </w:r>
          </w:p>
        </w:tc>
      </w:tr>
      <w:tr>
        <w:tc>
          <w:tcPr>
            <w:tcW w:type="dxa" w:w="1872"/>
            <w:tcMar>
              <w:top w:w="85" w:type="dxa"/>
              <w:start w:w="90" w:type="dxa"/>
              <w:bottom w:w="85" w:type="dxa"/>
              <w:end w:w="90" w:type="dxa"/>
            </w:tcMar>
            <w:vAlign w:val="top"/>
            <w:shd w:fill="F3F6FA"/>
          </w:tcPr>
          <w:p>
            <w:pPr>
              <w:spacing w:after="20" w:line="240" w:lineRule="auto"/>
            </w:pPr>
            <w:r>
              <w:rPr>
                <w:sz w:val="16"/>
              </w:rPr>
              <w:t>Fault-family model</w:t>
            </w:r>
          </w:p>
        </w:tc>
        <w:tc>
          <w:tcPr>
            <w:tcW w:type="dxa" w:w="2088"/>
            <w:tcMar>
              <w:top w:w="85" w:type="dxa"/>
              <w:start w:w="90" w:type="dxa"/>
              <w:bottom w:w="85" w:type="dxa"/>
              <w:end w:w="90" w:type="dxa"/>
            </w:tcMar>
            <w:vAlign w:val="top"/>
            <w:shd w:fill="F3F6FA"/>
          </w:tcPr>
          <w:p>
            <w:pPr>
              <w:spacing w:after="20" w:line="240" w:lineRule="auto"/>
            </w:pPr>
            <w:r>
              <w:rPr>
                <w:sz w:val="16"/>
              </w:rPr>
              <w:t>XGBoost multiclass classifier</w:t>
            </w:r>
          </w:p>
        </w:tc>
        <w:tc>
          <w:tcPr>
            <w:tcW w:type="dxa" w:w="2880"/>
            <w:tcMar>
              <w:top w:w="85" w:type="dxa"/>
              <w:start w:w="90" w:type="dxa"/>
              <w:bottom w:w="85" w:type="dxa"/>
              <w:end w:w="90" w:type="dxa"/>
            </w:tcMar>
            <w:vAlign w:val="top"/>
            <w:shd w:fill="F3F6FA"/>
          </w:tcPr>
          <w:p>
            <w:pPr>
              <w:spacing w:after="20" w:line="240" w:lineRule="auto"/>
            </w:pPr>
            <w:r>
              <w:rPr>
                <w:sz w:val="16"/>
              </w:rPr>
              <w:t>Same normalized system-window features</w:t>
            </w:r>
          </w:p>
        </w:tc>
        <w:tc>
          <w:tcPr>
            <w:tcW w:type="dxa" w:w="3600"/>
            <w:tcMar>
              <w:top w:w="85" w:type="dxa"/>
              <w:start w:w="90" w:type="dxa"/>
              <w:bottom w:w="85" w:type="dxa"/>
              <w:end w:w="90" w:type="dxa"/>
            </w:tcMar>
            <w:vAlign w:val="top"/>
            <w:shd w:fill="F3F6FA"/>
          </w:tcPr>
          <w:p>
            <w:pPr>
              <w:spacing w:after="20" w:line="240" w:lineRule="auto"/>
            </w:pPr>
            <w:r>
              <w:rPr>
                <w:sz w:val="16"/>
              </w:rPr>
              <w:t>Known fault-family scores; e.g. `DATABASE_LATENCY`.</w:t>
            </w:r>
          </w:p>
        </w:tc>
      </w:tr>
      <w:tr>
        <w:tc>
          <w:tcPr>
            <w:tcW w:type="dxa" w:w="1872"/>
            <w:tcMar>
              <w:top w:w="85" w:type="dxa"/>
              <w:start w:w="90" w:type="dxa"/>
              <w:bottom w:w="85" w:type="dxa"/>
              <w:end w:w="90" w:type="dxa"/>
            </w:tcMar>
            <w:vAlign w:val="top"/>
          </w:tcPr>
          <w:p>
            <w:pPr>
              <w:spacing w:after="20" w:line="240" w:lineRule="auto"/>
            </w:pPr>
            <w:r>
              <w:rPr>
                <w:sz w:val="16"/>
              </w:rPr>
              <w:t>Root-cause ranker</w:t>
            </w:r>
          </w:p>
        </w:tc>
        <w:tc>
          <w:tcPr>
            <w:tcW w:type="dxa" w:w="2088"/>
            <w:tcMar>
              <w:top w:w="85" w:type="dxa"/>
              <w:start w:w="90" w:type="dxa"/>
              <w:bottom w:w="85" w:type="dxa"/>
              <w:end w:w="90" w:type="dxa"/>
            </w:tcMar>
            <w:vAlign w:val="top"/>
          </w:tcPr>
          <w:p>
            <w:pPr>
              <w:spacing w:after="20" w:line="240" w:lineRule="auto"/>
            </w:pPr>
            <w:r>
              <w:rPr>
                <w:sz w:val="16"/>
              </w:rPr>
              <w:t>XGBoost binary candidate scorer</w:t>
            </w:r>
          </w:p>
        </w:tc>
        <w:tc>
          <w:tcPr>
            <w:tcW w:type="dxa" w:w="2880"/>
            <w:tcMar>
              <w:top w:w="85" w:type="dxa"/>
              <w:start w:w="90" w:type="dxa"/>
              <w:bottom w:w="85" w:type="dxa"/>
              <w:end w:w="90" w:type="dxa"/>
            </w:tcMar>
            <w:vAlign w:val="top"/>
          </w:tcPr>
          <w:p>
            <w:pPr>
              <w:spacing w:after="20" w:line="240" w:lineRule="auto"/>
            </w:pPr>
            <w:r>
              <w:rPr>
                <w:sz w:val="16"/>
              </w:rPr>
              <w:t>One feature vector per candidate service</w:t>
            </w:r>
          </w:p>
        </w:tc>
        <w:tc>
          <w:tcPr>
            <w:tcW w:type="dxa" w:w="3600"/>
            <w:tcMar>
              <w:top w:w="85" w:type="dxa"/>
              <w:start w:w="90" w:type="dxa"/>
              <w:bottom w:w="85" w:type="dxa"/>
              <w:end w:w="90" w:type="dxa"/>
            </w:tcMar>
            <w:vAlign w:val="top"/>
          </w:tcPr>
          <w:p>
            <w:pPr>
              <w:spacing w:after="20" w:line="240" w:lineRule="auto"/>
            </w:pPr>
            <w:r>
              <w:rPr>
                <w:sz w:val="16"/>
              </w:rPr>
              <w:t>Scores that are sorted into Top-1/Top-3 root-cause hypotheses.</w:t>
            </w:r>
          </w:p>
        </w:tc>
      </w:tr>
      <w:tr>
        <w:tc>
          <w:tcPr>
            <w:tcW w:type="dxa" w:w="1872"/>
            <w:tcMar>
              <w:top w:w="85" w:type="dxa"/>
              <w:start w:w="90" w:type="dxa"/>
              <w:bottom w:w="85" w:type="dxa"/>
              <w:end w:w="90" w:type="dxa"/>
            </w:tcMar>
            <w:vAlign w:val="top"/>
            <w:shd w:fill="F3F6FA"/>
          </w:tcPr>
          <w:p>
            <w:pPr>
              <w:spacing w:after="20" w:line="240" w:lineRule="auto"/>
            </w:pPr>
            <w:r>
              <w:rPr>
                <w:sz w:val="16"/>
              </w:rPr>
              <w:t>Policy / safety gate</w:t>
            </w:r>
          </w:p>
        </w:tc>
        <w:tc>
          <w:tcPr>
            <w:tcW w:type="dxa" w:w="2088"/>
            <w:tcMar>
              <w:top w:w="85" w:type="dxa"/>
              <w:start w:w="90" w:type="dxa"/>
              <w:bottom w:w="85" w:type="dxa"/>
              <w:end w:w="90" w:type="dxa"/>
            </w:tcMar>
            <w:vAlign w:val="top"/>
            <w:shd w:fill="F3F6FA"/>
          </w:tcPr>
          <w:p>
            <w:pPr>
              <w:spacing w:after="20" w:line="240" w:lineRule="auto"/>
            </w:pPr>
            <w:r>
              <w:rPr>
                <w:sz w:val="16"/>
              </w:rPr>
              <w:t>Spring Boot deterministic code</w:t>
            </w:r>
          </w:p>
        </w:tc>
        <w:tc>
          <w:tcPr>
            <w:tcW w:type="dxa" w:w="2880"/>
            <w:tcMar>
              <w:top w:w="85" w:type="dxa"/>
              <w:start w:w="90" w:type="dxa"/>
              <w:bottom w:w="85" w:type="dxa"/>
              <w:end w:w="90" w:type="dxa"/>
            </w:tcMar>
            <w:vAlign w:val="top"/>
            <w:shd w:fill="F3F6FA"/>
          </w:tcPr>
          <w:p>
            <w:pPr>
              <w:spacing w:after="20" w:line="240" w:lineRule="auto"/>
            </w:pPr>
            <w:r>
              <w:rPr>
                <w:sz w:val="16"/>
              </w:rPr>
              <w:t>Diagnosis + evidence + risk + action history</w:t>
            </w:r>
          </w:p>
        </w:tc>
        <w:tc>
          <w:tcPr>
            <w:tcW w:type="dxa" w:w="3600"/>
            <w:tcMar>
              <w:top w:w="85" w:type="dxa"/>
              <w:start w:w="90" w:type="dxa"/>
              <w:bottom w:w="85" w:type="dxa"/>
              <w:end w:w="90" w:type="dxa"/>
            </w:tcMar>
            <w:vAlign w:val="top"/>
            <w:shd w:fill="F3F6FA"/>
          </w:tcPr>
          <w:p>
            <w:pPr>
              <w:spacing w:after="20" w:line="240" w:lineRule="auto"/>
            </w:pPr>
            <w:r>
              <w:rPr>
                <w:sz w:val="16"/>
              </w:rPr>
              <w:t>Allow, deny or require approval for an action.</w:t>
            </w:r>
          </w:p>
        </w:tc>
      </w:tr>
      <w:tr>
        <w:tc>
          <w:tcPr>
            <w:tcW w:type="dxa" w:w="1872"/>
            <w:tcMar>
              <w:top w:w="85" w:type="dxa"/>
              <w:start w:w="90" w:type="dxa"/>
              <w:bottom w:w="85" w:type="dxa"/>
              <w:end w:w="90" w:type="dxa"/>
            </w:tcMar>
            <w:vAlign w:val="top"/>
          </w:tcPr>
          <w:p>
            <w:pPr>
              <w:spacing w:after="20" w:line="240" w:lineRule="auto"/>
            </w:pPr>
            <w:r>
              <w:rPr>
                <w:sz w:val="16"/>
              </w:rPr>
              <w:t>Executor and verifier</w:t>
            </w:r>
          </w:p>
        </w:tc>
        <w:tc>
          <w:tcPr>
            <w:tcW w:type="dxa" w:w="2088"/>
            <w:tcMar>
              <w:top w:w="85" w:type="dxa"/>
              <w:start w:w="90" w:type="dxa"/>
              <w:bottom w:w="85" w:type="dxa"/>
              <w:end w:w="90" w:type="dxa"/>
            </w:tcMar>
            <w:vAlign w:val="top"/>
          </w:tcPr>
          <w:p>
            <w:pPr>
              <w:spacing w:after="20" w:line="240" w:lineRule="auto"/>
            </w:pPr>
            <w:r>
              <w:rPr>
                <w:sz w:val="16"/>
              </w:rPr>
              <w:t>Spring Boot controller + Docker/Kubernetes API</w:t>
            </w:r>
          </w:p>
        </w:tc>
        <w:tc>
          <w:tcPr>
            <w:tcW w:type="dxa" w:w="2880"/>
            <w:tcMar>
              <w:top w:w="85" w:type="dxa"/>
              <w:start w:w="90" w:type="dxa"/>
              <w:bottom w:w="85" w:type="dxa"/>
              <w:end w:w="90" w:type="dxa"/>
            </w:tcMar>
            <w:vAlign w:val="top"/>
          </w:tcPr>
          <w:p>
            <w:pPr>
              <w:spacing w:after="20" w:line="240" w:lineRule="auto"/>
            </w:pPr>
            <w:r>
              <w:rPr>
                <w:sz w:val="16"/>
              </w:rPr>
              <w:t>Approved allow-listed action</w:t>
            </w:r>
          </w:p>
        </w:tc>
        <w:tc>
          <w:tcPr>
            <w:tcW w:type="dxa" w:w="3600"/>
            <w:tcMar>
              <w:top w:w="85" w:type="dxa"/>
              <w:start w:w="90" w:type="dxa"/>
              <w:bottom w:w="85" w:type="dxa"/>
              <w:end w:w="90" w:type="dxa"/>
            </w:tcMar>
            <w:vAlign w:val="top"/>
          </w:tcPr>
          <w:p>
            <w:pPr>
              <w:spacing w:after="20" w:line="240" w:lineRule="auto"/>
            </w:pPr>
            <w:r>
              <w:rPr>
                <w:sz w:val="16"/>
              </w:rPr>
              <w:t>Action result, health outcome, MTTR and audit record.</w:t>
            </w:r>
          </w:p>
        </w:tc>
      </w:tr>
    </w:tbl>
    <w:p>
      <w:pPr>
        <w:spacing w:after="0"/>
      </w:pPr>
    </w:p>
    <w:p>
      <w:pPr>
        <w:pStyle w:val="Heading2"/>
      </w:pPr>
      <w:r>
        <w:t>1.2 What each model can and cannot claim</w:t>
      </w:r>
    </w:p>
    <w:p>
      <w:pPr>
        <w:pStyle w:val="ListBullet"/>
        <w:spacing w:after="40"/>
      </w:pPr>
      <w:r>
        <w:t>Isolation Forest is a novelty detector, not a root-cause explanation. A low score means the feature vector is unusual relative to training-normal data; it does not identify what failed.</w:t>
      </w:r>
    </w:p>
    <w:p>
      <w:pPr>
        <w:pStyle w:val="ListBullet"/>
        <w:spacing w:after="40"/>
      </w:pPr>
      <w:r>
        <w:t>The fault classifier identifies patterns resembling labelled training faults. It can be wrong on unseen failures, unfamiliar workloads or instrumentation drift. Include an unknown/abstain path.</w:t>
      </w:r>
    </w:p>
    <w:p>
      <w:pPr>
        <w:pStyle w:val="ListBullet"/>
        <w:spacing w:after="40"/>
      </w:pPr>
      <w:r>
        <w:t>The root-cause ranker learns which candidate-service feature patterns match the labelled root cause in training incidents. Its score is a ranking signal, not proof of causality.</w:t>
      </w:r>
    </w:p>
    <w:p>
      <w:pPr>
        <w:pStyle w:val="ListBullet"/>
        <w:spacing w:after="40"/>
      </w:pPr>
      <w:r>
        <w:t>The policy engine chooses an action deterministically from allowed mappings and safety conditions. Do not train reinforcement learning or permit free-form LLM commands for the first implementation.</w:t>
      </w:r>
    </w:p>
    <w:p>
      <w:pPr>
        <w:pStyle w:val="ListBullet"/>
        <w:spacing w:after="40"/>
      </w:pPr>
      <w:r>
        <w:t>Kubernetes already restarts failed containers and replaces unhealthy Pods. The project novelty must be fault diagnosis, root-cause ranking, safe action selection, and verified recovery—not restart alone.</w:t>
      </w:r>
    </w:p>
    <w:p>
      <w:pPr>
        <w:pStyle w:val="Heading1"/>
      </w:pPr>
      <w:r>
        <w:t>2. Dataset strategy: use the right data for the right job</w:t>
      </w:r>
    </w:p>
    <w:p>
      <w:r>
        <w:t>Use a dual-track dataset strategy: (A) a custom, fault-injected dataset from the exact AutoHeal AI testbed for model training and recovery experiments; (B) public datasets for independent root-cause/anomaly benchmarks. Keep benchmark results separate unless all features, labels, time windows and split rules have been harmonized and documented.</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800"/>
            <w:shd w:fill="17365D"/>
            <w:tcMar>
              <w:top w:w="85" w:type="dxa"/>
              <w:start w:w="90" w:type="dxa"/>
              <w:bottom w:w="85" w:type="dxa"/>
              <w:end w:w="90" w:type="dxa"/>
            </w:tcMar>
            <w:vAlign w:val="center"/>
          </w:tcPr>
          <w:p>
            <w:pPr>
              <w:spacing w:after="0"/>
            </w:pPr>
            <w:r>
              <w:rPr>
                <w:b/>
                <w:color w:val="FFFFFF"/>
                <w:sz w:val="15"/>
              </w:rPr>
              <w:t>Dataset</w:t>
            </w:r>
          </w:p>
        </w:tc>
        <w:tc>
          <w:tcPr>
            <w:tcW w:type="dxa" w:w="3528"/>
            <w:shd w:fill="17365D"/>
            <w:tcMar>
              <w:top w:w="85" w:type="dxa"/>
              <w:start w:w="90" w:type="dxa"/>
              <w:bottom w:w="85" w:type="dxa"/>
              <w:end w:w="90" w:type="dxa"/>
            </w:tcMar>
            <w:vAlign w:val="center"/>
          </w:tcPr>
          <w:p>
            <w:pPr>
              <w:spacing w:after="0"/>
            </w:pPr>
            <w:r>
              <w:rPr>
                <w:b/>
                <w:color w:val="FFFFFF"/>
                <w:sz w:val="15"/>
              </w:rPr>
              <w:t>What it contains</w:t>
            </w:r>
          </w:p>
        </w:tc>
        <w:tc>
          <w:tcPr>
            <w:tcW w:type="dxa" w:w="2952"/>
            <w:shd w:fill="17365D"/>
            <w:tcMar>
              <w:top w:w="85" w:type="dxa"/>
              <w:start w:w="90" w:type="dxa"/>
              <w:bottom w:w="85" w:type="dxa"/>
              <w:end w:w="90" w:type="dxa"/>
            </w:tcMar>
            <w:vAlign w:val="center"/>
          </w:tcPr>
          <w:p>
            <w:pPr>
              <w:spacing w:after="0"/>
            </w:pPr>
            <w:r>
              <w:rPr>
                <w:b/>
                <w:color w:val="FFFFFF"/>
                <w:sz w:val="15"/>
              </w:rPr>
              <w:t>Best use here</w:t>
            </w:r>
          </w:p>
        </w:tc>
        <w:tc>
          <w:tcPr>
            <w:tcW w:type="dxa" w:w="3024"/>
            <w:shd w:fill="17365D"/>
            <w:tcMar>
              <w:top w:w="85" w:type="dxa"/>
              <w:start w:w="90" w:type="dxa"/>
              <w:bottom w:w="85" w:type="dxa"/>
              <w:end w:w="90" w:type="dxa"/>
            </w:tcMar>
            <w:vAlign w:val="center"/>
          </w:tcPr>
          <w:p>
            <w:pPr>
              <w:spacing w:after="0"/>
            </w:pPr>
            <w:r>
              <w:rPr>
                <w:b/>
                <w:color w:val="FFFFFF"/>
                <w:sz w:val="15"/>
              </w:rPr>
              <w:t>Cautions</w:t>
            </w:r>
          </w:p>
        </w:tc>
      </w:tr>
      <w:tr>
        <w:tc>
          <w:tcPr>
            <w:tcW w:type="dxa" w:w="1800"/>
            <w:tcMar>
              <w:top w:w="85" w:type="dxa"/>
              <w:start w:w="90" w:type="dxa"/>
              <w:bottom w:w="85" w:type="dxa"/>
              <w:end w:w="90" w:type="dxa"/>
            </w:tcMar>
            <w:vAlign w:val="top"/>
          </w:tcPr>
          <w:p>
            <w:pPr>
              <w:spacing w:after="20" w:line="240" w:lineRule="auto"/>
            </w:pPr>
            <w:r>
              <w:rPr>
                <w:sz w:val="15"/>
              </w:rPr>
              <w:t>Custom AutoHeal dataset (required)</w:t>
            </w:r>
          </w:p>
        </w:tc>
        <w:tc>
          <w:tcPr>
            <w:tcW w:type="dxa" w:w="3528"/>
            <w:tcMar>
              <w:top w:w="85" w:type="dxa"/>
              <w:start w:w="90" w:type="dxa"/>
              <w:bottom w:w="85" w:type="dxa"/>
              <w:end w:w="90" w:type="dxa"/>
            </w:tcMar>
            <w:vAlign w:val="top"/>
          </w:tcPr>
          <w:p>
            <w:pPr>
              <w:spacing w:after="20" w:line="240" w:lineRule="auto"/>
            </w:pPr>
            <w:r>
              <w:rPr>
                <w:sz w:val="15"/>
              </w:rPr>
              <w:t>Prometheus / OpenTelemetry metrics, logs, traces, dependency graph, known injected fault, root service, and recovery outcome from your Spring Boot/Node.js testbed.</w:t>
            </w:r>
          </w:p>
        </w:tc>
        <w:tc>
          <w:tcPr>
            <w:tcW w:type="dxa" w:w="2952"/>
            <w:tcMar>
              <w:top w:w="85" w:type="dxa"/>
              <w:start w:w="90" w:type="dxa"/>
              <w:bottom w:w="85" w:type="dxa"/>
              <w:end w:w="90" w:type="dxa"/>
            </w:tcMar>
            <w:vAlign w:val="top"/>
          </w:tcPr>
          <w:p>
            <w:pPr>
              <w:spacing w:after="20" w:line="240" w:lineRule="auto"/>
            </w:pPr>
            <w:r>
              <w:rPr>
                <w:sz w:val="15"/>
              </w:rPr>
              <w:t>Primary training set for anomaly detection, fault-family classification, and candidate-service ranking. It is the only source that can validate your recovery workflow end-to-end.</w:t>
            </w:r>
          </w:p>
        </w:tc>
        <w:tc>
          <w:tcPr>
            <w:tcW w:type="dxa" w:w="3024"/>
            <w:tcMar>
              <w:top w:w="85" w:type="dxa"/>
              <w:start w:w="90" w:type="dxa"/>
              <w:bottom w:w="85" w:type="dxa"/>
              <w:end w:w="90" w:type="dxa"/>
            </w:tcMar>
            <w:vAlign w:val="top"/>
          </w:tcPr>
          <w:p>
            <w:pPr>
              <w:spacing w:after="20" w:line="240" w:lineRule="auto"/>
            </w:pPr>
            <w:r>
              <w:rPr>
                <w:sz w:val="15"/>
              </w:rPr>
              <w:t>Ground-truth labels must come from the experiment manifest, not from model-visible features. Repetitions must vary load, target service and run/session.</w:t>
            </w:r>
          </w:p>
        </w:tc>
      </w:tr>
      <w:tr>
        <w:tc>
          <w:tcPr>
            <w:tcW w:type="dxa" w:w="1800"/>
            <w:tcMar>
              <w:top w:w="85" w:type="dxa"/>
              <w:start w:w="90" w:type="dxa"/>
              <w:bottom w:w="85" w:type="dxa"/>
              <w:end w:w="90" w:type="dxa"/>
            </w:tcMar>
            <w:vAlign w:val="top"/>
            <w:shd w:fill="F3F6FA"/>
          </w:tcPr>
          <w:p>
            <w:pPr>
              <w:spacing w:after="20" w:line="240" w:lineRule="auto"/>
            </w:pPr>
            <w:r>
              <w:rPr>
                <w:sz w:val="15"/>
              </w:rPr>
              <w:t>RCAEval (primary public benchmark)</w:t>
            </w:r>
          </w:p>
        </w:tc>
        <w:tc>
          <w:tcPr>
            <w:tcW w:type="dxa" w:w="3528"/>
            <w:tcMar>
              <w:top w:w="85" w:type="dxa"/>
              <w:start w:w="90" w:type="dxa"/>
              <w:bottom w:w="85" w:type="dxa"/>
              <w:end w:w="90" w:type="dxa"/>
            </w:tcMar>
            <w:vAlign w:val="top"/>
            <w:shd w:fill="F3F6FA"/>
          </w:tcPr>
          <w:p>
            <w:pPr>
              <w:spacing w:after="20" w:line="240" w:lineRule="auto"/>
            </w:pPr>
            <w:r>
              <w:rPr>
                <w:sz w:val="15"/>
              </w:rPr>
              <w:t>735 cases from Online Boutique, Sock Shop and Train Ticket; 11 fault types. RE1: 375 metric-only cases; RE2: 270 multi-source cases; RE3: 90 code-level cases. Root-cause services and indicators are annotated. [1][2]</w:t>
            </w:r>
          </w:p>
        </w:tc>
        <w:tc>
          <w:tcPr>
            <w:tcW w:type="dxa" w:w="2952"/>
            <w:tcMar>
              <w:top w:w="85" w:type="dxa"/>
              <w:start w:w="90" w:type="dxa"/>
              <w:bottom w:w="85" w:type="dxa"/>
              <w:end w:w="90" w:type="dxa"/>
            </w:tcMar>
            <w:vAlign w:val="top"/>
            <w:shd w:fill="F3F6FA"/>
          </w:tcPr>
          <w:p>
            <w:pPr>
              <w:spacing w:after="20" w:line="240" w:lineRule="auto"/>
            </w:pPr>
            <w:r>
              <w:rPr>
                <w:sz w:val="15"/>
              </w:rPr>
              <w:t>Compare root-cause ranking to published baseline methods; study metric-only vs multi-source telemetry; optional external training after feature normalization.</w:t>
            </w:r>
          </w:p>
        </w:tc>
        <w:tc>
          <w:tcPr>
            <w:tcW w:type="dxa" w:w="3024"/>
            <w:tcMar>
              <w:top w:w="85" w:type="dxa"/>
              <w:start w:w="90" w:type="dxa"/>
              <w:bottom w:w="85" w:type="dxa"/>
              <w:end w:w="90" w:type="dxa"/>
            </w:tcMar>
            <w:vAlign w:val="top"/>
            <w:shd w:fill="F3F6FA"/>
          </w:tcPr>
          <w:p>
            <w:pPr>
              <w:spacing w:after="20" w:line="240" w:lineRule="auto"/>
            </w:pPr>
            <w:r>
              <w:rPr>
                <w:sz w:val="15"/>
              </w:rPr>
              <w:t>Case-level benchmark, not a ready-made flat supervised CSV for your feature schema. Full HF Parquet release is about 3.4 GB; original archives expand to around 38 GB. Start with one suite.</w:t>
            </w:r>
          </w:p>
        </w:tc>
      </w:tr>
      <w:tr>
        <w:tc>
          <w:tcPr>
            <w:tcW w:type="dxa" w:w="1800"/>
            <w:tcMar>
              <w:top w:w="85" w:type="dxa"/>
              <w:start w:w="90" w:type="dxa"/>
              <w:bottom w:w="85" w:type="dxa"/>
              <w:end w:w="90" w:type="dxa"/>
            </w:tcMar>
            <w:vAlign w:val="top"/>
          </w:tcPr>
          <w:p>
            <w:pPr>
              <w:spacing w:after="20" w:line="240" w:lineRule="auto"/>
            </w:pPr>
            <w:r>
              <w:rPr>
                <w:sz w:val="15"/>
              </w:rPr>
              <w:t>GAIA / MicroSS</w:t>
            </w:r>
          </w:p>
        </w:tc>
        <w:tc>
          <w:tcPr>
            <w:tcW w:type="dxa" w:w="3528"/>
            <w:tcMar>
              <w:top w:w="85" w:type="dxa"/>
              <w:start w:w="90" w:type="dxa"/>
              <w:bottom w:w="85" w:type="dxa"/>
              <w:end w:w="90" w:type="dxa"/>
            </w:tcMar>
            <w:vAlign w:val="top"/>
          </w:tcPr>
          <w:p>
            <w:pPr>
              <w:spacing w:after="20" w:line="240" w:lineRule="auto"/>
            </w:pPr>
            <w:r>
              <w:rPr>
                <w:sz w:val="15"/>
              </w:rPr>
              <w:t>AIOps dataset with more than 6,500 metrics, about 7 million log items and traces from a two-week scenario, with anomaly injection records; later versions add another month of data and middleware such as Redis/MySQL/ZooKeeper. [3]</w:t>
            </w:r>
          </w:p>
        </w:tc>
        <w:tc>
          <w:tcPr>
            <w:tcW w:type="dxa" w:w="2952"/>
            <w:tcMar>
              <w:top w:w="85" w:type="dxa"/>
              <w:start w:w="90" w:type="dxa"/>
              <w:bottom w:w="85" w:type="dxa"/>
              <w:end w:w="90" w:type="dxa"/>
            </w:tcMar>
            <w:vAlign w:val="top"/>
          </w:tcPr>
          <w:p>
            <w:pPr>
              <w:spacing w:after="20" w:line="240" w:lineRule="auto"/>
            </w:pPr>
            <w:r>
              <w:rPr>
                <w:sz w:val="15"/>
              </w:rPr>
              <w:t>Optional external robustness check for temporal metrics, logs, and anomaly signals.</w:t>
            </w:r>
          </w:p>
        </w:tc>
        <w:tc>
          <w:tcPr>
            <w:tcW w:type="dxa" w:w="3024"/>
            <w:tcMar>
              <w:top w:w="85" w:type="dxa"/>
              <w:start w:w="90" w:type="dxa"/>
              <w:bottom w:w="85" w:type="dxa"/>
              <w:end w:w="90" w:type="dxa"/>
            </w:tcMar>
            <w:vAlign w:val="top"/>
          </w:tcPr>
          <w:p>
            <w:pPr>
              <w:spacing w:after="20" w:line="240" w:lineRule="auto"/>
            </w:pPr>
            <w:r>
              <w:rPr>
                <w:sz w:val="15"/>
              </w:rPr>
              <w:t>Older, different application and schema; more normalization effort. Repository displays GPL-2.0; inspect included dataset/provenance terms before redistributing.</w:t>
            </w:r>
          </w:p>
        </w:tc>
      </w:tr>
      <w:tr>
        <w:tc>
          <w:tcPr>
            <w:tcW w:type="dxa" w:w="1800"/>
            <w:tcMar>
              <w:top w:w="85" w:type="dxa"/>
              <w:start w:w="90" w:type="dxa"/>
              <w:bottom w:w="85" w:type="dxa"/>
              <w:end w:w="90" w:type="dxa"/>
            </w:tcMar>
            <w:vAlign w:val="top"/>
            <w:shd w:fill="F3F6FA"/>
          </w:tcPr>
          <w:p>
            <w:pPr>
              <w:spacing w:after="20" w:line="240" w:lineRule="auto"/>
            </w:pPr>
            <w:r>
              <w:rPr>
                <w:sz w:val="15"/>
              </w:rPr>
              <w:t>LatentScope Dataset B</w:t>
            </w:r>
          </w:p>
        </w:tc>
        <w:tc>
          <w:tcPr>
            <w:tcW w:type="dxa" w:w="3528"/>
            <w:tcMar>
              <w:top w:w="85" w:type="dxa"/>
              <w:start w:w="90" w:type="dxa"/>
              <w:bottom w:w="85" w:type="dxa"/>
              <w:end w:w="90" w:type="dxa"/>
            </w:tcMar>
            <w:vAlign w:val="top"/>
            <w:shd w:fill="F3F6FA"/>
          </w:tcPr>
          <w:p>
            <w:pPr>
              <w:spacing w:after="20" w:line="240" w:lineRule="auto"/>
            </w:pPr>
            <w:r>
              <w:rPr>
                <w:sz w:val="15"/>
              </w:rPr>
              <w:t>Metrics and root-cause-candidate/dependency graph artefacts for intervention-recognition RCA; code and Dataset B are published with Apache-2.0 in the repository. [4]</w:t>
            </w:r>
          </w:p>
        </w:tc>
        <w:tc>
          <w:tcPr>
            <w:tcW w:type="dxa" w:w="2952"/>
            <w:tcMar>
              <w:top w:w="85" w:type="dxa"/>
              <w:start w:w="90" w:type="dxa"/>
              <w:bottom w:w="85" w:type="dxa"/>
              <w:end w:w="90" w:type="dxa"/>
            </w:tcMar>
            <w:vAlign w:val="top"/>
            <w:shd w:fill="F3F6FA"/>
          </w:tcPr>
          <w:p>
            <w:pPr>
              <w:spacing w:after="20" w:line="240" w:lineRule="auto"/>
            </w:pPr>
            <w:r>
              <w:rPr>
                <w:sz w:val="15"/>
              </w:rPr>
              <w:t>Optional comparison for graph- and metric-aware root-cause methods.</w:t>
            </w:r>
          </w:p>
        </w:tc>
        <w:tc>
          <w:tcPr>
            <w:tcW w:type="dxa" w:w="3024"/>
            <w:tcMar>
              <w:top w:w="85" w:type="dxa"/>
              <w:start w:w="90" w:type="dxa"/>
              <w:bottom w:w="85" w:type="dxa"/>
              <w:end w:w="90" w:type="dxa"/>
            </w:tcMar>
            <w:vAlign w:val="top"/>
            <w:shd w:fill="F3F6FA"/>
          </w:tcPr>
          <w:p>
            <w:pPr>
              <w:spacing w:after="20" w:line="240" w:lineRule="auto"/>
            </w:pPr>
            <w:r>
              <w:rPr>
                <w:sz w:val="15"/>
              </w:rPr>
              <w:t>The repository README describes a legacy Python requirement (`&gt;=3.9,&lt;3.11`); use a separate environment if reproducing the implementation. Not needed for the main training kit.</w:t>
            </w:r>
          </w:p>
        </w:tc>
      </w:tr>
      <w:tr>
        <w:tc>
          <w:tcPr>
            <w:tcW w:type="dxa" w:w="1800"/>
            <w:tcMar>
              <w:top w:w="85" w:type="dxa"/>
              <w:start w:w="90" w:type="dxa"/>
              <w:bottom w:w="85" w:type="dxa"/>
              <w:end w:w="90" w:type="dxa"/>
            </w:tcMar>
            <w:vAlign w:val="top"/>
          </w:tcPr>
          <w:p>
            <w:pPr>
              <w:spacing w:after="20" w:line="240" w:lineRule="auto"/>
            </w:pPr>
            <w:r>
              <w:rPr>
                <w:sz w:val="15"/>
              </w:rPr>
              <w:t>Loghub</w:t>
            </w:r>
          </w:p>
        </w:tc>
        <w:tc>
          <w:tcPr>
            <w:tcW w:type="dxa" w:w="3528"/>
            <w:tcMar>
              <w:top w:w="85" w:type="dxa"/>
              <w:start w:w="90" w:type="dxa"/>
              <w:bottom w:w="85" w:type="dxa"/>
              <w:end w:w="90" w:type="dxa"/>
            </w:tcMar>
            <w:vAlign w:val="top"/>
          </w:tcPr>
          <w:p>
            <w:pPr>
              <w:spacing w:after="20" w:line="240" w:lineRule="auto"/>
            </w:pPr>
            <w:r>
              <w:rPr>
                <w:sz w:val="15"/>
              </w:rPr>
              <w:t>A collection of log datasets; for example, HDFS_v1 is labelled and lists 11,175,629 lines / 1.47 GiB, and OpenStack lists 207,820 lines / 58.61 MiB. [5]</w:t>
            </w:r>
          </w:p>
        </w:tc>
        <w:tc>
          <w:tcPr>
            <w:tcW w:type="dxa" w:w="2952"/>
            <w:tcMar>
              <w:top w:w="85" w:type="dxa"/>
              <w:start w:w="90" w:type="dxa"/>
              <w:bottom w:w="85" w:type="dxa"/>
              <w:end w:w="90" w:type="dxa"/>
            </w:tcMar>
            <w:vAlign w:val="top"/>
          </w:tcPr>
          <w:p>
            <w:pPr>
              <w:spacing w:after="20" w:line="240" w:lineRule="auto"/>
            </w:pPr>
            <w:r>
              <w:rPr>
                <w:sz w:val="15"/>
              </w:rPr>
              <w:t>Optional evaluation of log parsing/anomaly methods or demonstration of template extraction.</w:t>
            </w:r>
          </w:p>
        </w:tc>
        <w:tc>
          <w:tcPr>
            <w:tcW w:type="dxa" w:w="3024"/>
            <w:tcMar>
              <w:top w:w="85" w:type="dxa"/>
              <w:start w:w="90" w:type="dxa"/>
              <w:bottom w:w="85" w:type="dxa"/>
              <w:end w:w="90" w:type="dxa"/>
            </w:tcMar>
            <w:vAlign w:val="top"/>
          </w:tcPr>
          <w:p>
            <w:pPr>
              <w:spacing w:after="20" w:line="240" w:lineRule="auto"/>
            </w:pPr>
            <w:r>
              <w:rPr>
                <w:sz w:val="15"/>
              </w:rPr>
              <w:t>Not an end-to-end labelled dataset for root-cause services in this web application. Do not use its labels as AutoHeal fault-family labels.</w:t>
            </w:r>
          </w:p>
        </w:tc>
      </w:tr>
    </w:tbl>
    <w:p>
      <w:pPr>
        <w:spacing w:after="0"/>
      </w:pPr>
    </w:p>
    <w:p>
      <w:pPr>
        <w:pStyle w:val="Heading1"/>
      </w:pPr>
      <w:r>
        <w:t>3. Recommended public data: RCAEval</w:t>
      </w:r>
    </w:p>
    <w:p>
      <w:r>
        <w:t>RCAEval is the best starting public benchmark because it targets root-cause analysis (RCA) in microservice systems, provides annotated root-cause service and root-cause indicators, and contains reproducible methods. The public repository lists metric-only, trace-based and multi-source approaches including BARO and multi-source BARO. Use it to ensure that your root-cause evaluation is grounded in an established benchmark rather than inventing all evaluation data yourself. [1][2]</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152"/>
            <w:shd w:fill="17365D"/>
            <w:tcMar>
              <w:top w:w="85" w:type="dxa"/>
              <w:start w:w="90" w:type="dxa"/>
              <w:bottom w:w="85" w:type="dxa"/>
              <w:end w:w="90" w:type="dxa"/>
            </w:tcMar>
            <w:vAlign w:val="center"/>
          </w:tcPr>
          <w:p>
            <w:pPr>
              <w:spacing w:after="0"/>
            </w:pPr>
            <w:r>
              <w:rPr>
                <w:b/>
                <w:color w:val="FFFFFF"/>
                <w:sz w:val="16"/>
              </w:rPr>
              <w:t>Suite</w:t>
            </w:r>
          </w:p>
        </w:tc>
        <w:tc>
          <w:tcPr>
            <w:tcW w:type="dxa" w:w="1224"/>
            <w:shd w:fill="17365D"/>
            <w:tcMar>
              <w:top w:w="85" w:type="dxa"/>
              <w:start w:w="90" w:type="dxa"/>
              <w:bottom w:w="85" w:type="dxa"/>
              <w:end w:w="90" w:type="dxa"/>
            </w:tcMar>
            <w:vAlign w:val="center"/>
          </w:tcPr>
          <w:p>
            <w:pPr>
              <w:spacing w:after="0"/>
            </w:pPr>
            <w:r>
              <w:rPr>
                <w:b/>
                <w:color w:val="FFFFFF"/>
                <w:sz w:val="16"/>
              </w:rPr>
              <w:t>Cases</w:t>
            </w:r>
          </w:p>
        </w:tc>
        <w:tc>
          <w:tcPr>
            <w:tcW w:type="dxa" w:w="2160"/>
            <w:shd w:fill="17365D"/>
            <w:tcMar>
              <w:top w:w="85" w:type="dxa"/>
              <w:start w:w="90" w:type="dxa"/>
              <w:bottom w:w="85" w:type="dxa"/>
              <w:end w:w="90" w:type="dxa"/>
            </w:tcMar>
            <w:vAlign w:val="center"/>
          </w:tcPr>
          <w:p>
            <w:pPr>
              <w:spacing w:after="0"/>
            </w:pPr>
            <w:r>
              <w:rPr>
                <w:b/>
                <w:color w:val="FFFFFF"/>
                <w:sz w:val="16"/>
              </w:rPr>
              <w:t>Modalities</w:t>
            </w:r>
          </w:p>
        </w:tc>
        <w:tc>
          <w:tcPr>
            <w:tcW w:type="dxa" w:w="3456"/>
            <w:shd w:fill="17365D"/>
            <w:tcMar>
              <w:top w:w="85" w:type="dxa"/>
              <w:start w:w="90" w:type="dxa"/>
              <w:bottom w:w="85" w:type="dxa"/>
              <w:end w:w="90" w:type="dxa"/>
            </w:tcMar>
            <w:vAlign w:val="center"/>
          </w:tcPr>
          <w:p>
            <w:pPr>
              <w:spacing w:after="0"/>
            </w:pPr>
            <w:r>
              <w:rPr>
                <w:b/>
                <w:color w:val="FFFFFF"/>
                <w:sz w:val="16"/>
              </w:rPr>
              <w:t>Faults / purpose</w:t>
            </w:r>
          </w:p>
        </w:tc>
        <w:tc>
          <w:tcPr>
            <w:tcW w:type="dxa" w:w="3816"/>
            <w:shd w:fill="17365D"/>
            <w:tcMar>
              <w:top w:w="85" w:type="dxa"/>
              <w:start w:w="90" w:type="dxa"/>
              <w:bottom w:w="85" w:type="dxa"/>
              <w:end w:w="90" w:type="dxa"/>
            </w:tcMar>
            <w:vAlign w:val="center"/>
          </w:tcPr>
          <w:p>
            <w:pPr>
              <w:spacing w:after="0"/>
            </w:pPr>
            <w:r>
              <w:rPr>
                <w:b/>
                <w:color w:val="FFFFFF"/>
                <w:sz w:val="16"/>
              </w:rPr>
              <w:t>Recommended action</w:t>
            </w:r>
          </w:p>
        </w:tc>
      </w:tr>
      <w:tr>
        <w:tc>
          <w:tcPr>
            <w:tcW w:type="dxa" w:w="1152"/>
            <w:tcMar>
              <w:top w:w="85" w:type="dxa"/>
              <w:start w:w="90" w:type="dxa"/>
              <w:bottom w:w="85" w:type="dxa"/>
              <w:end w:w="90" w:type="dxa"/>
            </w:tcMar>
            <w:vAlign w:val="top"/>
          </w:tcPr>
          <w:p>
            <w:pPr>
              <w:spacing w:after="20" w:line="240" w:lineRule="auto"/>
            </w:pPr>
            <w:r>
              <w:rPr>
                <w:sz w:val="16"/>
              </w:rPr>
              <w:t>RE1</w:t>
            </w:r>
          </w:p>
        </w:tc>
        <w:tc>
          <w:tcPr>
            <w:tcW w:type="dxa" w:w="1224"/>
            <w:tcMar>
              <w:top w:w="85" w:type="dxa"/>
              <w:start w:w="90" w:type="dxa"/>
              <w:bottom w:w="85" w:type="dxa"/>
              <w:end w:w="90" w:type="dxa"/>
            </w:tcMar>
            <w:vAlign w:val="top"/>
          </w:tcPr>
          <w:p>
            <w:pPr>
              <w:spacing w:after="20" w:line="240" w:lineRule="auto"/>
            </w:pPr>
            <w:r>
              <w:rPr>
                <w:sz w:val="16"/>
              </w:rPr>
              <w:t>375 total (125 per system)</w:t>
            </w:r>
          </w:p>
        </w:tc>
        <w:tc>
          <w:tcPr>
            <w:tcW w:type="dxa" w:w="2160"/>
            <w:tcMar>
              <w:top w:w="85" w:type="dxa"/>
              <w:start w:w="90" w:type="dxa"/>
              <w:bottom w:w="85" w:type="dxa"/>
              <w:end w:w="90" w:type="dxa"/>
            </w:tcMar>
            <w:vAlign w:val="top"/>
          </w:tcPr>
          <w:p>
            <w:pPr>
              <w:spacing w:after="20" w:line="240" w:lineRule="auto"/>
            </w:pPr>
            <w:r>
              <w:rPr>
                <w:sz w:val="16"/>
              </w:rPr>
              <w:t>Metrics</w:t>
            </w:r>
          </w:p>
        </w:tc>
        <w:tc>
          <w:tcPr>
            <w:tcW w:type="dxa" w:w="3456"/>
            <w:tcMar>
              <w:top w:w="85" w:type="dxa"/>
              <w:start w:w="90" w:type="dxa"/>
              <w:bottom w:w="85" w:type="dxa"/>
              <w:end w:w="90" w:type="dxa"/>
            </w:tcMar>
            <w:vAlign w:val="top"/>
          </w:tcPr>
          <w:p>
            <w:pPr>
              <w:spacing w:after="20" w:line="240" w:lineRule="auto"/>
            </w:pPr>
            <w:r>
              <w:rPr>
                <w:sz w:val="16"/>
              </w:rPr>
              <w:t>CPU, memory, disk, delay, loss.</w:t>
            </w:r>
          </w:p>
        </w:tc>
        <w:tc>
          <w:tcPr>
            <w:tcW w:type="dxa" w:w="3816"/>
            <w:tcMar>
              <w:top w:w="85" w:type="dxa"/>
              <w:start w:w="90" w:type="dxa"/>
              <w:bottom w:w="85" w:type="dxa"/>
              <w:end w:w="90" w:type="dxa"/>
            </w:tcMar>
            <w:vAlign w:val="top"/>
          </w:tcPr>
          <w:p>
            <w:pPr>
              <w:spacing w:after="20" w:line="240" w:lineRule="auto"/>
            </w:pPr>
            <w:r>
              <w:rPr>
                <w:sz w:val="16"/>
              </w:rPr>
              <w:t>Start here to check feature/window data handling and metric-only RCA baselines.</w:t>
            </w:r>
          </w:p>
        </w:tc>
      </w:tr>
      <w:tr>
        <w:tc>
          <w:tcPr>
            <w:tcW w:type="dxa" w:w="1152"/>
            <w:tcMar>
              <w:top w:w="85" w:type="dxa"/>
              <w:start w:w="90" w:type="dxa"/>
              <w:bottom w:w="85" w:type="dxa"/>
              <w:end w:w="90" w:type="dxa"/>
            </w:tcMar>
            <w:vAlign w:val="top"/>
            <w:shd w:fill="F3F6FA"/>
          </w:tcPr>
          <w:p>
            <w:pPr>
              <w:spacing w:after="20" w:line="240" w:lineRule="auto"/>
            </w:pPr>
            <w:r>
              <w:rPr>
                <w:sz w:val="16"/>
              </w:rPr>
              <w:t>RE2</w:t>
            </w:r>
          </w:p>
        </w:tc>
        <w:tc>
          <w:tcPr>
            <w:tcW w:type="dxa" w:w="1224"/>
            <w:tcMar>
              <w:top w:w="85" w:type="dxa"/>
              <w:start w:w="90" w:type="dxa"/>
              <w:bottom w:w="85" w:type="dxa"/>
              <w:end w:w="90" w:type="dxa"/>
            </w:tcMar>
            <w:vAlign w:val="top"/>
            <w:shd w:fill="F3F6FA"/>
          </w:tcPr>
          <w:p>
            <w:pPr>
              <w:spacing w:after="20" w:line="240" w:lineRule="auto"/>
            </w:pPr>
            <w:r>
              <w:rPr>
                <w:sz w:val="16"/>
              </w:rPr>
              <w:t>270 total (90 per system)</w:t>
            </w:r>
          </w:p>
        </w:tc>
        <w:tc>
          <w:tcPr>
            <w:tcW w:type="dxa" w:w="2160"/>
            <w:tcMar>
              <w:top w:w="85" w:type="dxa"/>
              <w:start w:w="90" w:type="dxa"/>
              <w:bottom w:w="85" w:type="dxa"/>
              <w:end w:w="90" w:type="dxa"/>
            </w:tcMar>
            <w:vAlign w:val="top"/>
            <w:shd w:fill="F3F6FA"/>
          </w:tcPr>
          <w:p>
            <w:pPr>
              <w:spacing w:after="20" w:line="240" w:lineRule="auto"/>
            </w:pPr>
            <w:r>
              <w:rPr>
                <w:sz w:val="16"/>
              </w:rPr>
              <w:t>Metrics + logs + traces where provided</w:t>
            </w:r>
          </w:p>
        </w:tc>
        <w:tc>
          <w:tcPr>
            <w:tcW w:type="dxa" w:w="3456"/>
            <w:tcMar>
              <w:top w:w="85" w:type="dxa"/>
              <w:start w:w="90" w:type="dxa"/>
              <w:bottom w:w="85" w:type="dxa"/>
              <w:end w:w="90" w:type="dxa"/>
            </w:tcMar>
            <w:vAlign w:val="top"/>
            <w:shd w:fill="F3F6FA"/>
          </w:tcPr>
          <w:p>
            <w:pPr>
              <w:spacing w:after="20" w:line="240" w:lineRule="auto"/>
            </w:pPr>
            <w:r>
              <w:rPr>
                <w:sz w:val="16"/>
              </w:rPr>
              <w:t>Adds socket faults; main multi-source fault diagnosis benchmark.</w:t>
            </w:r>
          </w:p>
        </w:tc>
        <w:tc>
          <w:tcPr>
            <w:tcW w:type="dxa" w:w="3816"/>
            <w:tcMar>
              <w:top w:w="85" w:type="dxa"/>
              <w:start w:w="90" w:type="dxa"/>
              <w:bottom w:w="85" w:type="dxa"/>
              <w:end w:w="90" w:type="dxa"/>
            </w:tcMar>
            <w:vAlign w:val="top"/>
            <w:shd w:fill="F3F6FA"/>
          </w:tcPr>
          <w:p>
            <w:pPr>
              <w:spacing w:after="20" w:line="240" w:lineRule="auto"/>
            </w:pPr>
            <w:r>
              <w:rPr>
                <w:sz w:val="16"/>
              </w:rPr>
              <w:t>Use a selected system/suite (e.g. RE2-OB) after RE1, and compare multi-source BARO.</w:t>
            </w:r>
          </w:p>
        </w:tc>
      </w:tr>
      <w:tr>
        <w:tc>
          <w:tcPr>
            <w:tcW w:type="dxa" w:w="1152"/>
            <w:tcMar>
              <w:top w:w="85" w:type="dxa"/>
              <w:start w:w="90" w:type="dxa"/>
              <w:bottom w:w="85" w:type="dxa"/>
              <w:end w:w="90" w:type="dxa"/>
            </w:tcMar>
            <w:vAlign w:val="top"/>
          </w:tcPr>
          <w:p>
            <w:pPr>
              <w:spacing w:after="20" w:line="240" w:lineRule="auto"/>
            </w:pPr>
            <w:r>
              <w:rPr>
                <w:sz w:val="16"/>
              </w:rPr>
              <w:t>RE3</w:t>
            </w:r>
          </w:p>
        </w:tc>
        <w:tc>
          <w:tcPr>
            <w:tcW w:type="dxa" w:w="1224"/>
            <w:tcMar>
              <w:top w:w="85" w:type="dxa"/>
              <w:start w:w="90" w:type="dxa"/>
              <w:bottom w:w="85" w:type="dxa"/>
              <w:end w:w="90" w:type="dxa"/>
            </w:tcMar>
            <w:vAlign w:val="top"/>
          </w:tcPr>
          <w:p>
            <w:pPr>
              <w:spacing w:after="20" w:line="240" w:lineRule="auto"/>
            </w:pPr>
            <w:r>
              <w:rPr>
                <w:sz w:val="16"/>
              </w:rPr>
              <w:t>90 total</w:t>
            </w:r>
          </w:p>
        </w:tc>
        <w:tc>
          <w:tcPr>
            <w:tcW w:type="dxa" w:w="2160"/>
            <w:tcMar>
              <w:top w:w="85" w:type="dxa"/>
              <w:start w:w="90" w:type="dxa"/>
              <w:bottom w:w="85" w:type="dxa"/>
              <w:end w:w="90" w:type="dxa"/>
            </w:tcMar>
            <w:vAlign w:val="top"/>
          </w:tcPr>
          <w:p>
            <w:pPr>
              <w:spacing w:after="20" w:line="240" w:lineRule="auto"/>
            </w:pPr>
            <w:r>
              <w:rPr>
                <w:sz w:val="16"/>
              </w:rPr>
              <w:t>Metrics + logs + traces where provided</w:t>
            </w:r>
          </w:p>
        </w:tc>
        <w:tc>
          <w:tcPr>
            <w:tcW w:type="dxa" w:w="3456"/>
            <w:tcMar>
              <w:top w:w="85" w:type="dxa"/>
              <w:start w:w="90" w:type="dxa"/>
              <w:bottom w:w="85" w:type="dxa"/>
              <w:end w:w="90" w:type="dxa"/>
            </w:tcMar>
            <w:vAlign w:val="top"/>
          </w:tcPr>
          <w:p>
            <w:pPr>
              <w:spacing w:after="20" w:line="240" w:lineRule="auto"/>
            </w:pPr>
            <w:r>
              <w:rPr>
                <w:sz w:val="16"/>
              </w:rPr>
              <w:t>Code-level faults with log/trace evidence such as errors and stack traces.</w:t>
            </w:r>
          </w:p>
        </w:tc>
        <w:tc>
          <w:tcPr>
            <w:tcW w:type="dxa" w:w="3816"/>
            <w:tcMar>
              <w:top w:w="85" w:type="dxa"/>
              <w:start w:w="90" w:type="dxa"/>
              <w:bottom w:w="85" w:type="dxa"/>
              <w:end w:w="90" w:type="dxa"/>
            </w:tcMar>
            <w:vAlign w:val="top"/>
          </w:tcPr>
          <w:p>
            <w:pPr>
              <w:spacing w:after="20" w:line="240" w:lineRule="auto"/>
            </w:pPr>
            <w:r>
              <w:rPr>
                <w:sz w:val="16"/>
              </w:rPr>
              <w:t>Optional extension for diagnosis of code-level failures; not required for first model.</w:t>
            </w:r>
          </w:p>
        </w:tc>
      </w:tr>
    </w:tbl>
    <w:p>
      <w:pPr>
        <w:spacing w:after="0"/>
      </w:pPr>
    </w:p>
    <w:p>
      <w:pPr>
        <w:pStyle w:val="Heading2"/>
      </w:pPr>
      <w:r>
        <w:t>3.1 How to download a subset</w:t>
      </w:r>
    </w:p>
    <w:p>
      <w:r>
        <w:t>The current RCAEval project recommends the Hugging Face Parquet dataset for selective download. You do not need every case on day one. The kit contains `scripts/download_rcaeval.py`; after installing its requirements, run:</w:t>
      </w:r>
    </w:p>
    <w:tbl>
      <w:tblPr>
        <w:tblW w:type="auto" w:w="0"/>
        <w:jc w:val="center"/>
        <w:tblLook w:firstColumn="1" w:firstRow="1" w:lastColumn="0" w:lastRow="0" w:noHBand="0" w:noVBand="1" w:val="04A0"/>
      </w:tblPr>
      <w:tblGrid>
        <w:gridCol w:w="10080"/>
      </w:tblGrid>
      <w:tr>
        <w:tc>
          <w:tcPr>
            <w:tcW w:type="dxa" w:w="10080"/>
            <w:shd w:fill="F2F5F8"/>
            <w:tcMar>
              <w:top w:w="120" w:type="dxa"/>
              <w:start w:w="140" w:type="dxa"/>
              <w:bottom w:w="120" w:type="dxa"/>
              <w:end w:w="140" w:type="dxa"/>
            </w:tcMar>
          </w:tcPr>
          <w:p>
            <w:pPr>
              <w:spacing w:after="0" w:line="240" w:lineRule="auto"/>
            </w:pPr>
            <w:r>
              <w:rPr>
                <w:rFonts w:ascii="Consolas" w:hAnsi="Consolas" w:eastAsia="Consolas"/>
                <w:sz w:val="16"/>
              </w:rPr>
              <w:t>python scripts/download_rcaeval.py --suite re1</w:t>
              <w:br/>
              <w:t># Later, for metrics + logs/traces where available:</w:t>
              <w:br/>
              <w:t>python scripts/download_rcaeval.py --suite re2</w:t>
            </w:r>
          </w:p>
        </w:tc>
      </w:tr>
    </w:tbl>
    <w:p>
      <w:pPr>
        <w:spacing w:after="0"/>
      </w:pPr>
    </w:p>
    <w:p>
      <w:r>
        <w:t>Official sources: GitHub https://github.com/phamquiluan/RCAEval ; Hugging Face https://huggingface.co/datasets/phamquiluan/RCAEval ; Zenodo DOI https://doi.org/10.5281/zenodo.14590730 . The Hugging Face index `cases.parquet` can be used to inspect labels and telemetry sizes before fetching large payloads. [1][2]</w:t>
      </w:r>
    </w:p>
    <w:p>
      <w:pPr>
        <w:pStyle w:val="Heading2"/>
      </w:pPr>
      <w:r>
        <w:t>3.2 How RCAEval fits your models</w:t>
      </w:r>
    </w:p>
    <w:p>
      <w:pPr>
        <w:pStyle w:val="ListBullet"/>
        <w:spacing w:after="40"/>
      </w:pPr>
      <w:r>
        <w:t>For public benchmarking, first run the benchmark’s own baselines with its recommended environment and protocol. For example, the repository documents `python main.py --method baro --dataset re2-tt` and multi-source calls such as `python main.py --method mmbaro --dataset re2-ob`. Verify options with `python main.py --help` after cloning because the repository continues to evolve. [1]</w:t>
      </w:r>
    </w:p>
    <w:p>
      <w:pPr>
        <w:pStyle w:val="ListBullet"/>
        <w:spacing w:after="40"/>
      </w:pPr>
      <w:r>
        <w:t>If training an AutoHeal classifier from RCAEval, read each case’s metrics and (where present) logs/traces, align to the case’s documented fault-injection/diagnosis time, compute the common features using only data available by that time, and use `root_cause_service` / fault type as targets. Do not feed case name, fault name from the manifest, injection marker, root-cause label or future data into features.</w:t>
      </w:r>
    </w:p>
    <w:p>
      <w:pPr>
        <w:pStyle w:val="ListBullet"/>
        <w:spacing w:after="40"/>
      </w:pPr>
      <w:r>
        <w:t>Keep public train/test and custom application results distinct. A model that performs well on Online Boutique is not automatically proven to generalize to your Spring Boot/Node.js service topology. Report same-system results and a leave-one-system-out result when feasible.</w:t>
      </w:r>
    </w:p>
    <w:tbl>
      <w:tblPr>
        <w:tblW w:type="auto" w:w="0"/>
        <w:tblLook w:firstColumn="1" w:firstRow="1" w:lastColumn="0" w:lastRow="0" w:noHBand="0" w:noVBand="1" w:val="04A0"/>
      </w:tblPr>
      <w:tblGrid>
        <w:gridCol w:w="10080"/>
      </w:tblGrid>
      <w:tr>
        <w:tc>
          <w:tcPr>
            <w:tcW w:type="dxa" w:w="10080"/>
            <w:shd w:fill="FFF2CC"/>
            <w:tcMar>
              <w:top w:w="130" w:type="dxa"/>
              <w:start w:w="150" w:type="dxa"/>
              <w:bottom w:w="130" w:type="dxa"/>
              <w:end w:w="150" w:type="dxa"/>
            </w:tcMar>
          </w:tcPr>
          <w:p>
            <w:pPr>
              <w:spacing w:after="60"/>
            </w:pPr>
            <w:r>
              <w:rPr>
                <w:b/>
                <w:color w:val="17365D"/>
                <w:sz w:val="20"/>
              </w:rPr>
              <w:t>Do not blindly combine datasets</w:t>
            </w:r>
          </w:p>
          <w:p>
            <w:pPr>
              <w:spacing w:after="0"/>
            </w:pPr>
            <w:r>
              <w:t>RCAEval, GAIA, Loghub and your custom app use different systems, telemetry names, sampling intervals, fault definitions and labels. First define a feature mapping and compare the distributions. If a feature does not exist in a source, mark it missing and use a documented train-only imputation strategy or exclude that modality consistently; do not fill it with made-up normal values.</w:t>
            </w:r>
          </w:p>
        </w:tc>
      </w:tr>
    </w:tbl>
    <w:p>
      <w:pPr>
        <w:spacing w:after="0"/>
      </w:pPr>
    </w:p>
    <w:p>
      <w:pPr>
        <w:pStyle w:val="Heading1"/>
      </w:pPr>
      <w:r>
        <w:t>4. Build the primary training dataset from AutoHeal AI</w:t>
      </w:r>
    </w:p>
    <w:p>
      <w:r>
        <w:t>The custom dataset is mandatory because it connects diagnoses to the actual actions and outcomes in your project. Public RCA datasets often tell you the correct root service, but they generally do not provide the action-counterfactuals required to train an action selector for your exact deployment. The first version should not train an action selector at all: use an explicit policy table and log real recovery outcomes for analysis.</w:t>
      </w:r>
    </w:p>
    <w:p>
      <w:pPr>
        <w:pStyle w:val="Heading2"/>
      </w:pPr>
      <w:r>
        <w:t>4.1 Testbed and fault matrix</w:t>
      </w:r>
    </w:p>
    <w:p>
      <w:r>
        <w:t>Use the agreed stack: React UI, Node.js/Express gateway, Spring Boot services (e.g. order-service and user-service), PostgreSQL, and Docker Compose first; move the same application into a local Kubernetes namespace later. Instrument the services before any dataset collection.</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872"/>
            <w:shd w:fill="17365D"/>
            <w:tcMar>
              <w:top w:w="85" w:type="dxa"/>
              <w:start w:w="90" w:type="dxa"/>
              <w:bottom w:w="85" w:type="dxa"/>
              <w:end w:w="90" w:type="dxa"/>
            </w:tcMar>
            <w:vAlign w:val="center"/>
          </w:tcPr>
          <w:p>
            <w:pPr>
              <w:spacing w:after="0"/>
            </w:pPr>
            <w:r>
              <w:rPr>
                <w:b/>
                <w:color w:val="FFFFFF"/>
                <w:sz w:val="15"/>
              </w:rPr>
              <w:t>Fault label (exact in kit)</w:t>
            </w:r>
          </w:p>
        </w:tc>
        <w:tc>
          <w:tcPr>
            <w:tcW w:type="dxa" w:w="2448"/>
            <w:shd w:fill="17365D"/>
            <w:tcMar>
              <w:top w:w="85" w:type="dxa"/>
              <w:start w:w="90" w:type="dxa"/>
              <w:bottom w:w="85" w:type="dxa"/>
              <w:end w:w="90" w:type="dxa"/>
            </w:tcMar>
            <w:vAlign w:val="center"/>
          </w:tcPr>
          <w:p>
            <w:pPr>
              <w:spacing w:after="0"/>
            </w:pPr>
            <w:r>
              <w:rPr>
                <w:b/>
                <w:color w:val="FFFFFF"/>
                <w:sz w:val="15"/>
              </w:rPr>
              <w:t>Controlled injection</w:t>
            </w:r>
          </w:p>
        </w:tc>
        <w:tc>
          <w:tcPr>
            <w:tcW w:type="dxa" w:w="2952"/>
            <w:shd w:fill="17365D"/>
            <w:tcMar>
              <w:top w:w="85" w:type="dxa"/>
              <w:start w:w="90" w:type="dxa"/>
              <w:bottom w:w="85" w:type="dxa"/>
              <w:end w:w="90" w:type="dxa"/>
            </w:tcMar>
            <w:vAlign w:val="center"/>
          </w:tcPr>
          <w:p>
            <w:pPr>
              <w:spacing w:after="0"/>
            </w:pPr>
            <w:r>
              <w:rPr>
                <w:b/>
                <w:color w:val="FFFFFF"/>
                <w:sz w:val="15"/>
              </w:rPr>
              <w:t>Expected evidence</w:t>
            </w:r>
          </w:p>
        </w:tc>
        <w:tc>
          <w:tcPr>
            <w:tcW w:type="dxa" w:w="3672"/>
            <w:shd w:fill="17365D"/>
            <w:tcMar>
              <w:top w:w="85" w:type="dxa"/>
              <w:start w:w="90" w:type="dxa"/>
              <w:bottom w:w="85" w:type="dxa"/>
              <w:end w:w="90" w:type="dxa"/>
            </w:tcMar>
            <w:vAlign w:val="center"/>
          </w:tcPr>
          <w:p>
            <w:pPr>
              <w:spacing w:after="0"/>
            </w:pPr>
            <w:r>
              <w:rPr>
                <w:b/>
                <w:color w:val="FFFFFF"/>
                <w:sz w:val="15"/>
              </w:rPr>
              <w:t>Primary candidate action (policy-controlled)</w:t>
            </w:r>
          </w:p>
        </w:tc>
      </w:tr>
      <w:tr>
        <w:tc>
          <w:tcPr>
            <w:tcW w:type="dxa" w:w="1872"/>
            <w:tcMar>
              <w:top w:w="85" w:type="dxa"/>
              <w:start w:w="90" w:type="dxa"/>
              <w:bottom w:w="85" w:type="dxa"/>
              <w:end w:w="90" w:type="dxa"/>
            </w:tcMar>
            <w:vAlign w:val="top"/>
          </w:tcPr>
          <w:p>
            <w:pPr>
              <w:spacing w:after="20" w:line="240" w:lineRule="auto"/>
            </w:pPr>
            <w:r>
              <w:rPr>
                <w:sz w:val="15"/>
              </w:rPr>
              <w:t>SERVICE_CRASH</w:t>
            </w:r>
          </w:p>
        </w:tc>
        <w:tc>
          <w:tcPr>
            <w:tcW w:type="dxa" w:w="2448"/>
            <w:tcMar>
              <w:top w:w="85" w:type="dxa"/>
              <w:start w:w="90" w:type="dxa"/>
              <w:bottom w:w="85" w:type="dxa"/>
              <w:end w:w="90" w:type="dxa"/>
            </w:tcMar>
            <w:vAlign w:val="top"/>
          </w:tcPr>
          <w:p>
            <w:pPr>
              <w:spacing w:after="20" w:line="240" w:lineRule="auto"/>
            </w:pPr>
            <w:r>
              <w:rPr>
                <w:sz w:val="15"/>
              </w:rPr>
              <w:t>Kill a stateless service/container in test environment.</w:t>
            </w:r>
          </w:p>
        </w:tc>
        <w:tc>
          <w:tcPr>
            <w:tcW w:type="dxa" w:w="2952"/>
            <w:tcMar>
              <w:top w:w="85" w:type="dxa"/>
              <w:start w:w="90" w:type="dxa"/>
              <w:bottom w:w="85" w:type="dxa"/>
              <w:end w:w="90" w:type="dxa"/>
            </w:tcMar>
            <w:vAlign w:val="top"/>
          </w:tcPr>
          <w:p>
            <w:pPr>
              <w:spacing w:after="20" w:line="240" w:lineRule="auto"/>
            </w:pPr>
            <w:r>
              <w:rPr>
                <w:sz w:val="15"/>
              </w:rPr>
              <w:t>Health/readiness failure, rising 5xx, restart count, failed spans.</w:t>
            </w:r>
          </w:p>
        </w:tc>
        <w:tc>
          <w:tcPr>
            <w:tcW w:type="dxa" w:w="3672"/>
            <w:tcMar>
              <w:top w:w="85" w:type="dxa"/>
              <w:start w:w="90" w:type="dxa"/>
              <w:bottom w:w="85" w:type="dxa"/>
              <w:end w:w="90" w:type="dxa"/>
            </w:tcMar>
            <w:vAlign w:val="top"/>
          </w:tcPr>
          <w:p>
            <w:pPr>
              <w:spacing w:after="20" w:line="240" w:lineRule="auto"/>
            </w:pPr>
            <w:r>
              <w:rPr>
                <w:sz w:val="15"/>
              </w:rPr>
              <w:t>Replace/restart only after checking whether the platform already restored health.</w:t>
            </w:r>
          </w:p>
        </w:tc>
      </w:tr>
      <w:tr>
        <w:tc>
          <w:tcPr>
            <w:tcW w:type="dxa" w:w="1872"/>
            <w:tcMar>
              <w:top w:w="85" w:type="dxa"/>
              <w:start w:w="90" w:type="dxa"/>
              <w:bottom w:w="85" w:type="dxa"/>
              <w:end w:w="90" w:type="dxa"/>
            </w:tcMar>
            <w:vAlign w:val="top"/>
            <w:shd w:fill="F3F6FA"/>
          </w:tcPr>
          <w:p>
            <w:pPr>
              <w:spacing w:after="20" w:line="240" w:lineRule="auto"/>
            </w:pPr>
            <w:r>
              <w:rPr>
                <w:sz w:val="15"/>
              </w:rPr>
              <w:t>CPU_SATURATION</w:t>
            </w:r>
          </w:p>
        </w:tc>
        <w:tc>
          <w:tcPr>
            <w:tcW w:type="dxa" w:w="2448"/>
            <w:tcMar>
              <w:top w:w="85" w:type="dxa"/>
              <w:start w:w="90" w:type="dxa"/>
              <w:bottom w:w="85" w:type="dxa"/>
              <w:end w:w="90" w:type="dxa"/>
            </w:tcMar>
            <w:vAlign w:val="top"/>
            <w:shd w:fill="F3F6FA"/>
          </w:tcPr>
          <w:p>
            <w:pPr>
              <w:spacing w:after="20" w:line="240" w:lineRule="auto"/>
            </w:pPr>
            <w:r>
              <w:rPr>
                <w:sz w:val="15"/>
              </w:rPr>
              <w:t>Bounded CPU stress on an eligible stateless service.</w:t>
            </w:r>
          </w:p>
        </w:tc>
        <w:tc>
          <w:tcPr>
            <w:tcW w:type="dxa" w:w="2952"/>
            <w:tcMar>
              <w:top w:w="85" w:type="dxa"/>
              <w:start w:w="90" w:type="dxa"/>
              <w:bottom w:w="85" w:type="dxa"/>
              <w:end w:w="90" w:type="dxa"/>
            </w:tcMar>
            <w:vAlign w:val="top"/>
            <w:shd w:fill="F3F6FA"/>
          </w:tcPr>
          <w:p>
            <w:pPr>
              <w:spacing w:after="20" w:line="240" w:lineRule="auto"/>
            </w:pPr>
            <w:r>
              <w:rPr>
                <w:sz w:val="15"/>
              </w:rPr>
              <w:t>CPU z-score/saturation, p95 latency, request queue/latency slope.</w:t>
            </w:r>
          </w:p>
        </w:tc>
        <w:tc>
          <w:tcPr>
            <w:tcW w:type="dxa" w:w="3672"/>
            <w:tcMar>
              <w:top w:w="85" w:type="dxa"/>
              <w:start w:w="90" w:type="dxa"/>
              <w:bottom w:w="85" w:type="dxa"/>
              <w:end w:w="90" w:type="dxa"/>
            </w:tcMar>
            <w:vAlign w:val="top"/>
            <w:shd w:fill="F3F6FA"/>
          </w:tcPr>
          <w:p>
            <w:pPr>
              <w:spacing w:after="20" w:line="240" w:lineRule="auto"/>
            </w:pPr>
            <w:r>
              <w:rPr>
                <w:sz w:val="15"/>
              </w:rPr>
              <w:t>Scale or shed load if sustained; a restart is not the default.</w:t>
            </w:r>
          </w:p>
        </w:tc>
      </w:tr>
      <w:tr>
        <w:tc>
          <w:tcPr>
            <w:tcW w:type="dxa" w:w="1872"/>
            <w:tcMar>
              <w:top w:w="85" w:type="dxa"/>
              <w:start w:w="90" w:type="dxa"/>
              <w:bottom w:w="85" w:type="dxa"/>
              <w:end w:w="90" w:type="dxa"/>
            </w:tcMar>
            <w:vAlign w:val="top"/>
          </w:tcPr>
          <w:p>
            <w:pPr>
              <w:spacing w:after="20" w:line="240" w:lineRule="auto"/>
            </w:pPr>
            <w:r>
              <w:rPr>
                <w:sz w:val="15"/>
              </w:rPr>
              <w:t>MEMORY_PRESSURE</w:t>
            </w:r>
          </w:p>
        </w:tc>
        <w:tc>
          <w:tcPr>
            <w:tcW w:type="dxa" w:w="2448"/>
            <w:tcMar>
              <w:top w:w="85" w:type="dxa"/>
              <w:start w:w="90" w:type="dxa"/>
              <w:bottom w:w="85" w:type="dxa"/>
              <w:end w:w="90" w:type="dxa"/>
            </w:tcMar>
            <w:vAlign w:val="top"/>
          </w:tcPr>
          <w:p>
            <w:pPr>
              <w:spacing w:after="20" w:line="240" w:lineRule="auto"/>
            </w:pPr>
            <w:r>
              <w:rPr>
                <w:sz w:val="15"/>
              </w:rPr>
              <w:t>Bounded allocation/pressure in an isolated test container.</w:t>
            </w:r>
          </w:p>
        </w:tc>
        <w:tc>
          <w:tcPr>
            <w:tcW w:type="dxa" w:w="2952"/>
            <w:tcMar>
              <w:top w:w="85" w:type="dxa"/>
              <w:start w:w="90" w:type="dxa"/>
              <w:bottom w:w="85" w:type="dxa"/>
              <w:end w:w="90" w:type="dxa"/>
            </w:tcMar>
            <w:vAlign w:val="top"/>
          </w:tcPr>
          <w:p>
            <w:pPr>
              <w:spacing w:after="20" w:line="240" w:lineRule="auto"/>
            </w:pPr>
            <w:r>
              <w:rPr>
                <w:sz w:val="15"/>
              </w:rPr>
              <w:t>Memory growth/slope, high utilization, OOM/restart events.</w:t>
            </w:r>
          </w:p>
        </w:tc>
        <w:tc>
          <w:tcPr>
            <w:tcW w:type="dxa" w:w="3672"/>
            <w:tcMar>
              <w:top w:w="85" w:type="dxa"/>
              <w:start w:w="90" w:type="dxa"/>
              <w:bottom w:w="85" w:type="dxa"/>
              <w:end w:w="90" w:type="dxa"/>
            </w:tcMar>
            <w:vAlign w:val="top"/>
          </w:tcPr>
          <w:p>
            <w:pPr>
              <w:spacing w:after="20" w:line="240" w:lineRule="auto"/>
            </w:pPr>
            <w:r>
              <w:rPr>
                <w:sz w:val="15"/>
              </w:rPr>
              <w:t>Restart one stateless instance only if capacity remains; otherwise escalate/scale.</w:t>
            </w:r>
          </w:p>
        </w:tc>
      </w:tr>
      <w:tr>
        <w:tc>
          <w:tcPr>
            <w:tcW w:type="dxa" w:w="1872"/>
            <w:tcMar>
              <w:top w:w="85" w:type="dxa"/>
              <w:start w:w="90" w:type="dxa"/>
              <w:bottom w:w="85" w:type="dxa"/>
              <w:end w:w="90" w:type="dxa"/>
            </w:tcMar>
            <w:vAlign w:val="top"/>
            <w:shd w:fill="F3F6FA"/>
          </w:tcPr>
          <w:p>
            <w:pPr>
              <w:spacing w:after="20" w:line="240" w:lineRule="auto"/>
            </w:pPr>
            <w:r>
              <w:rPr>
                <w:sz w:val="15"/>
              </w:rPr>
              <w:t>DATABASE_UNAVAILABLE</w:t>
            </w:r>
          </w:p>
        </w:tc>
        <w:tc>
          <w:tcPr>
            <w:tcW w:type="dxa" w:w="2448"/>
            <w:tcMar>
              <w:top w:w="85" w:type="dxa"/>
              <w:start w:w="90" w:type="dxa"/>
              <w:bottom w:w="85" w:type="dxa"/>
              <w:end w:w="90" w:type="dxa"/>
            </w:tcMar>
            <w:vAlign w:val="top"/>
            <w:shd w:fill="F3F6FA"/>
          </w:tcPr>
          <w:p>
            <w:pPr>
              <w:spacing w:after="20" w:line="240" w:lineRule="auto"/>
            </w:pPr>
            <w:r>
              <w:rPr>
                <w:sz w:val="15"/>
              </w:rPr>
              <w:t>Disable database connectivity or stop a test database container.</w:t>
            </w:r>
          </w:p>
        </w:tc>
        <w:tc>
          <w:tcPr>
            <w:tcW w:type="dxa" w:w="2952"/>
            <w:tcMar>
              <w:top w:w="85" w:type="dxa"/>
              <w:start w:w="90" w:type="dxa"/>
              <w:bottom w:w="85" w:type="dxa"/>
              <w:end w:w="90" w:type="dxa"/>
            </w:tcMar>
            <w:vAlign w:val="top"/>
            <w:shd w:fill="F3F6FA"/>
          </w:tcPr>
          <w:p>
            <w:pPr>
              <w:spacing w:after="20" w:line="240" w:lineRule="auto"/>
            </w:pPr>
            <w:r>
              <w:rPr>
                <w:sz w:val="15"/>
              </w:rPr>
              <w:t>Connection failures, DB errors, dependent-service 5xx/timeouts.</w:t>
            </w:r>
          </w:p>
        </w:tc>
        <w:tc>
          <w:tcPr>
            <w:tcW w:type="dxa" w:w="3672"/>
            <w:tcMar>
              <w:top w:w="85" w:type="dxa"/>
              <w:start w:w="90" w:type="dxa"/>
              <w:bottom w:w="85" w:type="dxa"/>
              <w:end w:w="90" w:type="dxa"/>
            </w:tcMar>
            <w:vAlign w:val="top"/>
            <w:shd w:fill="F3F6FA"/>
          </w:tcPr>
          <w:p>
            <w:pPr>
              <w:spacing w:after="20" w:line="240" w:lineRule="auto"/>
            </w:pPr>
            <w:r>
              <w:rPr>
                <w:sz w:val="15"/>
              </w:rPr>
              <w:t>Retry/backoff or configured failover; database restart requires approval.</w:t>
            </w:r>
          </w:p>
        </w:tc>
      </w:tr>
      <w:tr>
        <w:tc>
          <w:tcPr>
            <w:tcW w:type="dxa" w:w="1872"/>
            <w:tcMar>
              <w:top w:w="85" w:type="dxa"/>
              <w:start w:w="90" w:type="dxa"/>
              <w:bottom w:w="85" w:type="dxa"/>
              <w:end w:w="90" w:type="dxa"/>
            </w:tcMar>
            <w:vAlign w:val="top"/>
          </w:tcPr>
          <w:p>
            <w:pPr>
              <w:spacing w:after="20" w:line="240" w:lineRule="auto"/>
            </w:pPr>
            <w:r>
              <w:rPr>
                <w:sz w:val="15"/>
              </w:rPr>
              <w:t>DATABASE_LATENCY</w:t>
            </w:r>
          </w:p>
        </w:tc>
        <w:tc>
          <w:tcPr>
            <w:tcW w:type="dxa" w:w="2448"/>
            <w:tcMar>
              <w:top w:w="85" w:type="dxa"/>
              <w:start w:w="90" w:type="dxa"/>
              <w:bottom w:w="85" w:type="dxa"/>
              <w:end w:w="90" w:type="dxa"/>
            </w:tcMar>
            <w:vAlign w:val="top"/>
          </w:tcPr>
          <w:p>
            <w:pPr>
              <w:spacing w:after="20" w:line="240" w:lineRule="auto"/>
            </w:pPr>
            <w:r>
              <w:rPr>
                <w:sz w:val="15"/>
              </w:rPr>
              <w:t>Add test-only database/query delay.</w:t>
            </w:r>
          </w:p>
        </w:tc>
        <w:tc>
          <w:tcPr>
            <w:tcW w:type="dxa" w:w="2952"/>
            <w:tcMar>
              <w:top w:w="85" w:type="dxa"/>
              <w:start w:w="90" w:type="dxa"/>
              <w:bottom w:w="85" w:type="dxa"/>
              <w:end w:w="90" w:type="dxa"/>
            </w:tcMar>
            <w:vAlign w:val="top"/>
          </w:tcPr>
          <w:p>
            <w:pPr>
              <w:spacing w:after="20" w:line="240" w:lineRule="auto"/>
            </w:pPr>
            <w:r>
              <w:rPr>
                <w:sz w:val="15"/>
              </w:rPr>
              <w:t>DB p95 rises before dependent API p95; traces show slow DB spans.</w:t>
            </w:r>
          </w:p>
        </w:tc>
        <w:tc>
          <w:tcPr>
            <w:tcW w:type="dxa" w:w="3672"/>
            <w:tcMar>
              <w:top w:w="85" w:type="dxa"/>
              <w:start w:w="90" w:type="dxa"/>
              <w:bottom w:w="85" w:type="dxa"/>
              <w:end w:w="90" w:type="dxa"/>
            </w:tcMar>
            <w:vAlign w:val="top"/>
          </w:tcPr>
          <w:p>
            <w:pPr>
              <w:spacing w:after="20" w:line="240" w:lineRule="auto"/>
            </w:pPr>
            <w:r>
              <w:rPr>
                <w:sz w:val="15"/>
              </w:rPr>
              <w:t>Use bounded retries/backoff or failover only if configured and evidenced.</w:t>
            </w:r>
          </w:p>
        </w:tc>
      </w:tr>
      <w:tr>
        <w:tc>
          <w:tcPr>
            <w:tcW w:type="dxa" w:w="1872"/>
            <w:tcMar>
              <w:top w:w="85" w:type="dxa"/>
              <w:start w:w="90" w:type="dxa"/>
              <w:bottom w:w="85" w:type="dxa"/>
              <w:end w:w="90" w:type="dxa"/>
            </w:tcMar>
            <w:vAlign w:val="top"/>
            <w:shd w:fill="F3F6FA"/>
          </w:tcPr>
          <w:p>
            <w:pPr>
              <w:spacing w:after="20" w:line="240" w:lineRule="auto"/>
            </w:pPr>
            <w:r>
              <w:rPr>
                <w:sz w:val="15"/>
              </w:rPr>
              <w:t>NETWORK_DEGRADATION</w:t>
            </w:r>
          </w:p>
        </w:tc>
        <w:tc>
          <w:tcPr>
            <w:tcW w:type="dxa" w:w="2448"/>
            <w:tcMar>
              <w:top w:w="85" w:type="dxa"/>
              <w:start w:w="90" w:type="dxa"/>
              <w:bottom w:w="85" w:type="dxa"/>
              <w:end w:w="90" w:type="dxa"/>
            </w:tcMar>
            <w:vAlign w:val="top"/>
            <w:shd w:fill="F3F6FA"/>
          </w:tcPr>
          <w:p>
            <w:pPr>
              <w:spacing w:after="20" w:line="240" w:lineRule="auto"/>
            </w:pPr>
            <w:r>
              <w:rPr>
                <w:sz w:val="15"/>
              </w:rPr>
              <w:t>Inject latency/loss between services in a test namespace.</w:t>
            </w:r>
          </w:p>
        </w:tc>
        <w:tc>
          <w:tcPr>
            <w:tcW w:type="dxa" w:w="2952"/>
            <w:tcMar>
              <w:top w:w="85" w:type="dxa"/>
              <w:start w:w="90" w:type="dxa"/>
              <w:bottom w:w="85" w:type="dxa"/>
              <w:end w:w="90" w:type="dxa"/>
            </w:tcMar>
            <w:vAlign w:val="top"/>
            <w:shd w:fill="F3F6FA"/>
          </w:tcPr>
          <w:p>
            <w:pPr>
              <w:spacing w:after="20" w:line="240" w:lineRule="auto"/>
            </w:pPr>
            <w:r>
              <w:rPr>
                <w:sz w:val="15"/>
              </w:rPr>
              <w:t>Timeout logs, trace spans, network latency and dependency-error changes.</w:t>
            </w:r>
          </w:p>
        </w:tc>
        <w:tc>
          <w:tcPr>
            <w:tcW w:type="dxa" w:w="3672"/>
            <w:tcMar>
              <w:top w:w="85" w:type="dxa"/>
              <w:start w:w="90" w:type="dxa"/>
              <w:bottom w:w="85" w:type="dxa"/>
              <w:end w:w="90" w:type="dxa"/>
            </w:tcMar>
            <w:vAlign w:val="top"/>
            <w:shd w:fill="F3F6FA"/>
          </w:tcPr>
          <w:p>
            <w:pPr>
              <w:spacing w:after="20" w:line="240" w:lineRule="auto"/>
            </w:pPr>
            <w:r>
              <w:rPr>
                <w:sz w:val="15"/>
              </w:rPr>
              <w:t>Bounded retry/failover only after confirming route/circuit policy.</w:t>
            </w:r>
          </w:p>
        </w:tc>
      </w:tr>
      <w:tr>
        <w:tc>
          <w:tcPr>
            <w:tcW w:type="dxa" w:w="1872"/>
            <w:tcMar>
              <w:top w:w="85" w:type="dxa"/>
              <w:start w:w="90" w:type="dxa"/>
              <w:bottom w:w="85" w:type="dxa"/>
              <w:end w:w="90" w:type="dxa"/>
            </w:tcMar>
            <w:vAlign w:val="top"/>
          </w:tcPr>
          <w:p>
            <w:pPr>
              <w:spacing w:after="20" w:line="240" w:lineRule="auto"/>
            </w:pPr>
            <w:r>
              <w:rPr>
                <w:sz w:val="15"/>
              </w:rPr>
              <w:t>BAD_DEPLOYMENT</w:t>
            </w:r>
          </w:p>
        </w:tc>
        <w:tc>
          <w:tcPr>
            <w:tcW w:type="dxa" w:w="2448"/>
            <w:tcMar>
              <w:top w:w="85" w:type="dxa"/>
              <w:start w:w="90" w:type="dxa"/>
              <w:bottom w:w="85" w:type="dxa"/>
              <w:end w:w="90" w:type="dxa"/>
            </w:tcMar>
            <w:vAlign w:val="top"/>
          </w:tcPr>
          <w:p>
            <w:pPr>
              <w:spacing w:after="20" w:line="240" w:lineRule="auto"/>
            </w:pPr>
            <w:r>
              <w:rPr>
                <w:sz w:val="15"/>
              </w:rPr>
              <w:t>Deploy a deliberately faulty version to a test workload.</w:t>
            </w:r>
          </w:p>
        </w:tc>
        <w:tc>
          <w:tcPr>
            <w:tcW w:type="dxa" w:w="2952"/>
            <w:tcMar>
              <w:top w:w="85" w:type="dxa"/>
              <w:start w:w="90" w:type="dxa"/>
              <w:bottom w:w="85" w:type="dxa"/>
              <w:end w:w="90" w:type="dxa"/>
            </w:tcMar>
            <w:vAlign w:val="top"/>
          </w:tcPr>
          <w:p>
            <w:pPr>
              <w:spacing w:after="20" w:line="240" w:lineRule="auto"/>
            </w:pPr>
            <w:r>
              <w:rPr>
                <w:sz w:val="15"/>
              </w:rPr>
              <w:t>Error spike shortly after version change, failed health, regression in SLO.</w:t>
            </w:r>
          </w:p>
        </w:tc>
        <w:tc>
          <w:tcPr>
            <w:tcW w:type="dxa" w:w="3672"/>
            <w:tcMar>
              <w:top w:w="85" w:type="dxa"/>
              <w:start w:w="90" w:type="dxa"/>
              <w:bottom w:w="85" w:type="dxa"/>
              <w:end w:w="90" w:type="dxa"/>
            </w:tcMar>
            <w:vAlign w:val="top"/>
          </w:tcPr>
          <w:p>
            <w:pPr>
              <w:spacing w:after="20" w:line="240" w:lineRule="auto"/>
            </w:pPr>
            <w:r>
              <w:rPr>
                <w:sz w:val="15"/>
              </w:rPr>
              <w:t>Rollback only to a recorded known-good version and verify afterward.</w:t>
            </w:r>
          </w:p>
        </w:tc>
      </w:tr>
      <w:tr>
        <w:tc>
          <w:tcPr>
            <w:tcW w:type="dxa" w:w="1872"/>
            <w:tcMar>
              <w:top w:w="85" w:type="dxa"/>
              <w:start w:w="90" w:type="dxa"/>
              <w:bottom w:w="85" w:type="dxa"/>
              <w:end w:w="90" w:type="dxa"/>
            </w:tcMar>
            <w:vAlign w:val="top"/>
            <w:shd w:fill="F3F6FA"/>
          </w:tcPr>
          <w:p>
            <w:pPr>
              <w:spacing w:after="20" w:line="240" w:lineRule="auto"/>
            </w:pPr>
            <w:r>
              <w:rPr>
                <w:sz w:val="15"/>
              </w:rPr>
              <w:t>TRAFFIC_OVERLOAD</w:t>
            </w:r>
          </w:p>
        </w:tc>
        <w:tc>
          <w:tcPr>
            <w:tcW w:type="dxa" w:w="2448"/>
            <w:tcMar>
              <w:top w:w="85" w:type="dxa"/>
              <w:start w:w="90" w:type="dxa"/>
              <w:bottom w:w="85" w:type="dxa"/>
              <w:end w:w="90" w:type="dxa"/>
            </w:tcMar>
            <w:vAlign w:val="top"/>
            <w:shd w:fill="F3F6FA"/>
          </w:tcPr>
          <w:p>
            <w:pPr>
              <w:spacing w:after="20" w:line="240" w:lineRule="auto"/>
            </w:pPr>
            <w:r>
              <w:rPr>
                <w:sz w:val="15"/>
              </w:rPr>
              <w:t>Generate controlled load using Locust or a similar load generator.</w:t>
            </w:r>
          </w:p>
        </w:tc>
        <w:tc>
          <w:tcPr>
            <w:tcW w:type="dxa" w:w="2952"/>
            <w:tcMar>
              <w:top w:w="85" w:type="dxa"/>
              <w:start w:w="90" w:type="dxa"/>
              <w:bottom w:w="85" w:type="dxa"/>
              <w:end w:w="90" w:type="dxa"/>
            </w:tcMar>
            <w:vAlign w:val="top"/>
            <w:shd w:fill="F3F6FA"/>
          </w:tcPr>
          <w:p>
            <w:pPr>
              <w:spacing w:after="20" w:line="240" w:lineRule="auto"/>
            </w:pPr>
            <w:r>
              <w:rPr>
                <w:sz w:val="15"/>
              </w:rPr>
              <w:t>Request rate, queueing, CPU and p95/p99 latency increase.</w:t>
            </w:r>
          </w:p>
        </w:tc>
        <w:tc>
          <w:tcPr>
            <w:tcW w:type="dxa" w:w="3672"/>
            <w:tcMar>
              <w:top w:w="85" w:type="dxa"/>
              <w:start w:w="90" w:type="dxa"/>
              <w:bottom w:w="85" w:type="dxa"/>
              <w:end w:w="90" w:type="dxa"/>
            </w:tcMar>
            <w:vAlign w:val="top"/>
            <w:shd w:fill="F3F6FA"/>
          </w:tcPr>
          <w:p>
            <w:pPr>
              <w:spacing w:after="20" w:line="240" w:lineRule="auto"/>
            </w:pPr>
            <w:r>
              <w:rPr>
                <w:sz w:val="15"/>
              </w:rPr>
              <w:t>Scale within quotas or shed load; never restart as the default response.</w:t>
            </w:r>
          </w:p>
        </w:tc>
      </w:tr>
    </w:tbl>
    <w:p>
      <w:pPr>
        <w:spacing w:after="0"/>
      </w:pPr>
    </w:p>
    <w:p>
      <w:pPr>
        <w:pStyle w:val="Heading2"/>
      </w:pPr>
      <w:r>
        <w:t>4.2 How many experiments?</w:t>
      </w:r>
    </w:p>
    <w:p>
      <w:r>
        <w:t>Run a pilot with 10 independent episodes per fault-target combination to ensure telemetry and labels line up. For a final course project, aim for at least 240 independent fault episodes spanning all eight classes; preferably 400–600 episodes if time and machine resources allow. Repeat each fault under more than one workload level and, where applicable, at different services. Include a separate collection of normal sessions under low, normal and high load.</w:t>
      </w:r>
    </w:p>
    <w:tbl>
      <w:tblPr>
        <w:tblW w:type="auto" w:w="0"/>
        <w:tblLook w:firstColumn="1" w:firstRow="1" w:lastColumn="0" w:lastRow="0" w:noHBand="0" w:noVBand="1" w:val="04A0"/>
      </w:tblPr>
      <w:tblGrid>
        <w:gridCol w:w="10080"/>
      </w:tblGrid>
      <w:tr>
        <w:tc>
          <w:tcPr>
            <w:tcW w:type="dxa" w:w="10080"/>
            <w:shd w:fill="E2F0D9"/>
            <w:tcMar>
              <w:top w:w="130" w:type="dxa"/>
              <w:start w:w="150" w:type="dxa"/>
              <w:bottom w:w="130" w:type="dxa"/>
              <w:end w:w="150" w:type="dxa"/>
            </w:tcMar>
          </w:tcPr>
          <w:p>
            <w:pPr>
              <w:spacing w:after="60"/>
            </w:pPr>
            <w:r>
              <w:rPr>
                <w:b/>
                <w:color w:val="17365D"/>
                <w:sz w:val="20"/>
              </w:rPr>
              <w:t>Episode means one independent experiment</w:t>
            </w:r>
          </w:p>
          <w:p>
            <w:pPr>
              <w:spacing w:after="0"/>
            </w:pPr>
            <w:r>
              <w:t>An episode includes baseline, injection, fault-active window, recovery, and cool-down. One injection sampled into 50 overlapping 10-second windows is still one independent experiment—not 50 independent examples. Use episode IDs for all splits.</w:t>
            </w:r>
          </w:p>
        </w:tc>
      </w:tr>
    </w:tbl>
    <w:p>
      <w:pPr>
        <w:spacing w:after="0"/>
      </w:pPr>
    </w:p>
    <w:p>
      <w:pPr>
        <w:pStyle w:val="Heading2"/>
      </w:pPr>
      <w:r>
        <w:t>4.3 Required experiment manifest</w:t>
      </w:r>
    </w:p>
    <w:p>
      <w:r>
        <w:t>Before injecting a fault, create an immutable `experiment_manifest.json` record. The injector/manifest contains ground truth; the inference API must never receive the hidden fault name or a direct injection indicator.</w:t>
      </w:r>
    </w:p>
    <w:tbl>
      <w:tblPr>
        <w:tblW w:type="auto" w:w="0"/>
        <w:jc w:val="center"/>
        <w:tblLook w:firstColumn="1" w:firstRow="1" w:lastColumn="0" w:lastRow="0" w:noHBand="0" w:noVBand="1" w:val="04A0"/>
      </w:tblPr>
      <w:tblGrid>
        <w:gridCol w:w="10080"/>
      </w:tblGrid>
      <w:tr>
        <w:tc>
          <w:tcPr>
            <w:tcW w:type="dxa" w:w="10080"/>
            <w:shd w:fill="F2F5F8"/>
            <w:tcMar>
              <w:top w:w="120" w:type="dxa"/>
              <w:start w:w="140" w:type="dxa"/>
              <w:bottom w:w="120" w:type="dxa"/>
              <w:end w:w="140" w:type="dxa"/>
            </w:tcMar>
          </w:tcPr>
          <w:p>
            <w:pPr>
              <w:spacing w:after="0" w:line="240" w:lineRule="auto"/>
            </w:pPr>
            <w:r>
              <w:rPr>
                <w:rFonts w:ascii="Consolas" w:hAnsi="Consolas" w:eastAsia="Consolas"/>
                <w:sz w:val="16"/>
              </w:rPr>
              <w:t>{</w:t>
              <w:br/>
              <w:t xml:space="preserve">  "incident_id": "INC-2026-0042",</w:t>
              <w:br/>
              <w:t xml:space="preserve">  "fault_type": "DATABASE_LATENCY",</w:t>
              <w:br/>
              <w:t xml:space="preserve">  "root_cause_service": "postgresql",</w:t>
              <w:br/>
              <w:t xml:space="preserve">  "fault_start_utc": "2026-10-15T10:20:00Z",</w:t>
              <w:br/>
              <w:t xml:space="preserve">  "fault_end_utc": "2026-10-15T10:24:00Z",</w:t>
              <w:br/>
              <w:t xml:space="preserve">  "target_service": "postgresql",</w:t>
              <w:br/>
              <w:t xml:space="preserve">  "workload_profile": "medium",</w:t>
              <w:br/>
              <w:t xml:space="preserve">  "deployment_version": "demo-1.2.0",</w:t>
              <w:br/>
              <w:t xml:space="preserve">  "injector_config_hash": "sha256:...",</w:t>
              <w:br/>
              <w:t xml:space="preserve">  "recovery_action": "NONE_DURING_LABEL_CAPTURE",</w:t>
              <w:br/>
              <w:t xml:space="preserve">  "outcome": "PENDING"</w:t>
              <w:br/>
              <w:t>}</w:t>
            </w:r>
          </w:p>
        </w:tc>
      </w:tr>
    </w:tbl>
    <w:p>
      <w:pPr>
        <w:spacing w:after="0"/>
      </w:pPr>
    </w:p>
    <w:p>
      <w:r>
        <w:t>Use UTC timestamps for storage and convert to a display timezone only in the UI. Keep an explicit distinction between the injection time (label metadata) and the time at which the diagnosis engine would have had enough symptoms to act.</w:t>
      </w:r>
    </w:p>
    <w:p>
      <w:pPr>
        <w:pStyle w:val="Heading1"/>
      </w:pPr>
      <w:r>
        <w:t>5. Exact training-table design</w:t>
      </w:r>
    </w:p>
    <w:p>
      <w:r>
        <w:t>The training kit uses two normalized CSV tables. This is deliberate: fault-family classification is an incident-window problem; root-cause localization is a candidate-service ranking problem. The metadata columns define labels and groups; only the numeric feature columns listed below may enter the models.</w:t>
      </w:r>
    </w:p>
    <w:p>
      <w:pPr>
        <w:pStyle w:val="Heading2"/>
      </w:pPr>
      <w:r>
        <w:t>5.1 `windows.csv`: one row per incident × time window</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88"/>
            <w:shd w:fill="17365D"/>
            <w:tcMar>
              <w:top w:w="85" w:type="dxa"/>
              <w:start w:w="90" w:type="dxa"/>
              <w:bottom w:w="85" w:type="dxa"/>
              <w:end w:w="90" w:type="dxa"/>
            </w:tcMar>
            <w:vAlign w:val="center"/>
          </w:tcPr>
          <w:p>
            <w:pPr>
              <w:spacing w:after="0"/>
            </w:pPr>
            <w:r>
              <w:rPr>
                <w:b/>
                <w:color w:val="FFFFFF"/>
                <w:sz w:val="16"/>
              </w:rPr>
              <w:t>Field</w:t>
            </w:r>
          </w:p>
        </w:tc>
        <w:tc>
          <w:tcPr>
            <w:tcW w:type="dxa" w:w="3600"/>
            <w:shd w:fill="17365D"/>
            <w:tcMar>
              <w:top w:w="85" w:type="dxa"/>
              <w:start w:w="90" w:type="dxa"/>
              <w:bottom w:w="85" w:type="dxa"/>
              <w:end w:w="90" w:type="dxa"/>
            </w:tcMar>
            <w:vAlign w:val="center"/>
          </w:tcPr>
          <w:p>
            <w:pPr>
              <w:spacing w:after="0"/>
            </w:pPr>
            <w:r>
              <w:rPr>
                <w:b/>
                <w:color w:val="FFFFFF"/>
                <w:sz w:val="16"/>
              </w:rPr>
              <w:t>Purpose</w:t>
            </w:r>
          </w:p>
        </w:tc>
        <w:tc>
          <w:tcPr>
            <w:tcW w:type="dxa" w:w="5256"/>
            <w:shd w:fill="17365D"/>
            <w:tcMar>
              <w:top w:w="85" w:type="dxa"/>
              <w:start w:w="90" w:type="dxa"/>
              <w:bottom w:w="85" w:type="dxa"/>
              <w:end w:w="90" w:type="dxa"/>
            </w:tcMar>
            <w:vAlign w:val="center"/>
          </w:tcPr>
          <w:p>
            <w:pPr>
              <w:spacing w:after="0"/>
            </w:pPr>
            <w:r>
              <w:rPr>
                <w:b/>
                <w:color w:val="FFFFFF"/>
                <w:sz w:val="16"/>
              </w:rPr>
              <w:t>Model use</w:t>
            </w:r>
          </w:p>
        </w:tc>
      </w:tr>
      <w:tr>
        <w:tc>
          <w:tcPr>
            <w:tcW w:type="dxa" w:w="2088"/>
            <w:tcMar>
              <w:top w:w="85" w:type="dxa"/>
              <w:start w:w="90" w:type="dxa"/>
              <w:bottom w:w="85" w:type="dxa"/>
              <w:end w:w="90" w:type="dxa"/>
            </w:tcMar>
            <w:vAlign w:val="top"/>
          </w:tcPr>
          <w:p>
            <w:pPr>
              <w:spacing w:after="20" w:line="240" w:lineRule="auto"/>
            </w:pPr>
            <w:r>
              <w:rPr>
                <w:sz w:val="16"/>
              </w:rPr>
              <w:t>incident_id</w:t>
            </w:r>
          </w:p>
        </w:tc>
        <w:tc>
          <w:tcPr>
            <w:tcW w:type="dxa" w:w="3600"/>
            <w:tcMar>
              <w:top w:w="85" w:type="dxa"/>
              <w:start w:w="90" w:type="dxa"/>
              <w:bottom w:w="85" w:type="dxa"/>
              <w:end w:w="90" w:type="dxa"/>
            </w:tcMar>
            <w:vAlign w:val="top"/>
          </w:tcPr>
          <w:p>
            <w:pPr>
              <w:spacing w:after="20" w:line="240" w:lineRule="auto"/>
            </w:pPr>
            <w:r>
              <w:rPr>
                <w:sz w:val="16"/>
              </w:rPr>
              <w:t>Unique episode group</w:t>
            </w:r>
          </w:p>
        </w:tc>
        <w:tc>
          <w:tcPr>
            <w:tcW w:type="dxa" w:w="5256"/>
            <w:tcMar>
              <w:top w:w="85" w:type="dxa"/>
              <w:start w:w="90" w:type="dxa"/>
              <w:bottom w:w="85" w:type="dxa"/>
              <w:end w:w="90" w:type="dxa"/>
            </w:tcMar>
            <w:vAlign w:val="top"/>
          </w:tcPr>
          <w:p>
            <w:pPr>
              <w:spacing w:after="20" w:line="240" w:lineRule="auto"/>
            </w:pPr>
            <w:r>
              <w:rPr>
                <w:sz w:val="16"/>
              </w:rPr>
              <w:t>Grouping only; NEVER a feature.</w:t>
            </w:r>
          </w:p>
        </w:tc>
      </w:tr>
      <w:tr>
        <w:tc>
          <w:tcPr>
            <w:tcW w:type="dxa" w:w="2088"/>
            <w:tcMar>
              <w:top w:w="85" w:type="dxa"/>
              <w:start w:w="90" w:type="dxa"/>
              <w:bottom w:w="85" w:type="dxa"/>
              <w:end w:w="90" w:type="dxa"/>
            </w:tcMar>
            <w:vAlign w:val="top"/>
            <w:shd w:fill="F3F6FA"/>
          </w:tcPr>
          <w:p>
            <w:pPr>
              <w:spacing w:after="20" w:line="240" w:lineRule="auto"/>
            </w:pPr>
            <w:r>
              <w:rPr>
                <w:sz w:val="16"/>
              </w:rPr>
              <w:t>window_index / timestamp</w:t>
            </w:r>
          </w:p>
        </w:tc>
        <w:tc>
          <w:tcPr>
            <w:tcW w:type="dxa" w:w="3600"/>
            <w:tcMar>
              <w:top w:w="85" w:type="dxa"/>
              <w:start w:w="90" w:type="dxa"/>
              <w:bottom w:w="85" w:type="dxa"/>
              <w:end w:w="90" w:type="dxa"/>
            </w:tcMar>
            <w:vAlign w:val="top"/>
            <w:shd w:fill="F3F6FA"/>
          </w:tcPr>
          <w:p>
            <w:pPr>
              <w:spacing w:after="20" w:line="240" w:lineRule="auto"/>
            </w:pPr>
            <w:r>
              <w:rPr>
                <w:sz w:val="16"/>
              </w:rPr>
              <w:t>Window ordering and evaluation timing</w:t>
            </w:r>
          </w:p>
        </w:tc>
        <w:tc>
          <w:tcPr>
            <w:tcW w:type="dxa" w:w="5256"/>
            <w:tcMar>
              <w:top w:w="85" w:type="dxa"/>
              <w:start w:w="90" w:type="dxa"/>
              <w:bottom w:w="85" w:type="dxa"/>
              <w:end w:w="90" w:type="dxa"/>
            </w:tcMar>
            <w:vAlign w:val="top"/>
            <w:shd w:fill="F3F6FA"/>
          </w:tcPr>
          <w:p>
            <w:pPr>
              <w:spacing w:after="20" w:line="240" w:lineRule="auto"/>
            </w:pPr>
            <w:r>
              <w:rPr>
                <w:sz w:val="16"/>
              </w:rPr>
              <w:t>Metadata / delay calculation only; exclude absolute timestamps as features.</w:t>
            </w:r>
          </w:p>
        </w:tc>
      </w:tr>
      <w:tr>
        <w:tc>
          <w:tcPr>
            <w:tcW w:type="dxa" w:w="2088"/>
            <w:tcMar>
              <w:top w:w="85" w:type="dxa"/>
              <w:start w:w="90" w:type="dxa"/>
              <w:bottom w:w="85" w:type="dxa"/>
              <w:end w:w="90" w:type="dxa"/>
            </w:tcMar>
            <w:vAlign w:val="top"/>
          </w:tcPr>
          <w:p>
            <w:pPr>
              <w:spacing w:after="20" w:line="240" w:lineRule="auto"/>
            </w:pPr>
            <w:r>
              <w:rPr>
                <w:sz w:val="16"/>
              </w:rPr>
              <w:t>phase</w:t>
            </w:r>
          </w:p>
        </w:tc>
        <w:tc>
          <w:tcPr>
            <w:tcW w:type="dxa" w:w="3600"/>
            <w:tcMar>
              <w:top w:w="85" w:type="dxa"/>
              <w:start w:w="90" w:type="dxa"/>
              <w:bottom w:w="85" w:type="dxa"/>
              <w:end w:w="90" w:type="dxa"/>
            </w:tcMar>
            <w:vAlign w:val="top"/>
          </w:tcPr>
          <w:p>
            <w:pPr>
              <w:spacing w:after="20" w:line="240" w:lineRule="auto"/>
            </w:pPr>
            <w:r>
              <w:rPr>
                <w:sz w:val="16"/>
              </w:rPr>
              <w:t>`normal` or `fault_active`</w:t>
            </w:r>
          </w:p>
        </w:tc>
        <w:tc>
          <w:tcPr>
            <w:tcW w:type="dxa" w:w="5256"/>
            <w:tcMar>
              <w:top w:w="85" w:type="dxa"/>
              <w:start w:w="90" w:type="dxa"/>
              <w:bottom w:w="85" w:type="dxa"/>
              <w:end w:w="90" w:type="dxa"/>
            </w:tcMar>
            <w:vAlign w:val="top"/>
          </w:tcPr>
          <w:p>
            <w:pPr>
              <w:spacing w:after="20" w:line="240" w:lineRule="auto"/>
            </w:pPr>
            <w:r>
              <w:rPr>
                <w:sz w:val="16"/>
              </w:rPr>
              <w:t>Label for detector training/evaluation; never an inference feature.</w:t>
            </w:r>
          </w:p>
        </w:tc>
      </w:tr>
      <w:tr>
        <w:tc>
          <w:tcPr>
            <w:tcW w:type="dxa" w:w="2088"/>
            <w:tcMar>
              <w:top w:w="85" w:type="dxa"/>
              <w:start w:w="90" w:type="dxa"/>
              <w:bottom w:w="85" w:type="dxa"/>
              <w:end w:w="90" w:type="dxa"/>
            </w:tcMar>
            <w:vAlign w:val="top"/>
            <w:shd w:fill="F3F6FA"/>
          </w:tcPr>
          <w:p>
            <w:pPr>
              <w:spacing w:after="20" w:line="240" w:lineRule="auto"/>
            </w:pPr>
            <w:r>
              <w:rPr>
                <w:sz w:val="16"/>
              </w:rPr>
              <w:t>fault_type</w:t>
            </w:r>
          </w:p>
        </w:tc>
        <w:tc>
          <w:tcPr>
            <w:tcW w:type="dxa" w:w="3600"/>
            <w:tcMar>
              <w:top w:w="85" w:type="dxa"/>
              <w:start w:w="90" w:type="dxa"/>
              <w:bottom w:w="85" w:type="dxa"/>
              <w:end w:w="90" w:type="dxa"/>
            </w:tcMar>
            <w:vAlign w:val="top"/>
            <w:shd w:fill="F3F6FA"/>
          </w:tcPr>
          <w:p>
            <w:pPr>
              <w:spacing w:after="20" w:line="240" w:lineRule="auto"/>
            </w:pPr>
            <w:r>
              <w:rPr>
                <w:sz w:val="16"/>
              </w:rPr>
              <w:t>`NORMAL` or one of eight fault labels</w:t>
            </w:r>
          </w:p>
        </w:tc>
        <w:tc>
          <w:tcPr>
            <w:tcW w:type="dxa" w:w="5256"/>
            <w:tcMar>
              <w:top w:w="85" w:type="dxa"/>
              <w:start w:w="90" w:type="dxa"/>
              <w:bottom w:w="85" w:type="dxa"/>
              <w:end w:w="90" w:type="dxa"/>
            </w:tcMar>
            <w:vAlign w:val="top"/>
            <w:shd w:fill="F3F6FA"/>
          </w:tcPr>
          <w:p>
            <w:pPr>
              <w:spacing w:after="20" w:line="240" w:lineRule="auto"/>
            </w:pPr>
            <w:r>
              <w:rPr>
                <w:sz w:val="16"/>
              </w:rPr>
              <w:t>Target for fault classifier; not a feature.</w:t>
            </w:r>
          </w:p>
        </w:tc>
      </w:tr>
      <w:tr>
        <w:tc>
          <w:tcPr>
            <w:tcW w:type="dxa" w:w="2088"/>
            <w:tcMar>
              <w:top w:w="85" w:type="dxa"/>
              <w:start w:w="90" w:type="dxa"/>
              <w:bottom w:w="85" w:type="dxa"/>
              <w:end w:w="90" w:type="dxa"/>
            </w:tcMar>
            <w:vAlign w:val="top"/>
          </w:tcPr>
          <w:p>
            <w:pPr>
              <w:spacing w:after="20" w:line="240" w:lineRule="auto"/>
            </w:pPr>
            <w:r>
              <w:rPr>
                <w:sz w:val="16"/>
              </w:rPr>
              <w:t>23 numeric features in `src/features.py`</w:t>
            </w:r>
          </w:p>
        </w:tc>
        <w:tc>
          <w:tcPr>
            <w:tcW w:type="dxa" w:w="3600"/>
            <w:tcMar>
              <w:top w:w="85" w:type="dxa"/>
              <w:start w:w="90" w:type="dxa"/>
              <w:bottom w:w="85" w:type="dxa"/>
              <w:end w:w="90" w:type="dxa"/>
            </w:tcMar>
            <w:vAlign w:val="top"/>
          </w:tcPr>
          <w:p>
            <w:pPr>
              <w:spacing w:after="20" w:line="240" w:lineRule="auto"/>
            </w:pPr>
            <w:r>
              <w:rPr>
                <w:sz w:val="16"/>
              </w:rPr>
              <w:t>System-wide telemetry aggregated over trailing time window</w:t>
            </w:r>
          </w:p>
        </w:tc>
        <w:tc>
          <w:tcPr>
            <w:tcW w:type="dxa" w:w="5256"/>
            <w:tcMar>
              <w:top w:w="85" w:type="dxa"/>
              <w:start w:w="90" w:type="dxa"/>
              <w:bottom w:w="85" w:type="dxa"/>
              <w:end w:w="90" w:type="dxa"/>
            </w:tcMar>
            <w:vAlign w:val="top"/>
          </w:tcPr>
          <w:p>
            <w:pPr>
              <w:spacing w:after="20" w:line="240" w:lineRule="auto"/>
            </w:pPr>
            <w:r>
              <w:rPr>
                <w:sz w:val="16"/>
              </w:rPr>
              <w:t>Isolation Forest and fault-family classifier inputs.</w:t>
            </w:r>
          </w:p>
        </w:tc>
      </w:tr>
    </w:tbl>
    <w:p>
      <w:pPr>
        <w:spacing w:after="0"/>
      </w:pPr>
    </w:p>
    <w:p>
      <w:pPr>
        <w:pStyle w:val="Heading2"/>
      </w:pPr>
      <w:r>
        <w:t>5.2 System-window feature definitions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728"/>
            <w:shd w:fill="17365D"/>
            <w:tcMar>
              <w:top w:w="85" w:type="dxa"/>
              <w:start w:w="90" w:type="dxa"/>
              <w:bottom w:w="85" w:type="dxa"/>
              <w:end w:w="90" w:type="dxa"/>
            </w:tcMar>
            <w:vAlign w:val="center"/>
          </w:tcPr>
          <w:p>
            <w:pPr>
              <w:spacing w:after="0"/>
            </w:pPr>
            <w:r>
              <w:rPr>
                <w:b/>
                <w:color w:val="FFFFFF"/>
                <w:sz w:val="15"/>
              </w:rPr>
              <w:t>Feature group</w:t>
            </w:r>
          </w:p>
        </w:tc>
        <w:tc>
          <w:tcPr>
            <w:tcW w:type="dxa" w:w="4104"/>
            <w:shd w:fill="17365D"/>
            <w:tcMar>
              <w:top w:w="85" w:type="dxa"/>
              <w:start w:w="90" w:type="dxa"/>
              <w:bottom w:w="85" w:type="dxa"/>
              <w:end w:w="90" w:type="dxa"/>
            </w:tcMar>
            <w:vAlign w:val="center"/>
          </w:tcPr>
          <w:p>
            <w:pPr>
              <w:spacing w:after="0"/>
            </w:pPr>
            <w:r>
              <w:rPr>
                <w:b/>
                <w:color w:val="FFFFFF"/>
                <w:sz w:val="15"/>
              </w:rPr>
              <w:t>Features (exact names)</w:t>
            </w:r>
          </w:p>
        </w:tc>
        <w:tc>
          <w:tcPr>
            <w:tcW w:type="dxa" w:w="5112"/>
            <w:shd w:fill="17365D"/>
            <w:tcMar>
              <w:top w:w="85" w:type="dxa"/>
              <w:start w:w="90" w:type="dxa"/>
              <w:bottom w:w="85" w:type="dxa"/>
              <w:end w:w="90" w:type="dxa"/>
            </w:tcMar>
            <w:vAlign w:val="center"/>
          </w:tcPr>
          <w:p>
            <w:pPr>
              <w:spacing w:after="0"/>
            </w:pPr>
            <w:r>
              <w:rPr>
                <w:b/>
                <w:color w:val="FFFFFF"/>
                <w:sz w:val="15"/>
              </w:rPr>
              <w:t>How to calculate / notes</w:t>
            </w:r>
          </w:p>
        </w:tc>
      </w:tr>
      <w:tr>
        <w:tc>
          <w:tcPr>
            <w:tcW w:type="dxa" w:w="1728"/>
            <w:tcMar>
              <w:top w:w="85" w:type="dxa"/>
              <w:start w:w="90" w:type="dxa"/>
              <w:bottom w:w="85" w:type="dxa"/>
              <w:end w:w="90" w:type="dxa"/>
            </w:tcMar>
            <w:vAlign w:val="top"/>
          </w:tcPr>
          <w:p>
            <w:pPr>
              <w:spacing w:after="20" w:line="240" w:lineRule="auto"/>
            </w:pPr>
            <w:r>
              <w:rPr>
                <w:sz w:val="15"/>
              </w:rPr>
              <w:t>Resource peaks</w:t>
            </w:r>
          </w:p>
        </w:tc>
        <w:tc>
          <w:tcPr>
            <w:tcW w:type="dxa" w:w="4104"/>
            <w:tcMar>
              <w:top w:w="85" w:type="dxa"/>
              <w:start w:w="90" w:type="dxa"/>
              <w:bottom w:w="85" w:type="dxa"/>
              <w:end w:w="90" w:type="dxa"/>
            </w:tcMar>
            <w:vAlign w:val="top"/>
          </w:tcPr>
          <w:p>
            <w:pPr>
              <w:spacing w:after="20" w:line="240" w:lineRule="auto"/>
            </w:pPr>
            <w:r>
              <w:rPr>
                <w:sz w:val="15"/>
              </w:rPr>
              <w:t>`max_cpu_pct`, `max_memory_pct`, `max_disk_pct`</w:t>
            </w:r>
          </w:p>
        </w:tc>
        <w:tc>
          <w:tcPr>
            <w:tcW w:type="dxa" w:w="5112"/>
            <w:tcMar>
              <w:top w:w="85" w:type="dxa"/>
              <w:start w:w="90" w:type="dxa"/>
              <w:bottom w:w="85" w:type="dxa"/>
              <w:end w:w="90" w:type="dxa"/>
            </w:tcMar>
            <w:vAlign w:val="top"/>
          </w:tcPr>
          <w:p>
            <w:pPr>
              <w:spacing w:after="20" w:line="240" w:lineRule="auto"/>
            </w:pPr>
            <w:r>
              <w:rPr>
                <w:sz w:val="15"/>
              </w:rPr>
              <w:t>Maximum across services over the trailing window; values in percent. Also retain per-service values in candidate table.</w:t>
            </w:r>
          </w:p>
        </w:tc>
      </w:tr>
      <w:tr>
        <w:tc>
          <w:tcPr>
            <w:tcW w:type="dxa" w:w="1728"/>
            <w:tcMar>
              <w:top w:w="85" w:type="dxa"/>
              <w:start w:w="90" w:type="dxa"/>
              <w:bottom w:w="85" w:type="dxa"/>
              <w:end w:w="90" w:type="dxa"/>
            </w:tcMar>
            <w:vAlign w:val="top"/>
            <w:shd w:fill="F3F6FA"/>
          </w:tcPr>
          <w:p>
            <w:pPr>
              <w:spacing w:after="20" w:line="240" w:lineRule="auto"/>
            </w:pPr>
            <w:r>
              <w:rPr>
                <w:sz w:val="15"/>
              </w:rPr>
              <w:t>Traffic/latency</w:t>
            </w:r>
          </w:p>
        </w:tc>
        <w:tc>
          <w:tcPr>
            <w:tcW w:type="dxa" w:w="4104"/>
            <w:tcMar>
              <w:top w:w="85" w:type="dxa"/>
              <w:start w:w="90" w:type="dxa"/>
              <w:bottom w:w="85" w:type="dxa"/>
              <w:end w:w="90" w:type="dxa"/>
            </w:tcMar>
            <w:vAlign w:val="top"/>
            <w:shd w:fill="F3F6FA"/>
          </w:tcPr>
          <w:p>
            <w:pPr>
              <w:spacing w:after="20" w:line="240" w:lineRule="auto"/>
            </w:pPr>
            <w:r>
              <w:rPr>
                <w:sz w:val="15"/>
              </w:rPr>
              <w:t>`request_rate_total_rps`, `latency_p95_max_ms`, `latency_p99_max_ms`</w:t>
            </w:r>
          </w:p>
        </w:tc>
        <w:tc>
          <w:tcPr>
            <w:tcW w:type="dxa" w:w="5112"/>
            <w:tcMar>
              <w:top w:w="85" w:type="dxa"/>
              <w:start w:w="90" w:type="dxa"/>
              <w:bottom w:w="85" w:type="dxa"/>
              <w:end w:w="90" w:type="dxa"/>
            </w:tcMar>
            <w:vAlign w:val="top"/>
            <w:shd w:fill="F3F6FA"/>
          </w:tcPr>
          <w:p>
            <w:pPr>
              <w:spacing w:after="20" w:line="240" w:lineRule="auto"/>
            </w:pPr>
            <w:r>
              <w:rPr>
                <w:sz w:val="15"/>
              </w:rPr>
              <w:t>Total request rate and maximum service-level p95/p99 latency over the same window.</w:t>
            </w:r>
          </w:p>
        </w:tc>
      </w:tr>
      <w:tr>
        <w:tc>
          <w:tcPr>
            <w:tcW w:type="dxa" w:w="1728"/>
            <w:tcMar>
              <w:top w:w="85" w:type="dxa"/>
              <w:start w:w="90" w:type="dxa"/>
              <w:bottom w:w="85" w:type="dxa"/>
              <w:end w:w="90" w:type="dxa"/>
            </w:tcMar>
            <w:vAlign w:val="top"/>
          </w:tcPr>
          <w:p>
            <w:pPr>
              <w:spacing w:after="20" w:line="240" w:lineRule="auto"/>
            </w:pPr>
            <w:r>
              <w:rPr>
                <w:sz w:val="15"/>
              </w:rPr>
              <w:t>Failures/restarts</w:t>
            </w:r>
          </w:p>
        </w:tc>
        <w:tc>
          <w:tcPr>
            <w:tcW w:type="dxa" w:w="4104"/>
            <w:tcMar>
              <w:top w:w="85" w:type="dxa"/>
              <w:start w:w="90" w:type="dxa"/>
              <w:bottom w:w="85" w:type="dxa"/>
              <w:end w:w="90" w:type="dxa"/>
            </w:tcMar>
            <w:vAlign w:val="top"/>
          </w:tcPr>
          <w:p>
            <w:pPr>
              <w:spacing w:after="20" w:line="240" w:lineRule="auto"/>
            </w:pPr>
            <w:r>
              <w:rPr>
                <w:sz w:val="15"/>
              </w:rPr>
              <w:t>`http_5xx_ratio`, `restarts_5m`</w:t>
            </w:r>
          </w:p>
        </w:tc>
        <w:tc>
          <w:tcPr>
            <w:tcW w:type="dxa" w:w="5112"/>
            <w:tcMar>
              <w:top w:w="85" w:type="dxa"/>
              <w:start w:w="90" w:type="dxa"/>
              <w:bottom w:w="85" w:type="dxa"/>
              <w:end w:w="90" w:type="dxa"/>
            </w:tcMar>
            <w:vAlign w:val="top"/>
          </w:tcPr>
          <w:p>
            <w:pPr>
              <w:spacing w:after="20" w:line="240" w:lineRule="auto"/>
            </w:pPr>
            <w:r>
              <w:rPr>
                <w:sz w:val="15"/>
              </w:rPr>
              <w:t>Use ratio (0–1) rather than mixed percentage units; count restarts within trailing five minutes.</w:t>
            </w:r>
          </w:p>
        </w:tc>
      </w:tr>
      <w:tr>
        <w:tc>
          <w:tcPr>
            <w:tcW w:type="dxa" w:w="1728"/>
            <w:tcMar>
              <w:top w:w="85" w:type="dxa"/>
              <w:start w:w="90" w:type="dxa"/>
              <w:bottom w:w="85" w:type="dxa"/>
              <w:end w:w="90" w:type="dxa"/>
            </w:tcMar>
            <w:vAlign w:val="top"/>
            <w:shd w:fill="F3F6FA"/>
          </w:tcPr>
          <w:p>
            <w:pPr>
              <w:spacing w:after="20" w:line="240" w:lineRule="auto"/>
            </w:pPr>
            <w:r>
              <w:rPr>
                <w:sz w:val="15"/>
              </w:rPr>
              <w:t>Database/network</w:t>
            </w:r>
          </w:p>
        </w:tc>
        <w:tc>
          <w:tcPr>
            <w:tcW w:type="dxa" w:w="4104"/>
            <w:tcMar>
              <w:top w:w="85" w:type="dxa"/>
              <w:start w:w="90" w:type="dxa"/>
              <w:bottom w:w="85" w:type="dxa"/>
              <w:end w:w="90" w:type="dxa"/>
            </w:tcMar>
            <w:vAlign w:val="top"/>
            <w:shd w:fill="F3F6FA"/>
          </w:tcPr>
          <w:p>
            <w:pPr>
              <w:spacing w:after="20" w:line="240" w:lineRule="auto"/>
            </w:pPr>
            <w:r>
              <w:rPr>
                <w:sz w:val="15"/>
              </w:rPr>
              <w:t>`db_latency_p95_ms`, `db_error_ratio`, `network_latency_p95_ms`</w:t>
            </w:r>
          </w:p>
        </w:tc>
        <w:tc>
          <w:tcPr>
            <w:tcW w:type="dxa" w:w="5112"/>
            <w:tcMar>
              <w:top w:w="85" w:type="dxa"/>
              <w:start w:w="90" w:type="dxa"/>
              <w:bottom w:w="85" w:type="dxa"/>
              <w:end w:w="90" w:type="dxa"/>
            </w:tcMar>
            <w:vAlign w:val="top"/>
            <w:shd w:fill="F3F6FA"/>
          </w:tcPr>
          <w:p>
            <w:pPr>
              <w:spacing w:after="20" w:line="240" w:lineRule="auto"/>
            </w:pPr>
            <w:r>
              <w:rPr>
                <w:sz w:val="15"/>
              </w:rPr>
              <w:t>Capture DB query/span latency, failed connection/query ratio, and dependency-network latency if instrumented.</w:t>
            </w:r>
          </w:p>
        </w:tc>
      </w:tr>
      <w:tr>
        <w:tc>
          <w:tcPr>
            <w:tcW w:type="dxa" w:w="1728"/>
            <w:tcMar>
              <w:top w:w="85" w:type="dxa"/>
              <w:start w:w="90" w:type="dxa"/>
              <w:bottom w:w="85" w:type="dxa"/>
              <w:end w:w="90" w:type="dxa"/>
            </w:tcMar>
            <w:vAlign w:val="top"/>
          </w:tcPr>
          <w:p>
            <w:pPr>
              <w:spacing w:after="20" w:line="240" w:lineRule="auto"/>
            </w:pPr>
            <w:r>
              <w:rPr>
                <w:sz w:val="15"/>
              </w:rPr>
              <w:t>Trace evidence</w:t>
            </w:r>
          </w:p>
        </w:tc>
        <w:tc>
          <w:tcPr>
            <w:tcW w:type="dxa" w:w="4104"/>
            <w:tcMar>
              <w:top w:w="85" w:type="dxa"/>
              <w:start w:w="90" w:type="dxa"/>
              <w:bottom w:w="85" w:type="dxa"/>
              <w:end w:w="90" w:type="dxa"/>
            </w:tcMar>
            <w:vAlign w:val="top"/>
          </w:tcPr>
          <w:p>
            <w:pPr>
              <w:spacing w:after="20" w:line="240" w:lineRule="auto"/>
            </w:pPr>
            <w:r>
              <w:rPr>
                <w:sz w:val="15"/>
              </w:rPr>
              <w:t>`trace_error_ratio`, `span_latency_p95_ms`</w:t>
            </w:r>
          </w:p>
        </w:tc>
        <w:tc>
          <w:tcPr>
            <w:tcW w:type="dxa" w:w="5112"/>
            <w:tcMar>
              <w:top w:w="85" w:type="dxa"/>
              <w:start w:w="90" w:type="dxa"/>
              <w:bottom w:w="85" w:type="dxa"/>
              <w:end w:w="90" w:type="dxa"/>
            </w:tcMar>
            <w:vAlign w:val="top"/>
          </w:tcPr>
          <w:p>
            <w:pPr>
              <w:spacing w:after="20" w:line="240" w:lineRule="auto"/>
            </w:pPr>
            <w:r>
              <w:rPr>
                <w:sz w:val="15"/>
              </w:rPr>
              <w:t>Fraction of failed spans and p95 duration of relevant spans; preserve consistent trace sampling.</w:t>
            </w:r>
          </w:p>
        </w:tc>
      </w:tr>
      <w:tr>
        <w:tc>
          <w:tcPr>
            <w:tcW w:type="dxa" w:w="1728"/>
            <w:tcMar>
              <w:top w:w="85" w:type="dxa"/>
              <w:start w:w="90" w:type="dxa"/>
              <w:bottom w:w="85" w:type="dxa"/>
              <w:end w:w="90" w:type="dxa"/>
            </w:tcMar>
            <w:vAlign w:val="top"/>
            <w:shd w:fill="F3F6FA"/>
          </w:tcPr>
          <w:p>
            <w:pPr>
              <w:spacing w:after="20" w:line="240" w:lineRule="auto"/>
            </w:pPr>
            <w:r>
              <w:rPr>
                <w:sz w:val="15"/>
              </w:rPr>
              <w:t>Log evidence</w:t>
            </w:r>
          </w:p>
        </w:tc>
        <w:tc>
          <w:tcPr>
            <w:tcW w:type="dxa" w:w="4104"/>
            <w:tcMar>
              <w:top w:w="85" w:type="dxa"/>
              <w:start w:w="90" w:type="dxa"/>
              <w:bottom w:w="85" w:type="dxa"/>
              <w:end w:w="90" w:type="dxa"/>
            </w:tcMar>
            <w:vAlign w:val="top"/>
            <w:shd w:fill="F3F6FA"/>
          </w:tcPr>
          <w:p>
            <w:pPr>
              <w:spacing w:after="20" w:line="240" w:lineRule="auto"/>
            </w:pPr>
            <w:r>
              <w:rPr>
                <w:sz w:val="15"/>
              </w:rPr>
              <w:t>`log_error_count_1m`, `log_timeout_count_1m`</w:t>
            </w:r>
          </w:p>
        </w:tc>
        <w:tc>
          <w:tcPr>
            <w:tcW w:type="dxa" w:w="5112"/>
            <w:tcMar>
              <w:top w:w="85" w:type="dxa"/>
              <w:start w:w="90" w:type="dxa"/>
              <w:bottom w:w="85" w:type="dxa"/>
              <w:end w:w="90" w:type="dxa"/>
            </w:tcMar>
            <w:vAlign w:val="top"/>
            <w:shd w:fill="F3F6FA"/>
          </w:tcPr>
          <w:p>
            <w:pPr>
              <w:spacing w:after="20" w:line="240" w:lineRule="auto"/>
            </w:pPr>
            <w:r>
              <w:rPr>
                <w:sz w:val="15"/>
              </w:rPr>
              <w:t>Counts aggregated over one minute; use structured error class/template rather than raw unbounded message text in v1.</w:t>
            </w:r>
          </w:p>
        </w:tc>
      </w:tr>
      <w:tr>
        <w:tc>
          <w:tcPr>
            <w:tcW w:type="dxa" w:w="1728"/>
            <w:tcMar>
              <w:top w:w="85" w:type="dxa"/>
              <w:start w:w="90" w:type="dxa"/>
              <w:bottom w:w="85" w:type="dxa"/>
              <w:end w:w="90" w:type="dxa"/>
            </w:tcMar>
            <w:vAlign w:val="top"/>
          </w:tcPr>
          <w:p>
            <w:pPr>
              <w:spacing w:after="20" w:line="240" w:lineRule="auto"/>
            </w:pPr>
            <w:r>
              <w:rPr>
                <w:sz w:val="15"/>
              </w:rPr>
              <w:t>Dependency/deployment</w:t>
            </w:r>
          </w:p>
        </w:tc>
        <w:tc>
          <w:tcPr>
            <w:tcW w:type="dxa" w:w="4104"/>
            <w:tcMar>
              <w:top w:w="85" w:type="dxa"/>
              <w:start w:w="90" w:type="dxa"/>
              <w:bottom w:w="85" w:type="dxa"/>
              <w:end w:w="90" w:type="dxa"/>
            </w:tcMar>
            <w:vAlign w:val="top"/>
          </w:tcPr>
          <w:p>
            <w:pPr>
              <w:spacing w:after="20" w:line="240" w:lineRule="auto"/>
            </w:pPr>
            <w:r>
              <w:rPr>
                <w:sz w:val="15"/>
              </w:rPr>
              <w:t>`dependency_anomaly_ratio`, `deployment_age_minutes`</w:t>
            </w:r>
          </w:p>
        </w:tc>
        <w:tc>
          <w:tcPr>
            <w:tcW w:type="dxa" w:w="5112"/>
            <w:tcMar>
              <w:top w:w="85" w:type="dxa"/>
              <w:start w:w="90" w:type="dxa"/>
              <w:bottom w:w="85" w:type="dxa"/>
              <w:end w:w="90" w:type="dxa"/>
            </w:tcMar>
            <w:vAlign w:val="top"/>
          </w:tcPr>
          <w:p>
            <w:pPr>
              <w:spacing w:after="20" w:line="240" w:lineRule="auto"/>
            </w:pPr>
            <w:r>
              <w:rPr>
                <w:sz w:val="15"/>
              </w:rPr>
              <w:t>Share of dependency nodes beyond a validated anomaly threshold; age of last deploy at inference time.</w:t>
            </w:r>
          </w:p>
        </w:tc>
      </w:tr>
      <w:tr>
        <w:tc>
          <w:tcPr>
            <w:tcW w:type="dxa" w:w="1728"/>
            <w:tcMar>
              <w:top w:w="85" w:type="dxa"/>
              <w:start w:w="90" w:type="dxa"/>
              <w:bottom w:w="85" w:type="dxa"/>
              <w:end w:w="90" w:type="dxa"/>
            </w:tcMar>
            <w:vAlign w:val="top"/>
            <w:shd w:fill="F3F6FA"/>
          </w:tcPr>
          <w:p>
            <w:pPr>
              <w:spacing w:after="20" w:line="240" w:lineRule="auto"/>
            </w:pPr>
            <w:r>
              <w:rPr>
                <w:sz w:val="15"/>
              </w:rPr>
              <w:t>Baseline deviations</w:t>
            </w:r>
          </w:p>
        </w:tc>
        <w:tc>
          <w:tcPr>
            <w:tcW w:type="dxa" w:w="4104"/>
            <w:tcMar>
              <w:top w:w="85" w:type="dxa"/>
              <w:start w:w="90" w:type="dxa"/>
              <w:bottom w:w="85" w:type="dxa"/>
              <w:end w:w="90" w:type="dxa"/>
            </w:tcMar>
            <w:vAlign w:val="top"/>
            <w:shd w:fill="F3F6FA"/>
          </w:tcPr>
          <w:p>
            <w:pPr>
              <w:spacing w:after="20" w:line="240" w:lineRule="auto"/>
            </w:pPr>
            <w:r>
              <w:rPr>
                <w:sz w:val="15"/>
              </w:rPr>
              <w:t>`cpu_zscore_max`, `memory_zscore_max`, `latency_zscore_max`, `error_zscore_max`</w:t>
            </w:r>
          </w:p>
        </w:tc>
        <w:tc>
          <w:tcPr>
            <w:tcW w:type="dxa" w:w="5112"/>
            <w:tcMar>
              <w:top w:w="85" w:type="dxa"/>
              <w:start w:w="90" w:type="dxa"/>
              <w:bottom w:w="85" w:type="dxa"/>
              <w:end w:w="90" w:type="dxa"/>
            </w:tcMar>
            <w:vAlign w:val="top"/>
            <w:shd w:fill="F3F6FA"/>
          </w:tcPr>
          <w:p>
            <w:pPr>
              <w:spacing w:after="20" w:line="240" w:lineRule="auto"/>
            </w:pPr>
            <w:r>
              <w:rPr>
                <w:sz w:val="15"/>
              </w:rPr>
              <w:t>Z-score relative to a baseline bucket (service role and workload), calculated from historical normal data without future leakage.</w:t>
            </w:r>
          </w:p>
        </w:tc>
      </w:tr>
      <w:tr>
        <w:tc>
          <w:tcPr>
            <w:tcW w:type="dxa" w:w="1728"/>
            <w:tcMar>
              <w:top w:w="85" w:type="dxa"/>
              <w:start w:w="90" w:type="dxa"/>
              <w:bottom w:w="85" w:type="dxa"/>
              <w:end w:w="90" w:type="dxa"/>
            </w:tcMar>
            <w:vAlign w:val="top"/>
          </w:tcPr>
          <w:p>
            <w:pPr>
              <w:spacing w:after="20" w:line="240" w:lineRule="auto"/>
            </w:pPr>
            <w:r>
              <w:rPr>
                <w:sz w:val="15"/>
              </w:rPr>
              <w:t>Trends</w:t>
            </w:r>
          </w:p>
        </w:tc>
        <w:tc>
          <w:tcPr>
            <w:tcW w:type="dxa" w:w="4104"/>
            <w:tcMar>
              <w:top w:w="85" w:type="dxa"/>
              <w:start w:w="90" w:type="dxa"/>
              <w:bottom w:w="85" w:type="dxa"/>
              <w:end w:w="90" w:type="dxa"/>
            </w:tcMar>
            <w:vAlign w:val="top"/>
          </w:tcPr>
          <w:p>
            <w:pPr>
              <w:spacing w:after="20" w:line="240" w:lineRule="auto"/>
            </w:pPr>
            <w:r>
              <w:rPr>
                <w:sz w:val="15"/>
              </w:rPr>
              <w:t>`memory_slope_5m_max`, `latency_slope_1m_max`</w:t>
            </w:r>
          </w:p>
        </w:tc>
        <w:tc>
          <w:tcPr>
            <w:tcW w:type="dxa" w:w="5112"/>
            <w:tcMar>
              <w:top w:w="85" w:type="dxa"/>
              <w:start w:w="90" w:type="dxa"/>
              <w:bottom w:w="85" w:type="dxa"/>
              <w:end w:w="90" w:type="dxa"/>
            </w:tcMar>
            <w:vAlign w:val="top"/>
          </w:tcPr>
          <w:p>
            <w:pPr>
              <w:spacing w:after="20" w:line="240" w:lineRule="auto"/>
            </w:pPr>
            <w:r>
              <w:rPr>
                <w:sz w:val="15"/>
              </w:rPr>
              <w:t>Slope from recent windows; units should be documented and stable (e.g. percentage points/minute or ms/minute).</w:t>
            </w:r>
          </w:p>
        </w:tc>
      </w:tr>
    </w:tbl>
    <w:p>
      <w:pPr>
        <w:spacing w:after="0"/>
      </w:pPr>
    </w:p>
    <w:p>
      <w:pPr>
        <w:pStyle w:val="Heading2"/>
      </w:pPr>
      <w:r>
        <w:t>5.3 `root_candidates.csv`: one row per incident × candidate service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17365D"/>
            <w:tcMar>
              <w:top w:w="85" w:type="dxa"/>
              <w:start w:w="90" w:type="dxa"/>
              <w:bottom w:w="85" w:type="dxa"/>
              <w:end w:w="90" w:type="dxa"/>
            </w:tcMar>
            <w:vAlign w:val="center"/>
          </w:tcPr>
          <w:p>
            <w:pPr>
              <w:spacing w:after="0"/>
            </w:pPr>
            <w:r>
              <w:rPr>
                <w:b/>
                <w:color w:val="FFFFFF"/>
                <w:sz w:val="16"/>
              </w:rPr>
              <w:t>Field</w:t>
            </w:r>
          </w:p>
        </w:tc>
        <w:tc>
          <w:tcPr>
            <w:tcW w:type="dxa" w:w="3672"/>
            <w:shd w:fill="17365D"/>
            <w:tcMar>
              <w:top w:w="85" w:type="dxa"/>
              <w:start w:w="90" w:type="dxa"/>
              <w:bottom w:w="85" w:type="dxa"/>
              <w:end w:w="90" w:type="dxa"/>
            </w:tcMar>
            <w:vAlign w:val="center"/>
          </w:tcPr>
          <w:p>
            <w:pPr>
              <w:spacing w:after="0"/>
            </w:pPr>
            <w:r>
              <w:rPr>
                <w:b/>
                <w:color w:val="FFFFFF"/>
                <w:sz w:val="16"/>
              </w:rPr>
              <w:t>Purpose</w:t>
            </w:r>
          </w:p>
        </w:tc>
        <w:tc>
          <w:tcPr>
            <w:tcW w:type="dxa" w:w="5328"/>
            <w:shd w:fill="17365D"/>
            <w:tcMar>
              <w:top w:w="85" w:type="dxa"/>
              <w:start w:w="90" w:type="dxa"/>
              <w:bottom w:w="85" w:type="dxa"/>
              <w:end w:w="90" w:type="dxa"/>
            </w:tcMar>
            <w:vAlign w:val="center"/>
          </w:tcPr>
          <w:p>
            <w:pPr>
              <w:spacing w:after="0"/>
            </w:pPr>
            <w:r>
              <w:rPr>
                <w:b/>
                <w:color w:val="FFFFFF"/>
                <w:sz w:val="16"/>
              </w:rPr>
              <w:t>Rule</w:t>
            </w:r>
          </w:p>
        </w:tc>
      </w:tr>
      <w:tr>
        <w:tc>
          <w:tcPr>
            <w:tcW w:type="dxa" w:w="1944"/>
            <w:tcMar>
              <w:top w:w="85" w:type="dxa"/>
              <w:start w:w="90" w:type="dxa"/>
              <w:bottom w:w="85" w:type="dxa"/>
              <w:end w:w="90" w:type="dxa"/>
            </w:tcMar>
            <w:vAlign w:val="top"/>
          </w:tcPr>
          <w:p>
            <w:pPr>
              <w:spacing w:after="20" w:line="240" w:lineRule="auto"/>
            </w:pPr>
            <w:r>
              <w:rPr>
                <w:sz w:val="16"/>
              </w:rPr>
              <w:t>incident_id</w:t>
            </w:r>
          </w:p>
        </w:tc>
        <w:tc>
          <w:tcPr>
            <w:tcW w:type="dxa" w:w="3672"/>
            <w:tcMar>
              <w:top w:w="85" w:type="dxa"/>
              <w:start w:w="90" w:type="dxa"/>
              <w:bottom w:w="85" w:type="dxa"/>
              <w:end w:w="90" w:type="dxa"/>
            </w:tcMar>
            <w:vAlign w:val="top"/>
          </w:tcPr>
          <w:p>
            <w:pPr>
              <w:spacing w:after="20" w:line="240" w:lineRule="auto"/>
            </w:pPr>
            <w:r>
              <w:rPr>
                <w:sz w:val="16"/>
              </w:rPr>
              <w:t>Links to fault episode</w:t>
            </w:r>
          </w:p>
        </w:tc>
        <w:tc>
          <w:tcPr>
            <w:tcW w:type="dxa" w:w="5328"/>
            <w:tcMar>
              <w:top w:w="85" w:type="dxa"/>
              <w:start w:w="90" w:type="dxa"/>
              <w:bottom w:w="85" w:type="dxa"/>
              <w:end w:w="90" w:type="dxa"/>
            </w:tcMar>
            <w:vAlign w:val="top"/>
          </w:tcPr>
          <w:p>
            <w:pPr>
              <w:spacing w:after="20" w:line="240" w:lineRule="auto"/>
            </w:pPr>
            <w:r>
              <w:rPr>
                <w:sz w:val="16"/>
              </w:rPr>
              <w:t>Use to inherit train/validation/test split; not a feature.</w:t>
            </w:r>
          </w:p>
        </w:tc>
      </w:tr>
      <w:tr>
        <w:tc>
          <w:tcPr>
            <w:tcW w:type="dxa" w:w="1944"/>
            <w:tcMar>
              <w:top w:w="85" w:type="dxa"/>
              <w:start w:w="90" w:type="dxa"/>
              <w:bottom w:w="85" w:type="dxa"/>
              <w:end w:w="90" w:type="dxa"/>
            </w:tcMar>
            <w:vAlign w:val="top"/>
            <w:shd w:fill="F3F6FA"/>
          </w:tcPr>
          <w:p>
            <w:pPr>
              <w:spacing w:after="20" w:line="240" w:lineRule="auto"/>
            </w:pPr>
            <w:r>
              <w:rPr>
                <w:sz w:val="16"/>
              </w:rPr>
              <w:t>service_id</w:t>
            </w:r>
          </w:p>
        </w:tc>
        <w:tc>
          <w:tcPr>
            <w:tcW w:type="dxa" w:w="3672"/>
            <w:tcMar>
              <w:top w:w="85" w:type="dxa"/>
              <w:start w:w="90" w:type="dxa"/>
              <w:bottom w:w="85" w:type="dxa"/>
              <w:end w:w="90" w:type="dxa"/>
            </w:tcMar>
            <w:vAlign w:val="top"/>
            <w:shd w:fill="F3F6FA"/>
          </w:tcPr>
          <w:p>
            <w:pPr>
              <w:spacing w:after="20" w:line="240" w:lineRule="auto"/>
            </w:pPr>
            <w:r>
              <w:rPr>
                <w:sz w:val="16"/>
              </w:rPr>
              <w:t>Actual candidate identity, such as `order-service`</w:t>
            </w:r>
          </w:p>
        </w:tc>
        <w:tc>
          <w:tcPr>
            <w:tcW w:type="dxa" w:w="5328"/>
            <w:tcMar>
              <w:top w:w="85" w:type="dxa"/>
              <w:start w:w="90" w:type="dxa"/>
              <w:bottom w:w="85" w:type="dxa"/>
              <w:end w:w="90" w:type="dxa"/>
            </w:tcMar>
            <w:vAlign w:val="top"/>
            <w:shd w:fill="F3F6FA"/>
          </w:tcPr>
          <w:p>
            <w:pPr>
              <w:spacing w:after="20" w:line="240" w:lineRule="auto"/>
            </w:pPr>
            <w:r>
              <w:rPr>
                <w:sz w:val="16"/>
              </w:rPr>
              <w:t>Return in ranked API response, but exclude from model features to reduce memorizing one system’s service names.</w:t>
            </w:r>
          </w:p>
        </w:tc>
      </w:tr>
      <w:tr>
        <w:tc>
          <w:tcPr>
            <w:tcW w:type="dxa" w:w="1944"/>
            <w:tcMar>
              <w:top w:w="85" w:type="dxa"/>
              <w:start w:w="90" w:type="dxa"/>
              <w:bottom w:w="85" w:type="dxa"/>
              <w:end w:w="90" w:type="dxa"/>
            </w:tcMar>
            <w:vAlign w:val="top"/>
          </w:tcPr>
          <w:p>
            <w:pPr>
              <w:spacing w:after="20" w:line="240" w:lineRule="auto"/>
            </w:pPr>
            <w:r>
              <w:rPr>
                <w:sz w:val="16"/>
              </w:rPr>
              <w:t>is_root_cause</w:t>
            </w:r>
          </w:p>
        </w:tc>
        <w:tc>
          <w:tcPr>
            <w:tcW w:type="dxa" w:w="3672"/>
            <w:tcMar>
              <w:top w:w="85" w:type="dxa"/>
              <w:start w:w="90" w:type="dxa"/>
              <w:bottom w:w="85" w:type="dxa"/>
              <w:end w:w="90" w:type="dxa"/>
            </w:tcMar>
            <w:vAlign w:val="top"/>
          </w:tcPr>
          <w:p>
            <w:pPr>
              <w:spacing w:after="20" w:line="240" w:lineRule="auto"/>
            </w:pPr>
            <w:r>
              <w:rPr>
                <w:sz w:val="16"/>
              </w:rPr>
              <w:t>Ground-truth label 0/1</w:t>
            </w:r>
          </w:p>
        </w:tc>
        <w:tc>
          <w:tcPr>
            <w:tcW w:type="dxa" w:w="5328"/>
            <w:tcMar>
              <w:top w:w="85" w:type="dxa"/>
              <w:start w:w="90" w:type="dxa"/>
              <w:bottom w:w="85" w:type="dxa"/>
              <w:end w:w="90" w:type="dxa"/>
            </w:tcMar>
            <w:vAlign w:val="top"/>
          </w:tcPr>
          <w:p>
            <w:pPr>
              <w:spacing w:after="20" w:line="240" w:lineRule="auto"/>
            </w:pPr>
            <w:r>
              <w:rPr>
                <w:sz w:val="16"/>
              </w:rPr>
              <w:t>Exactly one positive row per single-fault incident in this v1. Never use as a feature.</w:t>
            </w:r>
          </w:p>
        </w:tc>
      </w:tr>
      <w:tr>
        <w:tc>
          <w:tcPr>
            <w:tcW w:type="dxa" w:w="1944"/>
            <w:tcMar>
              <w:top w:w="85" w:type="dxa"/>
              <w:start w:w="90" w:type="dxa"/>
              <w:bottom w:w="85" w:type="dxa"/>
              <w:end w:w="90" w:type="dxa"/>
            </w:tcMar>
            <w:vAlign w:val="top"/>
            <w:shd w:fill="F3F6FA"/>
          </w:tcPr>
          <w:p>
            <w:pPr>
              <w:spacing w:after="20" w:line="240" w:lineRule="auto"/>
            </w:pPr>
            <w:r>
              <w:rPr>
                <w:sz w:val="16"/>
              </w:rPr>
              <w:t>22 candidate features in `src/features.py`</w:t>
            </w:r>
          </w:p>
        </w:tc>
        <w:tc>
          <w:tcPr>
            <w:tcW w:type="dxa" w:w="3672"/>
            <w:tcMar>
              <w:top w:w="85" w:type="dxa"/>
              <w:start w:w="90" w:type="dxa"/>
              <w:bottom w:w="85" w:type="dxa"/>
              <w:end w:w="90" w:type="dxa"/>
            </w:tcMar>
            <w:vAlign w:val="top"/>
            <w:shd w:fill="F3F6FA"/>
          </w:tcPr>
          <w:p>
            <w:pPr>
              <w:spacing w:after="20" w:line="240" w:lineRule="auto"/>
            </w:pPr>
            <w:r>
              <w:rPr>
                <w:sz w:val="16"/>
              </w:rPr>
              <w:t>Service-local metrics, errors and graph context</w:t>
            </w:r>
          </w:p>
        </w:tc>
        <w:tc>
          <w:tcPr>
            <w:tcW w:type="dxa" w:w="5328"/>
            <w:tcMar>
              <w:top w:w="85" w:type="dxa"/>
              <w:start w:w="90" w:type="dxa"/>
              <w:bottom w:w="85" w:type="dxa"/>
              <w:end w:w="90" w:type="dxa"/>
            </w:tcMar>
            <w:vAlign w:val="top"/>
            <w:shd w:fill="F3F6FA"/>
          </w:tcPr>
          <w:p>
            <w:pPr>
              <w:spacing w:after="20" w:line="240" w:lineRule="auto"/>
            </w:pPr>
            <w:r>
              <w:rPr>
                <w:sz w:val="16"/>
              </w:rPr>
              <w:t>XGBoost binary score; sort scores across candidate services for each incident.</w:t>
            </w:r>
          </w:p>
        </w:tc>
      </w:tr>
    </w:tbl>
    <w:p>
      <w:pPr>
        <w:spacing w:after="0"/>
      </w:pPr>
    </w:p>
    <w:p>
      <w:pPr>
        <w:pStyle w:val="Heading2"/>
      </w:pPr>
      <w:r>
        <w:t>5.4 Candidate-service features (exact grouping)</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72"/>
            <w:shd w:fill="17365D"/>
            <w:tcMar>
              <w:top w:w="85" w:type="dxa"/>
              <w:start w:w="90" w:type="dxa"/>
              <w:bottom w:w="85" w:type="dxa"/>
              <w:end w:w="90" w:type="dxa"/>
            </w:tcMar>
            <w:vAlign w:val="center"/>
          </w:tcPr>
          <w:p>
            <w:pPr>
              <w:spacing w:after="0"/>
            </w:pPr>
            <w:r>
              <w:rPr>
                <w:b/>
                <w:color w:val="FFFFFF"/>
                <w:sz w:val="15"/>
              </w:rPr>
              <w:t>Group</w:t>
            </w:r>
          </w:p>
        </w:tc>
        <w:tc>
          <w:tcPr>
            <w:tcW w:type="dxa" w:w="5112"/>
            <w:shd w:fill="17365D"/>
            <w:tcMar>
              <w:top w:w="85" w:type="dxa"/>
              <w:start w:w="90" w:type="dxa"/>
              <w:bottom w:w="85" w:type="dxa"/>
              <w:end w:w="90" w:type="dxa"/>
            </w:tcMar>
            <w:vAlign w:val="center"/>
          </w:tcPr>
          <w:p>
            <w:pPr>
              <w:spacing w:after="0"/>
            </w:pPr>
            <w:r>
              <w:rPr>
                <w:b/>
                <w:color w:val="FFFFFF"/>
                <w:sz w:val="15"/>
              </w:rPr>
              <w:t>Feature names</w:t>
            </w:r>
          </w:p>
        </w:tc>
        <w:tc>
          <w:tcPr>
            <w:tcW w:type="dxa" w:w="3960"/>
            <w:shd w:fill="17365D"/>
            <w:tcMar>
              <w:top w:w="85" w:type="dxa"/>
              <w:start w:w="90" w:type="dxa"/>
              <w:bottom w:w="85" w:type="dxa"/>
              <w:end w:w="90" w:type="dxa"/>
            </w:tcMar>
            <w:vAlign w:val="center"/>
          </w:tcPr>
          <w:p>
            <w:pPr>
              <w:spacing w:after="0"/>
            </w:pPr>
            <w:r>
              <w:rPr>
                <w:b/>
                <w:color w:val="FFFFFF"/>
                <w:sz w:val="15"/>
              </w:rPr>
              <w:t>Reason</w:t>
            </w:r>
          </w:p>
        </w:tc>
      </w:tr>
      <w:tr>
        <w:tc>
          <w:tcPr>
            <w:tcW w:type="dxa" w:w="1872"/>
            <w:tcMar>
              <w:top w:w="85" w:type="dxa"/>
              <w:start w:w="90" w:type="dxa"/>
              <w:bottom w:w="85" w:type="dxa"/>
              <w:end w:w="90" w:type="dxa"/>
            </w:tcMar>
            <w:vAlign w:val="top"/>
          </w:tcPr>
          <w:p>
            <w:pPr>
              <w:spacing w:after="20" w:line="240" w:lineRule="auto"/>
            </w:pPr>
            <w:r>
              <w:rPr>
                <w:sz w:val="15"/>
              </w:rPr>
              <w:t>Local anomalies</w:t>
            </w:r>
          </w:p>
        </w:tc>
        <w:tc>
          <w:tcPr>
            <w:tcW w:type="dxa" w:w="5112"/>
            <w:tcMar>
              <w:top w:w="85" w:type="dxa"/>
              <w:start w:w="90" w:type="dxa"/>
              <w:bottom w:w="85" w:type="dxa"/>
              <w:end w:w="90" w:type="dxa"/>
            </w:tcMar>
            <w:vAlign w:val="top"/>
          </w:tcPr>
          <w:p>
            <w:pPr>
              <w:spacing w:after="20" w:line="240" w:lineRule="auto"/>
            </w:pPr>
            <w:r>
              <w:rPr>
                <w:sz w:val="15"/>
              </w:rPr>
              <w:t>`cpu_zscore`, `memory_zscore`, `latency_zscore`, `error_zscore`, `db_latency_zscore`</w:t>
            </w:r>
          </w:p>
        </w:tc>
        <w:tc>
          <w:tcPr>
            <w:tcW w:type="dxa" w:w="3960"/>
            <w:tcMar>
              <w:top w:w="85" w:type="dxa"/>
              <w:start w:w="90" w:type="dxa"/>
              <w:bottom w:w="85" w:type="dxa"/>
              <w:end w:w="90" w:type="dxa"/>
            </w:tcMar>
            <w:vAlign w:val="top"/>
          </w:tcPr>
          <w:p>
            <w:pPr>
              <w:spacing w:after="20" w:line="240" w:lineRule="auto"/>
            </w:pPr>
            <w:r>
              <w:rPr>
                <w:sz w:val="15"/>
              </w:rPr>
              <w:t>Measures how unusual this candidate’s metrics are versus its own baseline.</w:t>
            </w:r>
          </w:p>
        </w:tc>
      </w:tr>
      <w:tr>
        <w:tc>
          <w:tcPr>
            <w:tcW w:type="dxa" w:w="1872"/>
            <w:tcMar>
              <w:top w:w="85" w:type="dxa"/>
              <w:start w:w="90" w:type="dxa"/>
              <w:bottom w:w="85" w:type="dxa"/>
              <w:end w:w="90" w:type="dxa"/>
            </w:tcMar>
            <w:vAlign w:val="top"/>
            <w:shd w:fill="F3F6FA"/>
          </w:tcPr>
          <w:p>
            <w:pPr>
              <w:spacing w:after="20" w:line="240" w:lineRule="auto"/>
            </w:pPr>
            <w:r>
              <w:rPr>
                <w:sz w:val="15"/>
              </w:rPr>
              <w:t>Runtime/log/trace</w:t>
            </w:r>
          </w:p>
        </w:tc>
        <w:tc>
          <w:tcPr>
            <w:tcW w:type="dxa" w:w="5112"/>
            <w:tcMar>
              <w:top w:w="85" w:type="dxa"/>
              <w:start w:w="90" w:type="dxa"/>
              <w:bottom w:w="85" w:type="dxa"/>
              <w:end w:w="90" w:type="dxa"/>
            </w:tcMar>
            <w:vAlign w:val="top"/>
            <w:shd w:fill="F3F6FA"/>
          </w:tcPr>
          <w:p>
            <w:pPr>
              <w:spacing w:after="20" w:line="240" w:lineRule="auto"/>
            </w:pPr>
            <w:r>
              <w:rPr>
                <w:sz w:val="15"/>
              </w:rPr>
              <w:t>`restarts_5m`, `trace_error_ratio`, `trace_latency_zscore`, `log_error_rate`, `timeout_log_ratio`</w:t>
            </w:r>
          </w:p>
        </w:tc>
        <w:tc>
          <w:tcPr>
            <w:tcW w:type="dxa" w:w="3960"/>
            <w:tcMar>
              <w:top w:w="85" w:type="dxa"/>
              <w:start w:w="90" w:type="dxa"/>
              <w:bottom w:w="85" w:type="dxa"/>
              <w:end w:w="90" w:type="dxa"/>
            </w:tcMar>
            <w:vAlign w:val="top"/>
            <w:shd w:fill="F3F6FA"/>
          </w:tcPr>
          <w:p>
            <w:pPr>
              <w:spacing w:after="20" w:line="240" w:lineRule="auto"/>
            </w:pPr>
            <w:r>
              <w:rPr>
                <w:sz w:val="15"/>
              </w:rPr>
              <w:t>Captures whether the candidate emits errors, slow spans, timeouts or restart signals.</w:t>
            </w:r>
          </w:p>
        </w:tc>
      </w:tr>
      <w:tr>
        <w:tc>
          <w:tcPr>
            <w:tcW w:type="dxa" w:w="1872"/>
            <w:tcMar>
              <w:top w:w="85" w:type="dxa"/>
              <w:start w:w="90" w:type="dxa"/>
              <w:bottom w:w="85" w:type="dxa"/>
              <w:end w:w="90" w:type="dxa"/>
            </w:tcMar>
            <w:vAlign w:val="top"/>
          </w:tcPr>
          <w:p>
            <w:pPr>
              <w:spacing w:after="20" w:line="240" w:lineRule="auto"/>
            </w:pPr>
            <w:r>
              <w:rPr>
                <w:sz w:val="15"/>
              </w:rPr>
              <w:t>Deployment</w:t>
            </w:r>
          </w:p>
        </w:tc>
        <w:tc>
          <w:tcPr>
            <w:tcW w:type="dxa" w:w="5112"/>
            <w:tcMar>
              <w:top w:w="85" w:type="dxa"/>
              <w:start w:w="90" w:type="dxa"/>
              <w:bottom w:w="85" w:type="dxa"/>
              <w:end w:w="90" w:type="dxa"/>
            </w:tcMar>
            <w:vAlign w:val="top"/>
          </w:tcPr>
          <w:p>
            <w:pPr>
              <w:spacing w:after="20" w:line="240" w:lineRule="auto"/>
            </w:pPr>
            <w:r>
              <w:rPr>
                <w:sz w:val="15"/>
              </w:rPr>
              <w:t>`deployment_age_minutes`</w:t>
            </w:r>
          </w:p>
        </w:tc>
        <w:tc>
          <w:tcPr>
            <w:tcW w:type="dxa" w:w="3960"/>
            <w:tcMar>
              <w:top w:w="85" w:type="dxa"/>
              <w:start w:w="90" w:type="dxa"/>
              <w:bottom w:w="85" w:type="dxa"/>
              <w:end w:w="90" w:type="dxa"/>
            </w:tcMar>
            <w:vAlign w:val="top"/>
          </w:tcPr>
          <w:p>
            <w:pPr>
              <w:spacing w:after="20" w:line="240" w:lineRule="auto"/>
            </w:pPr>
            <w:r>
              <w:rPr>
                <w:sz w:val="15"/>
              </w:rPr>
              <w:t>Can support a deployment-related hypothesis when a fault follows a release.</w:t>
            </w:r>
          </w:p>
        </w:tc>
      </w:tr>
      <w:tr>
        <w:tc>
          <w:tcPr>
            <w:tcW w:type="dxa" w:w="1872"/>
            <w:tcMar>
              <w:top w:w="85" w:type="dxa"/>
              <w:start w:w="90" w:type="dxa"/>
              <w:bottom w:w="85" w:type="dxa"/>
              <w:end w:w="90" w:type="dxa"/>
            </w:tcMar>
            <w:vAlign w:val="top"/>
            <w:shd w:fill="F3F6FA"/>
          </w:tcPr>
          <w:p>
            <w:pPr>
              <w:spacing w:after="20" w:line="240" w:lineRule="auto"/>
            </w:pPr>
            <w:r>
              <w:rPr>
                <w:sz w:val="15"/>
              </w:rPr>
              <w:t>Dependency neighbourhood</w:t>
            </w:r>
          </w:p>
        </w:tc>
        <w:tc>
          <w:tcPr>
            <w:tcW w:type="dxa" w:w="5112"/>
            <w:tcMar>
              <w:top w:w="85" w:type="dxa"/>
              <w:start w:w="90" w:type="dxa"/>
              <w:bottom w:w="85" w:type="dxa"/>
              <w:end w:w="90" w:type="dxa"/>
            </w:tcMar>
            <w:vAlign w:val="top"/>
            <w:shd w:fill="F3F6FA"/>
          </w:tcPr>
          <w:p>
            <w:pPr>
              <w:spacing w:after="20" w:line="240" w:lineRule="auto"/>
            </w:pPr>
            <w:r>
              <w:rPr>
                <w:sz w:val="15"/>
              </w:rPr>
              <w:t>`neighbor_anomaly_ratio`, `upstream_anomaly_ratio`, `downstream_anomaly_ratio`, `in_degree_norm`, `out_degree_norm`, `propagation_lag_seconds`</w:t>
            </w:r>
          </w:p>
        </w:tc>
        <w:tc>
          <w:tcPr>
            <w:tcW w:type="dxa" w:w="3960"/>
            <w:tcMar>
              <w:top w:w="85" w:type="dxa"/>
              <w:start w:w="90" w:type="dxa"/>
              <w:bottom w:w="85" w:type="dxa"/>
              <w:end w:w="90" w:type="dxa"/>
            </w:tcMar>
            <w:vAlign w:val="top"/>
            <w:shd w:fill="F3F6FA"/>
          </w:tcPr>
          <w:p>
            <w:pPr>
              <w:spacing w:after="20" w:line="240" w:lineRule="auto"/>
            </w:pPr>
            <w:r>
              <w:rPr>
                <w:sz w:val="15"/>
              </w:rPr>
              <w:t>Encodes dependency relationships and whether anomalies first appear locally or propagate from neighbours. Define lag consistently and use only observed timestamps.</w:t>
            </w:r>
          </w:p>
        </w:tc>
      </w:tr>
      <w:tr>
        <w:tc>
          <w:tcPr>
            <w:tcW w:type="dxa" w:w="1872"/>
            <w:tcMar>
              <w:top w:w="85" w:type="dxa"/>
              <w:start w:w="90" w:type="dxa"/>
              <w:bottom w:w="85" w:type="dxa"/>
              <w:end w:w="90" w:type="dxa"/>
            </w:tcMar>
            <w:vAlign w:val="top"/>
          </w:tcPr>
          <w:p>
            <w:pPr>
              <w:spacing w:after="20" w:line="240" w:lineRule="auto"/>
            </w:pPr>
            <w:r>
              <w:rPr>
                <w:sz w:val="15"/>
              </w:rPr>
              <w:t>Service role one-hot</w:t>
            </w:r>
          </w:p>
        </w:tc>
        <w:tc>
          <w:tcPr>
            <w:tcW w:type="dxa" w:w="5112"/>
            <w:tcMar>
              <w:top w:w="85" w:type="dxa"/>
              <w:start w:w="90" w:type="dxa"/>
              <w:bottom w:w="85" w:type="dxa"/>
              <w:end w:w="90" w:type="dxa"/>
            </w:tcMar>
            <w:vAlign w:val="top"/>
          </w:tcPr>
          <w:p>
            <w:pPr>
              <w:spacing w:after="20" w:line="240" w:lineRule="auto"/>
            </w:pPr>
            <w:r>
              <w:rPr>
                <w:sz w:val="15"/>
              </w:rPr>
              <w:t>`role_gateway`, `role_application`, `role_database`, `role_cache`, `role_external`</w:t>
            </w:r>
          </w:p>
        </w:tc>
        <w:tc>
          <w:tcPr>
            <w:tcW w:type="dxa" w:w="3960"/>
            <w:tcMar>
              <w:top w:w="85" w:type="dxa"/>
              <w:start w:w="90" w:type="dxa"/>
              <w:bottom w:w="85" w:type="dxa"/>
              <w:end w:w="90" w:type="dxa"/>
            </w:tcMar>
            <w:vAlign w:val="top"/>
          </w:tcPr>
          <w:p>
            <w:pPr>
              <w:spacing w:after="20" w:line="240" w:lineRule="auto"/>
            </w:pPr>
            <w:r>
              <w:rPr>
                <w:sz w:val="15"/>
              </w:rPr>
              <w:t>Captures broad component role without using literal service name as a predictor.</w:t>
            </w:r>
          </w:p>
        </w:tc>
      </w:tr>
    </w:tbl>
    <w:p>
      <w:pPr>
        <w:spacing w:after="0"/>
      </w:pPr>
    </w:p>
    <w:p>
      <w:pPr>
        <w:pStyle w:val="Heading2"/>
      </w:pPr>
      <w:r>
        <w:t>5.5 Prevent target leakage</w:t>
      </w:r>
    </w:p>
    <w:p>
      <w:pPr>
        <w:pStyle w:val="ListBullet"/>
        <w:spacing w:after="40"/>
      </w:pPr>
      <w:r>
        <w:t>Never put `fault_type`, `root_cause_service`, `is_root_cause`, `phase`, `incident_id`, an injection-marker field, an explicit injector command, or a recovery result in model feature vectors.</w:t>
      </w:r>
    </w:p>
    <w:p>
      <w:pPr>
        <w:pStyle w:val="ListBullet"/>
        <w:spacing w:after="40"/>
      </w:pPr>
      <w:r>
        <w:t>Never use metrics/logs/traces generated after the diagnosis timestamp for that prediction. Define a single diagnosis cutoff and construct all features from data observed before the cutoff.</w:t>
      </w:r>
    </w:p>
    <w:p>
      <w:pPr>
        <w:pStyle w:val="ListBullet"/>
        <w:spacing w:after="40"/>
      </w:pPr>
      <w:r>
        <w:t>Never split overlapping windows randomly. Split by full `incident_id` and keep all candidate service rows for an incident together.</w:t>
      </w:r>
    </w:p>
    <w:p>
      <w:pPr>
        <w:pStyle w:val="ListBullet"/>
        <w:spacing w:after="40"/>
      </w:pPr>
      <w:r>
        <w:t>Fit all preprocessing, imputers, scalers, feature selection, class weights, thresholds and calibration only on training/validation data as appropriate—not the held-out test set.</w:t>
      </w:r>
    </w:p>
    <w:p>
      <w:pPr>
        <w:pStyle w:val="ListBullet"/>
        <w:spacing w:after="40"/>
      </w:pPr>
      <w:r>
        <w:t>Use a separate temporal/session holdout if possible. Report leave-one-system-out results for RCAEval only after a documented cross-system mapping.</w:t>
      </w:r>
    </w:p>
    <w:p>
      <w:pPr>
        <w:pStyle w:val="Heading1"/>
      </w:pPr>
      <w:r>
        <w:t>6. Model 1 — Isolation Forest anomaly detector</w:t>
      </w:r>
    </w:p>
    <w:p>
      <w:r>
        <w:t>Placement: first model after feature generation. It answers: “Does this observation differ from known-normal behaviour enough to trigger diagnosis?” It does not answer which fault occurred. Use a deterministic threshold baseline as a comparison and as a fallback.</w:t>
      </w:r>
    </w:p>
    <w:p>
      <w:pPr>
        <w:pStyle w:val="Heading2"/>
      </w:pPr>
      <w:r>
        <w:t>6.1 Training data</w:t>
      </w:r>
    </w:p>
    <w:p>
      <w:pPr>
        <w:pStyle w:val="ListBullet"/>
        <w:spacing w:after="40"/>
      </w:pPr>
      <w:r>
        <w:t>Use only `phase == normal` rows from the training incident groups. Collect normal behaviour at multiple request rates (low, typical, high) and include normal restarts/deploys only if they are considered acceptable system behaviour.</w:t>
      </w:r>
    </w:p>
    <w:p>
      <w:pPr>
        <w:pStyle w:val="ListBullet"/>
        <w:spacing w:after="40"/>
      </w:pPr>
      <w:r>
        <w:t>Public support: pre-injection normal periods from RCAEval can be used for a separate benchmark experiment after feature normalization. Do not assume its features are directly identical to your Prometheus aggregates.</w:t>
      </w:r>
    </w:p>
    <w:p>
      <w:pPr>
        <w:pStyle w:val="ListBullet"/>
        <w:spacing w:after="40"/>
      </w:pPr>
      <w:r>
        <w:t>Do not include fault-active windows in the fit. Do not let a faulty run’s post-recovery data enter the normal training set until that run has been manually verified as healthy.</w:t>
      </w:r>
    </w:p>
    <w:p>
      <w:pPr>
        <w:pStyle w:val="Heading2"/>
      </w:pPr>
      <w:r>
        <w:t>6.2 Exact training configuration</w:t>
      </w:r>
    </w:p>
    <w:tbl>
      <w:tblPr>
        <w:tblW w:type="auto" w:w="0"/>
        <w:jc w:val="center"/>
        <w:tblLook w:firstColumn="1" w:firstRow="1" w:lastColumn="0" w:lastRow="0" w:noHBand="0" w:noVBand="1" w:val="04A0"/>
      </w:tblPr>
      <w:tblGrid>
        <w:gridCol w:w="10080"/>
      </w:tblGrid>
      <w:tr>
        <w:tc>
          <w:tcPr>
            <w:tcW w:type="dxa" w:w="10080"/>
            <w:shd w:fill="F2F5F8"/>
            <w:tcMar>
              <w:top w:w="120" w:type="dxa"/>
              <w:start w:w="140" w:type="dxa"/>
              <w:bottom w:w="120" w:type="dxa"/>
              <w:end w:w="140" w:type="dxa"/>
            </w:tcMar>
          </w:tcPr>
          <w:p>
            <w:pPr>
              <w:spacing w:after="0" w:line="240" w:lineRule="auto"/>
            </w:pPr>
            <w:r>
              <w:rPr>
                <w:rFonts w:ascii="Consolas" w:hAnsi="Consolas" w:eastAsia="Consolas"/>
                <w:sz w:val="16"/>
              </w:rPr>
              <w:t>Pipeline(</w:t>
              <w:br/>
              <w:t xml:space="preserve">  RobustScaler(),</w:t>
              <w:br/>
              <w:t xml:space="preserve">  IsolationForest(</w:t>
              <w:br/>
              <w:t xml:space="preserve">    n_estimators=300, max_samples="auto",</w:t>
              <w:br/>
              <w:t xml:space="preserve">    contamination="auto", random_state=42</w:t>
              <w:br/>
              <w:t xml:space="preserve">  )</w:t>
              <w:br/>
              <w:t>)</w:t>
            </w:r>
          </w:p>
        </w:tc>
      </w:tr>
    </w:tbl>
    <w:p>
      <w:pPr>
        <w:spacing w:after="0"/>
      </w:pPr>
    </w:p>
    <w:p>
      <w:r>
        <w:t>`RobustScaler` reduces the impact of scale differences and outliers. Isolation Forest isolates rare points with random feature/value splits. It has no fault labels during fitting. The kit then obtains `score_samples` on normal validation windows; lower scores are more anomalous.</w:t>
      </w:r>
    </w:p>
    <w:p>
      <w:pPr>
        <w:pStyle w:val="Heading2"/>
      </w:pPr>
      <w:r>
        <w:t>6.3 Threshold selection and validation</w:t>
      </w:r>
    </w:p>
    <w:p>
      <w:pPr>
        <w:pStyle w:val="ListNumber"/>
        <w:spacing w:after="60"/>
      </w:pPr>
      <w:r>
        <w:t>Fit the pipeline using training normal rows only.</w:t>
      </w:r>
    </w:p>
    <w:p>
      <w:pPr>
        <w:pStyle w:val="ListNumber"/>
        <w:spacing w:after="60"/>
      </w:pPr>
      <w:r>
        <w:t>Score normal validation rows that belong to incident groups not used in training.</w:t>
      </w:r>
    </w:p>
    <w:p>
      <w:pPr>
        <w:pStyle w:val="ListNumber"/>
        <w:spacing w:after="60"/>
      </w:pPr>
      <w:r>
        <w:t>Set a candidate threshold to a low quantile of validation-normal scores, for example the 1st percentile for a target of about 1% pointwise false positives. This is a starting policy, not a guarantee of hourly false-alert rate.</w:t>
      </w:r>
    </w:p>
    <w:p>
      <w:pPr>
        <w:pStyle w:val="ListNumber"/>
        <w:spacing w:after="60"/>
      </w:pPr>
      <w:r>
        <w:t>Evaluate both normal false-positive rate and fault recall on test episodes. Also report false alerts per service-hour and detection delay, since correlated time windows can make pointwise metrics look better than operational behaviour.</w:t>
      </w:r>
    </w:p>
    <w:p>
      <w:pPr>
        <w:pStyle w:val="ListNumber"/>
        <w:spacing w:after="60"/>
      </w:pPr>
      <w:r>
        <w:t>Tune the threshold on validation only. Never change it after inspecting final test outcomes without declaring a new experiment.</w:t>
      </w:r>
    </w:p>
    <w:tbl>
      <w:tblPr>
        <w:tblW w:type="auto" w:w="0"/>
        <w:tblLook w:firstColumn="1" w:firstRow="1" w:lastColumn="0" w:lastRow="0" w:noHBand="0" w:noVBand="1" w:val="04A0"/>
      </w:tblPr>
      <w:tblGrid>
        <w:gridCol w:w="10080"/>
      </w:tblGrid>
      <w:tr>
        <w:tc>
          <w:tcPr>
            <w:tcW w:type="dxa" w:w="10080"/>
            <w:shd w:fill="FFF2CC"/>
            <w:tcMar>
              <w:top w:w="130" w:type="dxa"/>
              <w:start w:w="150" w:type="dxa"/>
              <w:bottom w:w="130" w:type="dxa"/>
              <w:end w:w="150" w:type="dxa"/>
            </w:tcMar>
          </w:tcPr>
          <w:p>
            <w:pPr>
              <w:spacing w:after="60"/>
            </w:pPr>
            <w:r>
              <w:rPr>
                <w:b/>
                <w:color w:val="17365D"/>
                <w:sz w:val="20"/>
              </w:rPr>
              <w:t>Model 1 limitation</w:t>
            </w:r>
          </w:p>
          <w:p>
            <w:pPr>
              <w:spacing w:after="0"/>
            </w:pPr>
            <w:r>
              <w:t>A detector trained on normal samples may flag a new workload regime. That is expected; evaluate false positives separately by load profile and add representative normal data before enabling autonomy.</w:t>
            </w:r>
          </w:p>
        </w:tc>
      </w:tr>
    </w:tbl>
    <w:p>
      <w:pPr>
        <w:spacing w:after="0"/>
      </w:pPr>
    </w:p>
    <w:p>
      <w:pPr>
        <w:pStyle w:val="Heading1"/>
      </w:pPr>
      <w:r>
        <w:t>7. Model 2 — XGBoost fault-family classifier</w:t>
      </w:r>
    </w:p>
    <w:p>
      <w:r>
        <w:t>Placement: after an anomaly is detected and enough evidence has been collected. It answers: “Which known fault family best matches the current system-level feature window?” Use XGBoost as the main model and Random Forest as the required tabular-ML baseline. If Random Forest matches XGBoost within uncertainty while being simpler, the simpler model is acceptable.</w:t>
      </w:r>
    </w:p>
    <w:p>
      <w:pPr>
        <w:pStyle w:val="Heading2"/>
      </w:pPr>
      <w:r>
        <w:t>7.1 Exact output classes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16"/>
            <w:shd w:fill="17365D"/>
            <w:tcMar>
              <w:top w:w="85" w:type="dxa"/>
              <w:start w:w="90" w:type="dxa"/>
              <w:bottom w:w="85" w:type="dxa"/>
              <w:end w:w="90" w:type="dxa"/>
            </w:tcMar>
            <w:vAlign w:val="center"/>
          </w:tcPr>
          <w:p>
            <w:pPr>
              <w:spacing w:after="0"/>
            </w:pPr>
            <w:r>
              <w:rPr>
                <w:b/>
                <w:color w:val="FFFFFF"/>
                <w:sz w:val="15"/>
              </w:rPr>
              <w:t>Label</w:t>
            </w:r>
          </w:p>
        </w:tc>
        <w:tc>
          <w:tcPr>
            <w:tcW w:type="dxa" w:w="3816"/>
            <w:shd w:fill="17365D"/>
            <w:tcMar>
              <w:top w:w="85" w:type="dxa"/>
              <w:start w:w="90" w:type="dxa"/>
              <w:bottom w:w="85" w:type="dxa"/>
              <w:end w:w="90" w:type="dxa"/>
            </w:tcMar>
            <w:vAlign w:val="center"/>
          </w:tcPr>
          <w:p>
            <w:pPr>
              <w:spacing w:after="0"/>
            </w:pPr>
            <w:r>
              <w:rPr>
                <w:b/>
                <w:color w:val="FFFFFF"/>
                <w:sz w:val="15"/>
              </w:rPr>
              <w:t>Typical evidence</w:t>
            </w:r>
          </w:p>
        </w:tc>
        <w:tc>
          <w:tcPr>
            <w:tcW w:type="dxa" w:w="5112"/>
            <w:shd w:fill="17365D"/>
            <w:tcMar>
              <w:top w:w="85" w:type="dxa"/>
              <w:start w:w="90" w:type="dxa"/>
              <w:bottom w:w="85" w:type="dxa"/>
              <w:end w:w="90" w:type="dxa"/>
            </w:tcMar>
            <w:vAlign w:val="center"/>
          </w:tcPr>
          <w:p>
            <w:pPr>
              <w:spacing w:after="0"/>
            </w:pPr>
            <w:r>
              <w:rPr>
                <w:b/>
                <w:color w:val="FFFFFF"/>
                <w:sz w:val="15"/>
              </w:rPr>
              <w:t>Candidate policy (not automatically executed by model)</w:t>
            </w:r>
          </w:p>
        </w:tc>
      </w:tr>
      <w:tr>
        <w:tc>
          <w:tcPr>
            <w:tcW w:type="dxa" w:w="2016"/>
            <w:tcMar>
              <w:top w:w="85" w:type="dxa"/>
              <w:start w:w="90" w:type="dxa"/>
              <w:bottom w:w="85" w:type="dxa"/>
              <w:end w:w="90" w:type="dxa"/>
            </w:tcMar>
            <w:vAlign w:val="top"/>
          </w:tcPr>
          <w:p>
            <w:pPr>
              <w:spacing w:after="20" w:line="240" w:lineRule="auto"/>
            </w:pPr>
            <w:r>
              <w:rPr>
                <w:sz w:val="15"/>
              </w:rPr>
              <w:t>SERVICE_CRASH</w:t>
            </w:r>
          </w:p>
        </w:tc>
        <w:tc>
          <w:tcPr>
            <w:tcW w:type="dxa" w:w="3816"/>
            <w:tcMar>
              <w:top w:w="85" w:type="dxa"/>
              <w:start w:w="90" w:type="dxa"/>
              <w:bottom w:w="85" w:type="dxa"/>
              <w:end w:w="90" w:type="dxa"/>
            </w:tcMar>
            <w:vAlign w:val="top"/>
          </w:tcPr>
          <w:p>
            <w:pPr>
              <w:spacing w:after="20" w:line="240" w:lineRule="auto"/>
            </w:pPr>
            <w:r>
              <w:rPr>
                <w:sz w:val="15"/>
              </w:rPr>
              <w:t>Service health fails; error/restart/trace failure rises.</w:t>
            </w:r>
          </w:p>
        </w:tc>
        <w:tc>
          <w:tcPr>
            <w:tcW w:type="dxa" w:w="5112"/>
            <w:tcMar>
              <w:top w:w="85" w:type="dxa"/>
              <w:start w:w="90" w:type="dxa"/>
              <w:bottom w:w="85" w:type="dxa"/>
              <w:end w:w="90" w:type="dxa"/>
            </w:tcMar>
            <w:vAlign w:val="top"/>
          </w:tcPr>
          <w:p>
            <w:pPr>
              <w:spacing w:after="20" w:line="240" w:lineRule="auto"/>
            </w:pPr>
            <w:r>
              <w:rPr>
                <w:sz w:val="15"/>
              </w:rPr>
              <w:t>Check platform self-healing first; restart only if approved and still unhealthy.</w:t>
            </w:r>
          </w:p>
        </w:tc>
      </w:tr>
      <w:tr>
        <w:tc>
          <w:tcPr>
            <w:tcW w:type="dxa" w:w="2016"/>
            <w:tcMar>
              <w:top w:w="85" w:type="dxa"/>
              <w:start w:w="90" w:type="dxa"/>
              <w:bottom w:w="85" w:type="dxa"/>
              <w:end w:w="90" w:type="dxa"/>
            </w:tcMar>
            <w:vAlign w:val="top"/>
            <w:shd w:fill="F3F6FA"/>
          </w:tcPr>
          <w:p>
            <w:pPr>
              <w:spacing w:after="20" w:line="240" w:lineRule="auto"/>
            </w:pPr>
            <w:r>
              <w:rPr>
                <w:sz w:val="15"/>
              </w:rPr>
              <w:t>CPU_SATURATION</w:t>
            </w:r>
          </w:p>
        </w:tc>
        <w:tc>
          <w:tcPr>
            <w:tcW w:type="dxa" w:w="3816"/>
            <w:tcMar>
              <w:top w:w="85" w:type="dxa"/>
              <w:start w:w="90" w:type="dxa"/>
              <w:bottom w:w="85" w:type="dxa"/>
              <w:end w:w="90" w:type="dxa"/>
            </w:tcMar>
            <w:vAlign w:val="top"/>
            <w:shd w:fill="F3F6FA"/>
          </w:tcPr>
          <w:p>
            <w:pPr>
              <w:spacing w:after="20" w:line="240" w:lineRule="auto"/>
            </w:pPr>
            <w:r>
              <w:rPr>
                <w:sz w:val="15"/>
              </w:rPr>
              <w:t>CPU high, CPU z-score rises, latency/queueing increases.</w:t>
            </w:r>
          </w:p>
        </w:tc>
        <w:tc>
          <w:tcPr>
            <w:tcW w:type="dxa" w:w="5112"/>
            <w:tcMar>
              <w:top w:w="85" w:type="dxa"/>
              <w:start w:w="90" w:type="dxa"/>
              <w:bottom w:w="85" w:type="dxa"/>
              <w:end w:w="90" w:type="dxa"/>
            </w:tcMar>
            <w:vAlign w:val="top"/>
            <w:shd w:fill="F3F6FA"/>
          </w:tcPr>
          <w:p>
            <w:pPr>
              <w:spacing w:after="20" w:line="240" w:lineRule="auto"/>
            </w:pPr>
            <w:r>
              <w:rPr>
                <w:sz w:val="15"/>
              </w:rPr>
              <w:t>Scale or load-shed if sustained and quota allows.</w:t>
            </w:r>
          </w:p>
        </w:tc>
      </w:tr>
      <w:tr>
        <w:tc>
          <w:tcPr>
            <w:tcW w:type="dxa" w:w="2016"/>
            <w:tcMar>
              <w:top w:w="85" w:type="dxa"/>
              <w:start w:w="90" w:type="dxa"/>
              <w:bottom w:w="85" w:type="dxa"/>
              <w:end w:w="90" w:type="dxa"/>
            </w:tcMar>
            <w:vAlign w:val="top"/>
          </w:tcPr>
          <w:p>
            <w:pPr>
              <w:spacing w:after="20" w:line="240" w:lineRule="auto"/>
            </w:pPr>
            <w:r>
              <w:rPr>
                <w:sz w:val="15"/>
              </w:rPr>
              <w:t>MEMORY_PRESSURE</w:t>
            </w:r>
          </w:p>
        </w:tc>
        <w:tc>
          <w:tcPr>
            <w:tcW w:type="dxa" w:w="3816"/>
            <w:tcMar>
              <w:top w:w="85" w:type="dxa"/>
              <w:start w:w="90" w:type="dxa"/>
              <w:bottom w:w="85" w:type="dxa"/>
              <w:end w:w="90" w:type="dxa"/>
            </w:tcMar>
            <w:vAlign w:val="top"/>
          </w:tcPr>
          <w:p>
            <w:pPr>
              <w:spacing w:after="20" w:line="240" w:lineRule="auto"/>
            </w:pPr>
            <w:r>
              <w:rPr>
                <w:sz w:val="15"/>
              </w:rPr>
              <w:t>Memory high/rising, memory slope/OOM signal.</w:t>
            </w:r>
          </w:p>
        </w:tc>
        <w:tc>
          <w:tcPr>
            <w:tcW w:type="dxa" w:w="5112"/>
            <w:tcMar>
              <w:top w:w="85" w:type="dxa"/>
              <w:start w:w="90" w:type="dxa"/>
              <w:bottom w:w="85" w:type="dxa"/>
              <w:end w:w="90" w:type="dxa"/>
            </w:tcMar>
            <w:vAlign w:val="top"/>
          </w:tcPr>
          <w:p>
            <w:pPr>
              <w:spacing w:after="20" w:line="240" w:lineRule="auto"/>
            </w:pPr>
            <w:r>
              <w:rPr>
                <w:sz w:val="15"/>
              </w:rPr>
              <w:t>Restart one stateless replica only when capacity is safe; otherwise escalate/scale.</w:t>
            </w:r>
          </w:p>
        </w:tc>
      </w:tr>
      <w:tr>
        <w:tc>
          <w:tcPr>
            <w:tcW w:type="dxa" w:w="2016"/>
            <w:tcMar>
              <w:top w:w="85" w:type="dxa"/>
              <w:start w:w="90" w:type="dxa"/>
              <w:bottom w:w="85" w:type="dxa"/>
              <w:end w:w="90" w:type="dxa"/>
            </w:tcMar>
            <w:vAlign w:val="top"/>
            <w:shd w:fill="F3F6FA"/>
          </w:tcPr>
          <w:p>
            <w:pPr>
              <w:spacing w:after="20" w:line="240" w:lineRule="auto"/>
            </w:pPr>
            <w:r>
              <w:rPr>
                <w:sz w:val="15"/>
              </w:rPr>
              <w:t>DATABASE_UNAVAILABLE</w:t>
            </w:r>
          </w:p>
        </w:tc>
        <w:tc>
          <w:tcPr>
            <w:tcW w:type="dxa" w:w="3816"/>
            <w:tcMar>
              <w:top w:w="85" w:type="dxa"/>
              <w:start w:w="90" w:type="dxa"/>
              <w:bottom w:w="85" w:type="dxa"/>
              <w:end w:w="90" w:type="dxa"/>
            </w:tcMar>
            <w:vAlign w:val="top"/>
            <w:shd w:fill="F3F6FA"/>
          </w:tcPr>
          <w:p>
            <w:pPr>
              <w:spacing w:after="20" w:line="240" w:lineRule="auto"/>
            </w:pPr>
            <w:r>
              <w:rPr>
                <w:sz w:val="15"/>
              </w:rPr>
              <w:t>DB errors/timeouts are high and dependent calls fail.</w:t>
            </w:r>
          </w:p>
        </w:tc>
        <w:tc>
          <w:tcPr>
            <w:tcW w:type="dxa" w:w="5112"/>
            <w:tcMar>
              <w:top w:w="85" w:type="dxa"/>
              <w:start w:w="90" w:type="dxa"/>
              <w:bottom w:w="85" w:type="dxa"/>
              <w:end w:w="90" w:type="dxa"/>
            </w:tcMar>
            <w:vAlign w:val="top"/>
            <w:shd w:fill="F3F6FA"/>
          </w:tcPr>
          <w:p>
            <w:pPr>
              <w:spacing w:after="20" w:line="240" w:lineRule="auto"/>
            </w:pPr>
            <w:r>
              <w:rPr>
                <w:sz w:val="15"/>
              </w:rPr>
              <w:t>Retry/backoff or configured failover; database restart is approval-gated.</w:t>
            </w:r>
          </w:p>
        </w:tc>
      </w:tr>
      <w:tr>
        <w:tc>
          <w:tcPr>
            <w:tcW w:type="dxa" w:w="2016"/>
            <w:tcMar>
              <w:top w:w="85" w:type="dxa"/>
              <w:start w:w="90" w:type="dxa"/>
              <w:bottom w:w="85" w:type="dxa"/>
              <w:end w:w="90" w:type="dxa"/>
            </w:tcMar>
            <w:vAlign w:val="top"/>
          </w:tcPr>
          <w:p>
            <w:pPr>
              <w:spacing w:after="20" w:line="240" w:lineRule="auto"/>
            </w:pPr>
            <w:r>
              <w:rPr>
                <w:sz w:val="15"/>
              </w:rPr>
              <w:t>DATABASE_LATENCY</w:t>
            </w:r>
          </w:p>
        </w:tc>
        <w:tc>
          <w:tcPr>
            <w:tcW w:type="dxa" w:w="3816"/>
            <w:tcMar>
              <w:top w:w="85" w:type="dxa"/>
              <w:start w:w="90" w:type="dxa"/>
              <w:bottom w:w="85" w:type="dxa"/>
              <w:end w:w="90" w:type="dxa"/>
            </w:tcMar>
            <w:vAlign w:val="top"/>
          </w:tcPr>
          <w:p>
            <w:pPr>
              <w:spacing w:after="20" w:line="240" w:lineRule="auto"/>
            </w:pPr>
            <w:r>
              <w:rPr>
                <w:sz w:val="15"/>
              </w:rPr>
              <w:t>DB span/query p95 high before dependent service p95.</w:t>
            </w:r>
          </w:p>
        </w:tc>
        <w:tc>
          <w:tcPr>
            <w:tcW w:type="dxa" w:w="5112"/>
            <w:tcMar>
              <w:top w:w="85" w:type="dxa"/>
              <w:start w:w="90" w:type="dxa"/>
              <w:bottom w:w="85" w:type="dxa"/>
              <w:end w:w="90" w:type="dxa"/>
            </w:tcMar>
            <w:vAlign w:val="top"/>
          </w:tcPr>
          <w:p>
            <w:pPr>
              <w:spacing w:after="20" w:line="240" w:lineRule="auto"/>
            </w:pPr>
            <w:r>
              <w:rPr>
                <w:sz w:val="15"/>
              </w:rPr>
              <w:t>Investigate DB wait/connection pool; bounded retry/backoff only if safe.</w:t>
            </w:r>
          </w:p>
        </w:tc>
      </w:tr>
      <w:tr>
        <w:tc>
          <w:tcPr>
            <w:tcW w:type="dxa" w:w="2016"/>
            <w:tcMar>
              <w:top w:w="85" w:type="dxa"/>
              <w:start w:w="90" w:type="dxa"/>
              <w:bottom w:w="85" w:type="dxa"/>
              <w:end w:w="90" w:type="dxa"/>
            </w:tcMar>
            <w:vAlign w:val="top"/>
            <w:shd w:fill="F3F6FA"/>
          </w:tcPr>
          <w:p>
            <w:pPr>
              <w:spacing w:after="20" w:line="240" w:lineRule="auto"/>
            </w:pPr>
            <w:r>
              <w:rPr>
                <w:sz w:val="15"/>
              </w:rPr>
              <w:t>NETWORK_DEGRADATION</w:t>
            </w:r>
          </w:p>
        </w:tc>
        <w:tc>
          <w:tcPr>
            <w:tcW w:type="dxa" w:w="3816"/>
            <w:tcMar>
              <w:top w:w="85" w:type="dxa"/>
              <w:start w:w="90" w:type="dxa"/>
              <w:bottom w:w="85" w:type="dxa"/>
              <w:end w:w="90" w:type="dxa"/>
            </w:tcMar>
            <w:vAlign w:val="top"/>
            <w:shd w:fill="F3F6FA"/>
          </w:tcPr>
          <w:p>
            <w:pPr>
              <w:spacing w:after="20" w:line="240" w:lineRule="auto"/>
            </w:pPr>
            <w:r>
              <w:rPr>
                <w:sz w:val="15"/>
              </w:rPr>
              <w:t>Dependency latency/loss/timeouts rise.</w:t>
            </w:r>
          </w:p>
        </w:tc>
        <w:tc>
          <w:tcPr>
            <w:tcW w:type="dxa" w:w="5112"/>
            <w:tcMar>
              <w:top w:w="85" w:type="dxa"/>
              <w:start w:w="90" w:type="dxa"/>
              <w:bottom w:w="85" w:type="dxa"/>
              <w:end w:w="90" w:type="dxa"/>
            </w:tcMar>
            <w:vAlign w:val="top"/>
            <w:shd w:fill="F3F6FA"/>
          </w:tcPr>
          <w:p>
            <w:pPr>
              <w:spacing w:after="20" w:line="240" w:lineRule="auto"/>
            </w:pPr>
            <w:r>
              <w:rPr>
                <w:sz w:val="15"/>
              </w:rPr>
              <w:t>Retry/failover only when configured and evidence indicates network/dependency fault.</w:t>
            </w:r>
          </w:p>
        </w:tc>
      </w:tr>
      <w:tr>
        <w:tc>
          <w:tcPr>
            <w:tcW w:type="dxa" w:w="2016"/>
            <w:tcMar>
              <w:top w:w="85" w:type="dxa"/>
              <w:start w:w="90" w:type="dxa"/>
              <w:bottom w:w="85" w:type="dxa"/>
              <w:end w:w="90" w:type="dxa"/>
            </w:tcMar>
            <w:vAlign w:val="top"/>
          </w:tcPr>
          <w:p>
            <w:pPr>
              <w:spacing w:after="20" w:line="240" w:lineRule="auto"/>
            </w:pPr>
            <w:r>
              <w:rPr>
                <w:sz w:val="15"/>
              </w:rPr>
              <w:t>BAD_DEPLOYMENT</w:t>
            </w:r>
          </w:p>
        </w:tc>
        <w:tc>
          <w:tcPr>
            <w:tcW w:type="dxa" w:w="3816"/>
            <w:tcMar>
              <w:top w:w="85" w:type="dxa"/>
              <w:start w:w="90" w:type="dxa"/>
              <w:bottom w:w="85" w:type="dxa"/>
              <w:end w:w="90" w:type="dxa"/>
            </w:tcMar>
            <w:vAlign w:val="top"/>
          </w:tcPr>
          <w:p>
            <w:pPr>
              <w:spacing w:after="20" w:line="240" w:lineRule="auto"/>
            </w:pPr>
            <w:r>
              <w:rPr>
                <w:sz w:val="15"/>
              </w:rPr>
              <w:t>Errors regress shortly after a version change.</w:t>
            </w:r>
          </w:p>
        </w:tc>
        <w:tc>
          <w:tcPr>
            <w:tcW w:type="dxa" w:w="5112"/>
            <w:tcMar>
              <w:top w:w="85" w:type="dxa"/>
              <w:start w:w="90" w:type="dxa"/>
              <w:bottom w:w="85" w:type="dxa"/>
              <w:end w:w="90" w:type="dxa"/>
            </w:tcMar>
            <w:vAlign w:val="top"/>
          </w:tcPr>
          <w:p>
            <w:pPr>
              <w:spacing w:after="20" w:line="240" w:lineRule="auto"/>
            </w:pPr>
            <w:r>
              <w:rPr>
                <w:sz w:val="15"/>
              </w:rPr>
              <w:t>Rollback only to known-good revision after policy checks.</w:t>
            </w:r>
          </w:p>
        </w:tc>
      </w:tr>
      <w:tr>
        <w:tc>
          <w:tcPr>
            <w:tcW w:type="dxa" w:w="2016"/>
            <w:tcMar>
              <w:top w:w="85" w:type="dxa"/>
              <w:start w:w="90" w:type="dxa"/>
              <w:bottom w:w="85" w:type="dxa"/>
              <w:end w:w="90" w:type="dxa"/>
            </w:tcMar>
            <w:vAlign w:val="top"/>
            <w:shd w:fill="F3F6FA"/>
          </w:tcPr>
          <w:p>
            <w:pPr>
              <w:spacing w:after="20" w:line="240" w:lineRule="auto"/>
            </w:pPr>
            <w:r>
              <w:rPr>
                <w:sz w:val="15"/>
              </w:rPr>
              <w:t>TRAFFIC_OVERLOAD</w:t>
            </w:r>
          </w:p>
        </w:tc>
        <w:tc>
          <w:tcPr>
            <w:tcW w:type="dxa" w:w="3816"/>
            <w:tcMar>
              <w:top w:w="85" w:type="dxa"/>
              <w:start w:w="90" w:type="dxa"/>
              <w:bottom w:w="85" w:type="dxa"/>
              <w:end w:w="90" w:type="dxa"/>
            </w:tcMar>
            <w:vAlign w:val="top"/>
            <w:shd w:fill="F3F6FA"/>
          </w:tcPr>
          <w:p>
            <w:pPr>
              <w:spacing w:after="20" w:line="240" w:lineRule="auto"/>
            </w:pPr>
            <w:r>
              <w:rPr>
                <w:sz w:val="15"/>
              </w:rPr>
              <w:t>Request rate and saturation rise together.</w:t>
            </w:r>
          </w:p>
        </w:tc>
        <w:tc>
          <w:tcPr>
            <w:tcW w:type="dxa" w:w="5112"/>
            <w:tcMar>
              <w:top w:w="85" w:type="dxa"/>
              <w:start w:w="90" w:type="dxa"/>
              <w:bottom w:w="85" w:type="dxa"/>
              <w:end w:w="90" w:type="dxa"/>
            </w:tcMar>
            <w:vAlign w:val="top"/>
            <w:shd w:fill="F3F6FA"/>
          </w:tcPr>
          <w:p>
            <w:pPr>
              <w:spacing w:after="20" w:line="240" w:lineRule="auto"/>
            </w:pPr>
            <w:r>
              <w:rPr>
                <w:sz w:val="15"/>
              </w:rPr>
              <w:t>Scale within quotas or shed load; a restart is usually the wrong action.</w:t>
            </w:r>
          </w:p>
        </w:tc>
      </w:tr>
    </w:tbl>
    <w:p>
      <w:pPr>
        <w:spacing w:after="0"/>
      </w:pPr>
    </w:p>
    <w:p>
      <w:r>
        <w:t>This label set is the first release’s project taxonomy. Align fault injector code, manifest labels, dataset labels and policy keys exactly. If a fault type is not yet implemented and repeatable, do not include it in classifier training as though it were observed.</w:t>
      </w:r>
    </w:p>
    <w:p>
      <w:pPr>
        <w:pStyle w:val="Heading2"/>
      </w:pPr>
      <w:r>
        <w:t>7.2 Features, objective and starting hyperparameters</w:t>
      </w:r>
    </w:p>
    <w:p>
      <w:pPr>
        <w:pStyle w:val="ListBullet"/>
        <w:spacing w:after="40"/>
      </w:pPr>
      <w:r>
        <w:t>Input: the 23 fixed numeric `WINDOW_FEATURES` listed in Section 5.2; one row represents the current trailing window, aggregated across services consistently.</w:t>
      </w:r>
    </w:p>
    <w:p>
      <w:pPr>
        <w:pStyle w:val="ListBullet"/>
        <w:spacing w:after="40"/>
      </w:pPr>
      <w:r>
        <w:t>Target: `fault_type` for `phase == fault_active` only. Keep `NORMAL` rows for anomaly detector training and normal operating-point evaluation; do not include `NORMAL` as a fault class if the classifier is invoked only after anomaly detection.</w:t>
      </w:r>
    </w:p>
    <w:p>
      <w:pPr>
        <w:pStyle w:val="ListBullet"/>
        <w:spacing w:after="40"/>
      </w:pPr>
      <w:r>
        <w:t>Objective: `multi:softprob` and evaluation metric `mlogloss`. Class-weight sample weights are computed on training data to reduce majority-class dominance.</w:t>
      </w:r>
    </w:p>
    <w:p>
      <w:pPr>
        <w:pStyle w:val="ListBullet"/>
        <w:spacing w:after="40"/>
      </w:pPr>
      <w:r>
        <w:t>Starting values in the kit: 160 trees, max depth 4, learning rate 0.05, subsample 0.85, column sample 0.85, min child weight 3, L2 regularization 2, `tree_method=hist`, fixed seed 42. These are baseline settings; tune using validation macro-F1/log-loss and runtime, not test performance.</w:t>
      </w:r>
    </w:p>
    <w:tbl>
      <w:tblPr>
        <w:tblW w:type="auto" w:w="0"/>
        <w:jc w:val="center"/>
        <w:tblLook w:firstColumn="1" w:firstRow="1" w:lastColumn="0" w:lastRow="0" w:noHBand="0" w:noVBand="1" w:val="04A0"/>
      </w:tblPr>
      <w:tblGrid>
        <w:gridCol w:w="10080"/>
      </w:tblGrid>
      <w:tr>
        <w:tc>
          <w:tcPr>
            <w:tcW w:type="dxa" w:w="10080"/>
            <w:shd w:fill="F2F5F8"/>
            <w:tcMar>
              <w:top w:w="120" w:type="dxa"/>
              <w:start w:w="140" w:type="dxa"/>
              <w:bottom w:w="120" w:type="dxa"/>
              <w:end w:w="140" w:type="dxa"/>
            </w:tcMar>
          </w:tcPr>
          <w:p>
            <w:pPr>
              <w:spacing w:after="0" w:line="240" w:lineRule="auto"/>
            </w:pPr>
            <w:r>
              <w:rPr>
                <w:rFonts w:ascii="Consolas" w:hAnsi="Consolas" w:eastAsia="Consolas"/>
                <w:sz w:val="16"/>
              </w:rPr>
              <w:t>XGBClassifier(</w:t>
              <w:br/>
              <w:t xml:space="preserve">  objective="multi:softprob", eval_metric="mlogloss",</w:t>
              <w:br/>
              <w:t xml:space="preserve">  n_estimators=160, max_depth=4, learning_rate=0.05,</w:t>
              <w:br/>
              <w:t xml:space="preserve">  subsample=0.85, colsample_bytree=0.85,</w:t>
              <w:br/>
              <w:t xml:space="preserve">  min_child_weight=3, reg_lambda=2.0,</w:t>
              <w:br/>
              <w:t xml:space="preserve">  tree_method="hist", random_state=42</w:t>
              <w:br/>
              <w:t>)</w:t>
            </w:r>
          </w:p>
        </w:tc>
      </w:tr>
    </w:tbl>
    <w:p>
      <w:pPr>
        <w:spacing w:after="0"/>
      </w:pPr>
    </w:p>
    <w:p>
      <w:pPr>
        <w:pStyle w:val="Heading2"/>
      </w:pPr>
      <w:r>
        <w:t>7.3 Class imbalance and data splitting</w:t>
      </w:r>
    </w:p>
    <w:p>
      <w:pPr>
        <w:pStyle w:val="ListBullet"/>
        <w:spacing w:after="40"/>
      </w:pPr>
      <w:r>
        <w:t>Collect multiple independent episodes per class; do not compensate for missing classes by duplicating nearly identical windows across train and test.</w:t>
      </w:r>
    </w:p>
    <w:p>
      <w:pPr>
        <w:pStyle w:val="ListBullet"/>
        <w:spacing w:after="40"/>
      </w:pPr>
      <w:r>
        <w:t>Use class-balanced sample weights computed on the training split. If a class has very few independent episodes, collect more episodes or merge only if the fault definitions are truly indistinguishable for your research question.</w:t>
      </w:r>
    </w:p>
    <w:p>
      <w:pPr>
        <w:pStyle w:val="ListBullet"/>
        <w:spacing w:after="40"/>
      </w:pPr>
      <w:r>
        <w:t>Use approximately 70% of episode groups for training, 15% for validation and 15% for final testing. Assert that every class appears in each split. The model-training kit intentionally stops when a class is absent from validation/test; collect more independent examples or predefine a stratified group split.</w:t>
      </w:r>
    </w:p>
    <w:p>
      <w:pPr>
        <w:pStyle w:val="ListBullet"/>
        <w:spacing w:after="40"/>
      </w:pPr>
      <w:r>
        <w:t>Report macro-F1, per-class precision/recall, confusion matrix, log loss and—when calibrated—Brier score or calibration curves. Accuracy alone can hide a classifier that misses rare failures.</w:t>
      </w:r>
    </w:p>
    <w:p>
      <w:pPr>
        <w:pStyle w:val="Heading1"/>
      </w:pPr>
      <w:r>
        <w:t>8. Model 3 — XGBoost candidate-service root-cause ranker</w:t>
      </w:r>
    </w:p>
    <w:p>
      <w:r>
        <w:t>Placement: run after a fault is detected and the evidence window is available. This model is service-level: it scores each candidate service, then ranks the services within the incident. It does not need a separate model for every service name.</w:t>
      </w:r>
    </w:p>
    <w:p>
      <w:pPr>
        <w:pStyle w:val="Heading2"/>
      </w:pPr>
      <w:r>
        <w:t>8.1 Training-example construction</w:t>
      </w:r>
    </w:p>
    <w:p>
      <w:pPr>
        <w:pStyle w:val="ListNumber"/>
        <w:spacing w:after="60"/>
      </w:pPr>
      <w:r>
        <w:t>For each controlled fault episode, set a fixed diagnosis cutoff (for example, the first point when application-level symptoms cross the detection condition).</w:t>
      </w:r>
    </w:p>
    <w:p>
      <w:pPr>
        <w:pStyle w:val="ListNumber"/>
        <w:spacing w:after="60"/>
      </w:pPr>
      <w:r>
        <w:t>Create one row for each service candidate in the testbed at that cutoff. Candidate features describe what was observable for that service and its dependency neighbours at or before the cutoff.</w:t>
      </w:r>
    </w:p>
    <w:p>
      <w:pPr>
        <w:pStyle w:val="ListNumber"/>
        <w:spacing w:after="60"/>
      </w:pPr>
      <w:r>
        <w:t>Set `is_root_cause = 1` only for the injected root-cause service and 0 for every other candidate. The v1 injector should introduce one root fault per episode; multi-fault episodes need a different multi-label formulation.</w:t>
      </w:r>
    </w:p>
    <w:p>
      <w:pPr>
        <w:pStyle w:val="ListNumber"/>
        <w:spacing w:after="60"/>
      </w:pPr>
      <w:r>
        <w:t>Keep `service_id` as metadata for output but exclude its literal string value from model features. Use role flags and graph features to reduce memorization of one topology.</w:t>
      </w:r>
    </w:p>
    <w:p>
      <w:pPr>
        <w:pStyle w:val="ListNumber"/>
        <w:spacing w:after="60"/>
      </w:pPr>
      <w:r>
        <w:t>At training/evaluation time, group all candidates from one incident together. At inference, score all current candidate services and sort descending.</w:t>
      </w:r>
    </w:p>
    <w:p>
      <w:pPr>
        <w:pStyle w:val="Heading2"/>
      </w:pPr>
      <w:r>
        <w:t>8.2 Model objective</w:t>
      </w:r>
    </w:p>
    <w:p>
      <w:r>
        <w:t>The reference implementation uses an XGBoost binary classifier (`binary:logistic`) to estimate whether each candidate is the root cause. Since there is one positive candidate for several negative candidates, use a training-set positive-class weight and evaluate ranking per incident. This binary-candidate scoring approach is easier to implement and inspect than an end-to-end Graph Neural Network while still making dependency features available.</w:t>
      </w:r>
    </w:p>
    <w:tbl>
      <w:tblPr>
        <w:tblW w:type="auto" w:w="0"/>
        <w:jc w:val="center"/>
        <w:tblLook w:firstColumn="1" w:firstRow="1" w:lastColumn="0" w:lastRow="0" w:noHBand="0" w:noVBand="1" w:val="04A0"/>
      </w:tblPr>
      <w:tblGrid>
        <w:gridCol w:w="10080"/>
      </w:tblGrid>
      <w:tr>
        <w:tc>
          <w:tcPr>
            <w:tcW w:type="dxa" w:w="10080"/>
            <w:shd w:fill="F2F5F8"/>
            <w:tcMar>
              <w:top w:w="120" w:type="dxa"/>
              <w:start w:w="140" w:type="dxa"/>
              <w:bottom w:w="120" w:type="dxa"/>
              <w:end w:w="140" w:type="dxa"/>
            </w:tcMar>
          </w:tcPr>
          <w:p>
            <w:pPr>
              <w:spacing w:after="0" w:line="240" w:lineRule="auto"/>
            </w:pPr>
            <w:r>
              <w:rPr>
                <w:rFonts w:ascii="Consolas" w:hAnsi="Consolas" w:eastAsia="Consolas"/>
                <w:sz w:val="16"/>
              </w:rPr>
              <w:t>XGBClassifier(</w:t>
              <w:br/>
              <w:t xml:space="preserve">  objective="binary:logistic", eval_metric="logloss",</w:t>
              <w:br/>
              <w:t xml:space="preserve">  n_estimators=160, max_depth=3, learning_rate=0.05,</w:t>
              <w:br/>
              <w:t xml:space="preserve">  subsample=0.85, colsample_bytree=0.85,</w:t>
              <w:br/>
              <w:t xml:space="preserve">  min_child_weight=2, reg_lambda=2.0,</w:t>
              <w:br/>
              <w:t xml:space="preserve">  scale_pos_weight = negative_candidates / positive_candidates,</w:t>
              <w:br/>
              <w:t xml:space="preserve">  tree_method="hist", random_state=42</w:t>
              <w:br/>
              <w:t>)</w:t>
            </w:r>
          </w:p>
        </w:tc>
      </w:tr>
    </w:tbl>
    <w:p>
      <w:pPr>
        <w:spacing w:after="0"/>
      </w:pPr>
    </w:p>
    <w:p>
      <w:r>
        <w:t>The code weights the positive class using training rows only. If you later choose XGBoost’s native pairwise ranking objective, use its per-incident query grouping and test it against this simpler classifier ranker; do not replace the baseline without comparable evidence.</w:t>
      </w:r>
    </w:p>
    <w:p>
      <w:pPr>
        <w:pStyle w:val="Heading2"/>
      </w:pPr>
      <w:r>
        <w:t>8.3 Ranking metrics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17365D"/>
            <w:tcMar>
              <w:top w:w="85" w:type="dxa"/>
              <w:start w:w="90" w:type="dxa"/>
              <w:bottom w:w="85" w:type="dxa"/>
              <w:end w:w="90" w:type="dxa"/>
            </w:tcMar>
            <w:vAlign w:val="center"/>
          </w:tcPr>
          <w:p>
            <w:pPr>
              <w:spacing w:after="0"/>
            </w:pPr>
            <w:r>
              <w:rPr>
                <w:b/>
                <w:color w:val="FFFFFF"/>
                <w:sz w:val="16"/>
              </w:rPr>
              <w:t>Metric</w:t>
            </w:r>
          </w:p>
        </w:tc>
        <w:tc>
          <w:tcPr>
            <w:tcW w:type="dxa" w:w="4896"/>
            <w:shd w:fill="17365D"/>
            <w:tcMar>
              <w:top w:w="85" w:type="dxa"/>
              <w:start w:w="90" w:type="dxa"/>
              <w:bottom w:w="85" w:type="dxa"/>
              <w:end w:w="90" w:type="dxa"/>
            </w:tcMar>
            <w:vAlign w:val="center"/>
          </w:tcPr>
          <w:p>
            <w:pPr>
              <w:spacing w:after="0"/>
            </w:pPr>
            <w:r>
              <w:rPr>
                <w:b/>
                <w:color w:val="FFFFFF"/>
                <w:sz w:val="16"/>
              </w:rPr>
              <w:t>Definition</w:t>
            </w:r>
          </w:p>
        </w:tc>
        <w:tc>
          <w:tcPr>
            <w:tcW w:type="dxa" w:w="4104"/>
            <w:shd w:fill="17365D"/>
            <w:tcMar>
              <w:top w:w="85" w:type="dxa"/>
              <w:start w:w="90" w:type="dxa"/>
              <w:bottom w:w="85" w:type="dxa"/>
              <w:end w:w="90" w:type="dxa"/>
            </w:tcMar>
            <w:vAlign w:val="center"/>
          </w:tcPr>
          <w:p>
            <w:pPr>
              <w:spacing w:after="0"/>
            </w:pPr>
            <w:r>
              <w:rPr>
                <w:b/>
                <w:color w:val="FFFFFF"/>
                <w:sz w:val="16"/>
              </w:rPr>
              <w:t>Interpretation</w:t>
            </w:r>
          </w:p>
        </w:tc>
      </w:tr>
      <w:tr>
        <w:tc>
          <w:tcPr>
            <w:tcW w:type="dxa" w:w="1944"/>
            <w:tcMar>
              <w:top w:w="85" w:type="dxa"/>
              <w:start w:w="90" w:type="dxa"/>
              <w:bottom w:w="85" w:type="dxa"/>
              <w:end w:w="90" w:type="dxa"/>
            </w:tcMar>
            <w:vAlign w:val="top"/>
          </w:tcPr>
          <w:p>
            <w:pPr>
              <w:spacing w:after="20" w:line="240" w:lineRule="auto"/>
            </w:pPr>
            <w:r>
              <w:rPr>
                <w:sz w:val="16"/>
              </w:rPr>
              <w:t>Top-1 accuracy</w:t>
            </w:r>
          </w:p>
        </w:tc>
        <w:tc>
          <w:tcPr>
            <w:tcW w:type="dxa" w:w="4896"/>
            <w:tcMar>
              <w:top w:w="85" w:type="dxa"/>
              <w:start w:w="90" w:type="dxa"/>
              <w:bottom w:w="85" w:type="dxa"/>
              <w:end w:w="90" w:type="dxa"/>
            </w:tcMar>
            <w:vAlign w:val="top"/>
          </w:tcPr>
          <w:p>
            <w:pPr>
              <w:spacing w:after="20" w:line="240" w:lineRule="auto"/>
            </w:pPr>
            <w:r>
              <w:rPr>
                <w:sz w:val="16"/>
              </w:rPr>
              <w:t>Fraction of incidents where correct root service ranks first.</w:t>
            </w:r>
          </w:p>
        </w:tc>
        <w:tc>
          <w:tcPr>
            <w:tcW w:type="dxa" w:w="4104"/>
            <w:tcMar>
              <w:top w:w="85" w:type="dxa"/>
              <w:start w:w="90" w:type="dxa"/>
              <w:bottom w:w="85" w:type="dxa"/>
              <w:end w:w="90" w:type="dxa"/>
            </w:tcMar>
            <w:vAlign w:val="top"/>
          </w:tcPr>
          <w:p>
            <w:pPr>
              <w:spacing w:after="20" w:line="240" w:lineRule="auto"/>
            </w:pPr>
            <w:r>
              <w:rPr>
                <w:sz w:val="16"/>
              </w:rPr>
              <w:t>Primary localization outcome.</w:t>
            </w:r>
          </w:p>
        </w:tc>
      </w:tr>
      <w:tr>
        <w:tc>
          <w:tcPr>
            <w:tcW w:type="dxa" w:w="1944"/>
            <w:tcMar>
              <w:top w:w="85" w:type="dxa"/>
              <w:start w:w="90" w:type="dxa"/>
              <w:bottom w:w="85" w:type="dxa"/>
              <w:end w:w="90" w:type="dxa"/>
            </w:tcMar>
            <w:vAlign w:val="top"/>
            <w:shd w:fill="F3F6FA"/>
          </w:tcPr>
          <w:p>
            <w:pPr>
              <w:spacing w:after="20" w:line="240" w:lineRule="auto"/>
            </w:pPr>
            <w:r>
              <w:rPr>
                <w:sz w:val="16"/>
              </w:rPr>
              <w:t>Top-3 accuracy</w:t>
            </w:r>
          </w:p>
        </w:tc>
        <w:tc>
          <w:tcPr>
            <w:tcW w:type="dxa" w:w="4896"/>
            <w:tcMar>
              <w:top w:w="85" w:type="dxa"/>
              <w:start w:w="90" w:type="dxa"/>
              <w:bottom w:w="85" w:type="dxa"/>
              <w:end w:w="90" w:type="dxa"/>
            </w:tcMar>
            <w:vAlign w:val="top"/>
            <w:shd w:fill="F3F6FA"/>
          </w:tcPr>
          <w:p>
            <w:pPr>
              <w:spacing w:after="20" w:line="240" w:lineRule="auto"/>
            </w:pPr>
            <w:r>
              <w:rPr>
                <w:sz w:val="16"/>
              </w:rPr>
              <w:t>Fraction of incidents where correct root service is among first three.</w:t>
            </w:r>
          </w:p>
        </w:tc>
        <w:tc>
          <w:tcPr>
            <w:tcW w:type="dxa" w:w="4104"/>
            <w:tcMar>
              <w:top w:w="85" w:type="dxa"/>
              <w:start w:w="90" w:type="dxa"/>
              <w:bottom w:w="85" w:type="dxa"/>
              <w:end w:w="90" w:type="dxa"/>
            </w:tcMar>
            <w:vAlign w:val="top"/>
            <w:shd w:fill="F3F6FA"/>
          </w:tcPr>
          <w:p>
            <w:pPr>
              <w:spacing w:after="20" w:line="240" w:lineRule="auto"/>
            </w:pPr>
            <w:r>
              <w:rPr>
                <w:sz w:val="16"/>
              </w:rPr>
              <w:t>Useful when an operator reviews a small shortlist.</w:t>
            </w:r>
          </w:p>
        </w:tc>
      </w:tr>
      <w:tr>
        <w:tc>
          <w:tcPr>
            <w:tcW w:type="dxa" w:w="1944"/>
            <w:tcMar>
              <w:top w:w="85" w:type="dxa"/>
              <w:start w:w="90" w:type="dxa"/>
              <w:bottom w:w="85" w:type="dxa"/>
              <w:end w:w="90" w:type="dxa"/>
            </w:tcMar>
            <w:vAlign w:val="top"/>
          </w:tcPr>
          <w:p>
            <w:pPr>
              <w:spacing w:after="20" w:line="240" w:lineRule="auto"/>
            </w:pPr>
            <w:r>
              <w:rPr>
                <w:sz w:val="16"/>
              </w:rPr>
              <w:t>MRR</w:t>
            </w:r>
          </w:p>
        </w:tc>
        <w:tc>
          <w:tcPr>
            <w:tcW w:type="dxa" w:w="4896"/>
            <w:tcMar>
              <w:top w:w="85" w:type="dxa"/>
              <w:start w:w="90" w:type="dxa"/>
              <w:bottom w:w="85" w:type="dxa"/>
              <w:end w:w="90" w:type="dxa"/>
            </w:tcMar>
            <w:vAlign w:val="top"/>
          </w:tcPr>
          <w:p>
            <w:pPr>
              <w:spacing w:after="20" w:line="240" w:lineRule="auto"/>
            </w:pPr>
            <w:r>
              <w:rPr>
                <w:sz w:val="16"/>
              </w:rPr>
              <w:t>Mean of 1 / rank(correct root service).</w:t>
            </w:r>
          </w:p>
        </w:tc>
        <w:tc>
          <w:tcPr>
            <w:tcW w:type="dxa" w:w="4104"/>
            <w:tcMar>
              <w:top w:w="85" w:type="dxa"/>
              <w:start w:w="90" w:type="dxa"/>
              <w:bottom w:w="85" w:type="dxa"/>
              <w:end w:w="90" w:type="dxa"/>
            </w:tcMar>
            <w:vAlign w:val="top"/>
          </w:tcPr>
          <w:p>
            <w:pPr>
              <w:spacing w:after="20" w:line="240" w:lineRule="auto"/>
            </w:pPr>
            <w:r>
              <w:rPr>
                <w:sz w:val="16"/>
              </w:rPr>
              <w:t>Rewards moving the true root higher even if not ranked first.</w:t>
            </w:r>
          </w:p>
        </w:tc>
      </w:tr>
      <w:tr>
        <w:tc>
          <w:tcPr>
            <w:tcW w:type="dxa" w:w="1944"/>
            <w:tcMar>
              <w:top w:w="85" w:type="dxa"/>
              <w:start w:w="90" w:type="dxa"/>
              <w:bottom w:w="85" w:type="dxa"/>
              <w:end w:w="90" w:type="dxa"/>
            </w:tcMar>
            <w:vAlign w:val="top"/>
            <w:shd w:fill="F3F6FA"/>
          </w:tcPr>
          <w:p>
            <w:pPr>
              <w:spacing w:after="20" w:line="240" w:lineRule="auto"/>
            </w:pPr>
            <w:r>
              <w:rPr>
                <w:sz w:val="16"/>
              </w:rPr>
              <w:t>NDCG@k (optional)</w:t>
            </w:r>
          </w:p>
        </w:tc>
        <w:tc>
          <w:tcPr>
            <w:tcW w:type="dxa" w:w="4896"/>
            <w:tcMar>
              <w:top w:w="85" w:type="dxa"/>
              <w:start w:w="90" w:type="dxa"/>
              <w:bottom w:w="85" w:type="dxa"/>
              <w:end w:w="90" w:type="dxa"/>
            </w:tcMar>
            <w:vAlign w:val="top"/>
            <w:shd w:fill="F3F6FA"/>
          </w:tcPr>
          <w:p>
            <w:pPr>
              <w:spacing w:after="20" w:line="240" w:lineRule="auto"/>
            </w:pPr>
            <w:r>
              <w:rPr>
                <w:sz w:val="16"/>
              </w:rPr>
              <w:t>Discounted cumulative gain at k; useful if extending to multiple true causes.</w:t>
            </w:r>
          </w:p>
        </w:tc>
        <w:tc>
          <w:tcPr>
            <w:tcW w:type="dxa" w:w="4104"/>
            <w:tcMar>
              <w:top w:w="85" w:type="dxa"/>
              <w:start w:w="90" w:type="dxa"/>
              <w:bottom w:w="85" w:type="dxa"/>
              <w:end w:w="90" w:type="dxa"/>
            </w:tcMar>
            <w:vAlign w:val="top"/>
            <w:shd w:fill="F3F6FA"/>
          </w:tcPr>
          <w:p>
            <w:pPr>
              <w:spacing w:after="20" w:line="240" w:lineRule="auto"/>
            </w:pPr>
            <w:r>
              <w:rPr>
                <w:sz w:val="16"/>
              </w:rPr>
              <w:t>Use only if you define multiple graded/root labels properly.</w:t>
            </w:r>
          </w:p>
        </w:tc>
      </w:tr>
    </w:tbl>
    <w:p>
      <w:pPr>
        <w:spacing w:after="0"/>
      </w:pPr>
    </w:p>
    <w:p>
      <w:pPr>
        <w:pStyle w:val="Heading1"/>
      </w:pPr>
      <w:r>
        <w:t>9. Exact training, validation and release workflow</w:t>
      </w:r>
    </w:p>
    <w:p>
      <w:r>
        <w:drawing>
          <wp:inline xmlns:a="http://schemas.openxmlformats.org/drawingml/2006/main" xmlns:pic="http://schemas.openxmlformats.org/drawingml/2006/picture">
            <wp:extent cx="6400800" cy="3964366"/>
            <wp:docPr id="2" name="Picture 2"/>
            <wp:cNvGraphicFramePr>
              <a:graphicFrameLocks noChangeAspect="1"/>
            </wp:cNvGraphicFramePr>
            <a:graphic>
              <a:graphicData uri="http://schemas.openxmlformats.org/drawingml/2006/picture">
                <pic:pic>
                  <pic:nvPicPr>
                    <pic:cNvPr id="0" name="training_data_flow.png"/>
                    <pic:cNvPicPr/>
                  </pic:nvPicPr>
                  <pic:blipFill>
                    <a:blip r:embed="rId12"/>
                    <a:stretch>
                      <a:fillRect/>
                    </a:stretch>
                  </pic:blipFill>
                  <pic:spPr>
                    <a:xfrm>
                      <a:off x="0" y="0"/>
                      <a:ext cx="6400800" cy="3964366"/>
                    </a:xfrm>
                    <a:prstGeom prst="rect"/>
                  </pic:spPr>
                </pic:pic>
              </a:graphicData>
            </a:graphic>
          </wp:inline>
        </w:drawing>
      </w:r>
    </w:p>
    <w:p>
      <w:r>
        <w:t>Figure 2. Split at episode level before model fitting. Use separate validation episodes for threshold and hyperparameter choices. Do not report the synthetic demonstration run as evidence for the research hypotheses.</w:t>
      </w:r>
    </w:p>
    <w:p>
      <w:pPr>
        <w:pStyle w:val="Heading2"/>
      </w:pPr>
      <w:r>
        <w:t>9.1 Training stages</w:t>
      </w:r>
    </w:p>
    <w:p>
      <w:pPr>
        <w:pStyle w:val="ListNumber"/>
        <w:spacing w:after="60"/>
      </w:pPr>
      <w:r>
        <w:t>Freeze the label taxonomy, feature dictionary, and event timing rules. Version these before large data collection.</w:t>
      </w:r>
    </w:p>
    <w:p>
      <w:pPr>
        <w:pStyle w:val="ListNumber"/>
        <w:spacing w:after="60"/>
      </w:pPr>
      <w:r>
        <w:t>Run schema QA: required columns present, numeric fields finite, consistent units and time zones, one `incident_id` group per experiment, exactly one root candidate per v1 incident, and adequate counts per class.</w:t>
      </w:r>
    </w:p>
    <w:p>
      <w:pPr>
        <w:pStyle w:val="ListNumber"/>
        <w:spacing w:after="60"/>
      </w:pPr>
      <w:r>
        <w:t>Split by incident IDs into train/validation/test before sampling or expanding windows. If data are gathered over days, additionally reserve a later session as a temporal holdout.</w:t>
      </w:r>
    </w:p>
    <w:p>
      <w:pPr>
        <w:pStyle w:val="ListNumber"/>
        <w:spacing w:after="60"/>
      </w:pPr>
      <w:r>
        <w:t>Train Isolation Forest on training-normal windows only. Select its score threshold from normal validation data to meet a documented false-alert target.</w:t>
      </w:r>
    </w:p>
    <w:p>
      <w:pPr>
        <w:pStyle w:val="ListNumber"/>
        <w:spacing w:after="60"/>
      </w:pPr>
      <w:r>
        <w:t>Train XGBoost fault classifier on fault-active training windows. Select hyperparameters using validation macro-F1/log-loss and inspect the confusion matrix.</w:t>
      </w:r>
    </w:p>
    <w:p>
      <w:pPr>
        <w:pStyle w:val="ListNumber"/>
        <w:spacing w:after="60"/>
      </w:pPr>
      <w:r>
        <w:t>Train XGBoost root ranker on candidate rows from training incidents. Evaluate Top-1/Top-3/MRR on held-out incident groups.</w:t>
      </w:r>
    </w:p>
    <w:p>
      <w:pPr>
        <w:pStyle w:val="ListNumber"/>
        <w:spacing w:after="60"/>
      </w:pPr>
      <w:r>
        <w:t>Use a separate calibration subset or grouped cross-validation to calibrate fault probabilities before using probabilities in safety policies. If calibration is not implemented, call outputs `scores`, not trustworthy confidence.</w:t>
      </w:r>
    </w:p>
    <w:p>
      <w:pPr>
        <w:pStyle w:val="ListNumber"/>
        <w:spacing w:after="60"/>
      </w:pPr>
      <w:r>
        <w:t>Freeze all artifacts and their feature schema, package versions, seed, dataset version, and split IDs. Run a clean inference smoke test against an unseen incident.</w:t>
      </w:r>
    </w:p>
    <w:p>
      <w:pPr>
        <w:pStyle w:val="ListNumber"/>
        <w:spacing w:after="60"/>
      </w:pPr>
      <w:r>
        <w:t>Only after diagnosis tests pass should the Spring Boot controller consume the result. Begin in shadow mode, then allow only low-risk allow-listed actions in a local test namespace.</w:t>
      </w:r>
    </w:p>
    <w:p>
      <w:pPr>
        <w:pStyle w:val="Heading2"/>
      </w:pPr>
      <w:r>
        <w:t>9.2 Train/validation/test rules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28"/>
            <w:shd w:fill="17365D"/>
            <w:tcMar>
              <w:top w:w="85" w:type="dxa"/>
              <w:start w:w="90" w:type="dxa"/>
              <w:bottom w:w="85" w:type="dxa"/>
              <w:end w:w="90" w:type="dxa"/>
            </w:tcMar>
            <w:vAlign w:val="center"/>
          </w:tcPr>
          <w:p>
            <w:pPr>
              <w:spacing w:after="0"/>
            </w:pPr>
            <w:r>
              <w:rPr>
                <w:b/>
                <w:color w:val="FFFFFF"/>
                <w:sz w:val="15"/>
              </w:rPr>
              <w:t>Split</w:t>
            </w:r>
          </w:p>
        </w:tc>
        <w:tc>
          <w:tcPr>
            <w:tcW w:type="dxa" w:w="1944"/>
            <w:shd w:fill="17365D"/>
            <w:tcMar>
              <w:top w:w="85" w:type="dxa"/>
              <w:start w:w="90" w:type="dxa"/>
              <w:bottom w:w="85" w:type="dxa"/>
              <w:end w:w="90" w:type="dxa"/>
            </w:tcMar>
            <w:vAlign w:val="center"/>
          </w:tcPr>
          <w:p>
            <w:pPr>
              <w:spacing w:after="0"/>
            </w:pPr>
            <w:r>
              <w:rPr>
                <w:b/>
                <w:color w:val="FFFFFF"/>
                <w:sz w:val="15"/>
              </w:rPr>
              <w:t>Approx. share</w:t>
            </w:r>
          </w:p>
        </w:tc>
        <w:tc>
          <w:tcPr>
            <w:tcW w:type="dxa" w:w="4032"/>
            <w:shd w:fill="17365D"/>
            <w:tcMar>
              <w:top w:w="85" w:type="dxa"/>
              <w:start w:w="90" w:type="dxa"/>
              <w:bottom w:w="85" w:type="dxa"/>
              <w:end w:w="90" w:type="dxa"/>
            </w:tcMar>
            <w:vAlign w:val="center"/>
          </w:tcPr>
          <w:p>
            <w:pPr>
              <w:spacing w:after="0"/>
            </w:pPr>
            <w:r>
              <w:rPr>
                <w:b/>
                <w:color w:val="FFFFFF"/>
                <w:sz w:val="15"/>
              </w:rPr>
              <w:t>Permitted use</w:t>
            </w:r>
          </w:p>
        </w:tc>
        <w:tc>
          <w:tcPr>
            <w:tcW w:type="dxa" w:w="3888"/>
            <w:shd w:fill="17365D"/>
            <w:tcMar>
              <w:top w:w="85" w:type="dxa"/>
              <w:start w:w="90" w:type="dxa"/>
              <w:bottom w:w="85" w:type="dxa"/>
              <w:end w:w="90" w:type="dxa"/>
            </w:tcMar>
            <w:vAlign w:val="center"/>
          </w:tcPr>
          <w:p>
            <w:pPr>
              <w:spacing w:after="0"/>
            </w:pPr>
            <w:r>
              <w:rPr>
                <w:b/>
                <w:color w:val="FFFFFF"/>
                <w:sz w:val="15"/>
              </w:rPr>
              <w:t>Prohibited use</w:t>
            </w:r>
          </w:p>
        </w:tc>
      </w:tr>
      <w:tr>
        <w:tc>
          <w:tcPr>
            <w:tcW w:type="dxa" w:w="1728"/>
            <w:tcMar>
              <w:top w:w="85" w:type="dxa"/>
              <w:start w:w="90" w:type="dxa"/>
              <w:bottom w:w="85" w:type="dxa"/>
              <w:end w:w="90" w:type="dxa"/>
            </w:tcMar>
            <w:vAlign w:val="top"/>
          </w:tcPr>
          <w:p>
            <w:pPr>
              <w:spacing w:after="20" w:line="240" w:lineRule="auto"/>
            </w:pPr>
            <w:r>
              <w:rPr>
                <w:sz w:val="15"/>
              </w:rPr>
              <w:t>Train</w:t>
            </w:r>
          </w:p>
        </w:tc>
        <w:tc>
          <w:tcPr>
            <w:tcW w:type="dxa" w:w="1944"/>
            <w:tcMar>
              <w:top w:w="85" w:type="dxa"/>
              <w:start w:w="90" w:type="dxa"/>
              <w:bottom w:w="85" w:type="dxa"/>
              <w:end w:w="90" w:type="dxa"/>
            </w:tcMar>
            <w:vAlign w:val="top"/>
          </w:tcPr>
          <w:p>
            <w:pPr>
              <w:spacing w:after="20" w:line="240" w:lineRule="auto"/>
            </w:pPr>
            <w:r>
              <w:rPr>
                <w:sz w:val="15"/>
              </w:rPr>
              <w:t>70% of whole episode IDs</w:t>
            </w:r>
          </w:p>
        </w:tc>
        <w:tc>
          <w:tcPr>
            <w:tcW w:type="dxa" w:w="4032"/>
            <w:tcMar>
              <w:top w:w="85" w:type="dxa"/>
              <w:start w:w="90" w:type="dxa"/>
              <w:bottom w:w="85" w:type="dxa"/>
              <w:end w:w="90" w:type="dxa"/>
            </w:tcMar>
            <w:vAlign w:val="top"/>
          </w:tcPr>
          <w:p>
            <w:pPr>
              <w:spacing w:after="20" w:line="240" w:lineRule="auto"/>
            </w:pPr>
            <w:r>
              <w:rPr>
                <w:sz w:val="15"/>
              </w:rPr>
              <w:t>Fit models and transformations; establish classes and model parameters.</w:t>
            </w:r>
          </w:p>
        </w:tc>
        <w:tc>
          <w:tcPr>
            <w:tcW w:type="dxa" w:w="3888"/>
            <w:tcMar>
              <w:top w:w="85" w:type="dxa"/>
              <w:start w:w="90" w:type="dxa"/>
              <w:bottom w:w="85" w:type="dxa"/>
              <w:end w:w="90" w:type="dxa"/>
            </w:tcMar>
            <w:vAlign w:val="top"/>
          </w:tcPr>
          <w:p>
            <w:pPr>
              <w:spacing w:after="20" w:line="240" w:lineRule="auto"/>
            </w:pPr>
            <w:r>
              <w:rPr>
                <w:sz w:val="15"/>
              </w:rPr>
              <w:t>No using test labels; no feature selection based on final-test outcomes.</w:t>
            </w:r>
          </w:p>
        </w:tc>
      </w:tr>
      <w:tr>
        <w:tc>
          <w:tcPr>
            <w:tcW w:type="dxa" w:w="1728"/>
            <w:tcMar>
              <w:top w:w="85" w:type="dxa"/>
              <w:start w:w="90" w:type="dxa"/>
              <w:bottom w:w="85" w:type="dxa"/>
              <w:end w:w="90" w:type="dxa"/>
            </w:tcMar>
            <w:vAlign w:val="top"/>
            <w:shd w:fill="F3F6FA"/>
          </w:tcPr>
          <w:p>
            <w:pPr>
              <w:spacing w:after="20" w:line="240" w:lineRule="auto"/>
            </w:pPr>
            <w:r>
              <w:rPr>
                <w:sz w:val="15"/>
              </w:rPr>
              <w:t>Validation</w:t>
            </w:r>
          </w:p>
        </w:tc>
        <w:tc>
          <w:tcPr>
            <w:tcW w:type="dxa" w:w="1944"/>
            <w:tcMar>
              <w:top w:w="85" w:type="dxa"/>
              <w:start w:w="90" w:type="dxa"/>
              <w:bottom w:w="85" w:type="dxa"/>
              <w:end w:w="90" w:type="dxa"/>
            </w:tcMar>
            <w:vAlign w:val="top"/>
            <w:shd w:fill="F3F6FA"/>
          </w:tcPr>
          <w:p>
            <w:pPr>
              <w:spacing w:after="20" w:line="240" w:lineRule="auto"/>
            </w:pPr>
            <w:r>
              <w:rPr>
                <w:sz w:val="15"/>
              </w:rPr>
              <w:t>15%</w:t>
            </w:r>
          </w:p>
        </w:tc>
        <w:tc>
          <w:tcPr>
            <w:tcW w:type="dxa" w:w="4032"/>
            <w:tcMar>
              <w:top w:w="85" w:type="dxa"/>
              <w:start w:w="90" w:type="dxa"/>
              <w:bottom w:w="85" w:type="dxa"/>
              <w:end w:w="90" w:type="dxa"/>
            </w:tcMar>
            <w:vAlign w:val="top"/>
            <w:shd w:fill="F3F6FA"/>
          </w:tcPr>
          <w:p>
            <w:pPr>
              <w:spacing w:after="20" w:line="240" w:lineRule="auto"/>
            </w:pPr>
            <w:r>
              <w:rPr>
                <w:sz w:val="15"/>
              </w:rPr>
              <w:t>Tune hyperparameters, score threshold, calibration and abstention policy.</w:t>
            </w:r>
          </w:p>
        </w:tc>
        <w:tc>
          <w:tcPr>
            <w:tcW w:type="dxa" w:w="3888"/>
            <w:tcMar>
              <w:top w:w="85" w:type="dxa"/>
              <w:start w:w="90" w:type="dxa"/>
              <w:bottom w:w="85" w:type="dxa"/>
              <w:end w:w="90" w:type="dxa"/>
            </w:tcMar>
            <w:vAlign w:val="top"/>
            <w:shd w:fill="F3F6FA"/>
          </w:tcPr>
          <w:p>
            <w:pPr>
              <w:spacing w:after="20" w:line="240" w:lineRule="auto"/>
            </w:pPr>
            <w:r>
              <w:rPr>
                <w:sz w:val="15"/>
              </w:rPr>
              <w:t>Do not describe it as final unbiased performance.</w:t>
            </w:r>
          </w:p>
        </w:tc>
      </w:tr>
      <w:tr>
        <w:tc>
          <w:tcPr>
            <w:tcW w:type="dxa" w:w="1728"/>
            <w:tcMar>
              <w:top w:w="85" w:type="dxa"/>
              <w:start w:w="90" w:type="dxa"/>
              <w:bottom w:w="85" w:type="dxa"/>
              <w:end w:w="90" w:type="dxa"/>
            </w:tcMar>
            <w:vAlign w:val="top"/>
          </w:tcPr>
          <w:p>
            <w:pPr>
              <w:spacing w:after="20" w:line="240" w:lineRule="auto"/>
            </w:pPr>
            <w:r>
              <w:rPr>
                <w:sz w:val="15"/>
              </w:rPr>
              <w:t>Test</w:t>
            </w:r>
          </w:p>
        </w:tc>
        <w:tc>
          <w:tcPr>
            <w:tcW w:type="dxa" w:w="1944"/>
            <w:tcMar>
              <w:top w:w="85" w:type="dxa"/>
              <w:start w:w="90" w:type="dxa"/>
              <w:bottom w:w="85" w:type="dxa"/>
              <w:end w:w="90" w:type="dxa"/>
            </w:tcMar>
            <w:vAlign w:val="top"/>
          </w:tcPr>
          <w:p>
            <w:pPr>
              <w:spacing w:after="20" w:line="240" w:lineRule="auto"/>
            </w:pPr>
            <w:r>
              <w:rPr>
                <w:sz w:val="15"/>
              </w:rPr>
              <w:t>15%</w:t>
            </w:r>
          </w:p>
        </w:tc>
        <w:tc>
          <w:tcPr>
            <w:tcW w:type="dxa" w:w="4032"/>
            <w:tcMar>
              <w:top w:w="85" w:type="dxa"/>
              <w:start w:w="90" w:type="dxa"/>
              <w:bottom w:w="85" w:type="dxa"/>
              <w:end w:w="90" w:type="dxa"/>
            </w:tcMar>
            <w:vAlign w:val="top"/>
          </w:tcPr>
          <w:p>
            <w:pPr>
              <w:spacing w:after="20" w:line="240" w:lineRule="auto"/>
            </w:pPr>
            <w:r>
              <w:rPr>
                <w:sz w:val="15"/>
              </w:rPr>
              <w:t>One final evaluation of frozen pipelines.</w:t>
            </w:r>
          </w:p>
        </w:tc>
        <w:tc>
          <w:tcPr>
            <w:tcW w:type="dxa" w:w="3888"/>
            <w:tcMar>
              <w:top w:w="85" w:type="dxa"/>
              <w:start w:w="90" w:type="dxa"/>
              <w:bottom w:w="85" w:type="dxa"/>
              <w:end w:w="90" w:type="dxa"/>
            </w:tcMar>
            <w:vAlign w:val="top"/>
          </w:tcPr>
          <w:p>
            <w:pPr>
              <w:spacing w:after="20" w:line="240" w:lineRule="auto"/>
            </w:pPr>
            <w:r>
              <w:rPr>
                <w:sz w:val="15"/>
              </w:rPr>
              <w:t>Do not repeatedly tune model or thresholds based on this score.</w:t>
            </w:r>
          </w:p>
        </w:tc>
      </w:tr>
      <w:tr>
        <w:tc>
          <w:tcPr>
            <w:tcW w:type="dxa" w:w="1728"/>
            <w:tcMar>
              <w:top w:w="85" w:type="dxa"/>
              <w:start w:w="90" w:type="dxa"/>
              <w:bottom w:w="85" w:type="dxa"/>
              <w:end w:w="90" w:type="dxa"/>
            </w:tcMar>
            <w:vAlign w:val="top"/>
            <w:shd w:fill="F3F6FA"/>
          </w:tcPr>
          <w:p>
            <w:pPr>
              <w:spacing w:after="20" w:line="240" w:lineRule="auto"/>
            </w:pPr>
            <w:r>
              <w:rPr>
                <w:sz w:val="15"/>
              </w:rPr>
              <w:t>External benchmark</w:t>
            </w:r>
          </w:p>
        </w:tc>
        <w:tc>
          <w:tcPr>
            <w:tcW w:type="dxa" w:w="1944"/>
            <w:tcMar>
              <w:top w:w="85" w:type="dxa"/>
              <w:start w:w="90" w:type="dxa"/>
              <w:bottom w:w="85" w:type="dxa"/>
              <w:end w:w="90" w:type="dxa"/>
            </w:tcMar>
            <w:vAlign w:val="top"/>
            <w:shd w:fill="F3F6FA"/>
          </w:tcPr>
          <w:p>
            <w:pPr>
              <w:spacing w:after="20" w:line="240" w:lineRule="auto"/>
            </w:pPr>
            <w:r>
              <w:rPr>
                <w:sz w:val="15"/>
              </w:rPr>
              <w:t>Separate public cases/system split</w:t>
            </w:r>
          </w:p>
        </w:tc>
        <w:tc>
          <w:tcPr>
            <w:tcW w:type="dxa" w:w="4032"/>
            <w:tcMar>
              <w:top w:w="85" w:type="dxa"/>
              <w:start w:w="90" w:type="dxa"/>
              <w:bottom w:w="85" w:type="dxa"/>
              <w:end w:w="90" w:type="dxa"/>
            </w:tcMar>
            <w:vAlign w:val="top"/>
            <w:shd w:fill="F3F6FA"/>
          </w:tcPr>
          <w:p>
            <w:pPr>
              <w:spacing w:after="20" w:line="240" w:lineRule="auto"/>
            </w:pPr>
            <w:r>
              <w:rPr>
                <w:sz w:val="15"/>
              </w:rPr>
              <w:t>Assess transfer and compare established RCA baselines.</w:t>
            </w:r>
          </w:p>
        </w:tc>
        <w:tc>
          <w:tcPr>
            <w:tcW w:type="dxa" w:w="3888"/>
            <w:tcMar>
              <w:top w:w="85" w:type="dxa"/>
              <w:start w:w="90" w:type="dxa"/>
              <w:bottom w:w="85" w:type="dxa"/>
              <w:end w:w="90" w:type="dxa"/>
            </w:tcMar>
            <w:vAlign w:val="top"/>
            <w:shd w:fill="F3F6FA"/>
          </w:tcPr>
          <w:p>
            <w:pPr>
              <w:spacing w:after="20" w:line="240" w:lineRule="auto"/>
            </w:pPr>
            <w:r>
              <w:rPr>
                <w:sz w:val="15"/>
              </w:rPr>
              <w:t>Do not mix metrics from different benchmarks into one headline score without explaining protocol and feature mapping.</w:t>
            </w:r>
          </w:p>
        </w:tc>
      </w:tr>
    </w:tbl>
    <w:p>
      <w:pPr>
        <w:spacing w:after="0"/>
      </w:pPr>
    </w:p>
    <w:tbl>
      <w:tblPr>
        <w:tblW w:type="auto" w:w="0"/>
        <w:tblLook w:firstColumn="1" w:firstRow="1" w:lastColumn="0" w:lastRow="0" w:noHBand="0" w:noVBand="1" w:val="04A0"/>
      </w:tblPr>
      <w:tblGrid>
        <w:gridCol w:w="10080"/>
      </w:tblGrid>
      <w:tr>
        <w:tc>
          <w:tcPr>
            <w:tcW w:type="dxa" w:w="10080"/>
            <w:shd w:fill="FFF2CC"/>
            <w:tcMar>
              <w:top w:w="130" w:type="dxa"/>
              <w:start w:w="150" w:type="dxa"/>
              <w:bottom w:w="130" w:type="dxa"/>
              <w:end w:w="150" w:type="dxa"/>
            </w:tcMar>
          </w:tcPr>
          <w:p>
            <w:pPr>
              <w:spacing w:after="60"/>
            </w:pPr>
            <w:r>
              <w:rPr>
                <w:b/>
                <w:color w:val="17365D"/>
                <w:sz w:val="20"/>
              </w:rPr>
              <w:t>If a class is missing from a split</w:t>
            </w:r>
          </w:p>
          <w:p>
            <w:pPr>
              <w:spacing w:after="0"/>
            </w:pPr>
            <w:r>
              <w:t>Do not randomly split individual windows to make the class appear. Increase independent episodes for that class or use a pre-specified StratifiedGroupKFold-like episode-aware protocol. Record the split manifest so every run is reproducible.</w:t>
            </w:r>
          </w:p>
        </w:tc>
      </w:tr>
    </w:tbl>
    <w:p>
      <w:pPr>
        <w:spacing w:after="0"/>
      </w:pPr>
    </w:p>
    <w:p>
      <w:pPr>
        <w:pStyle w:val="Heading1"/>
      </w:pPr>
      <w:r>
        <w:t>10. Probability calibration, explainability and abstention</w:t>
      </w:r>
    </w:p>
    <w:p>
      <w:r>
        <w:t>XGBoost `predict_proba` scores are not automatically calibrated probabilities. A value of 0.90 must not be interpreted as a measured 90% likelihood of correctness unless calibration has been assessed on disjoint examples. The deployment API in the starter kit intentionally labels its outputs as `score` / raw probabilities and always returns `action_authorized: false`. [6]</w:t>
      </w:r>
    </w:p>
    <w:p>
      <w:pPr>
        <w:pStyle w:val="ListBullet"/>
        <w:spacing w:after="40"/>
      </w:pPr>
      <w:r>
        <w:t>Calibration: reserve a set of held-out calibration episodes separate from the model-fitting subset. Try sigmoid/Platt calibration first; isotonic calibration generally needs more data. Calibrate using episode-aware samples and inspect calibration curves / Brier score.</w:t>
      </w:r>
    </w:p>
    <w:p>
      <w:pPr>
        <w:pStyle w:val="ListBullet"/>
        <w:spacing w:after="40"/>
      </w:pPr>
      <w:r>
        <w:t>Abstention: return `UNKNOWN_OR_LOW_CONFIDENCE` when top class is below a validation-selected threshold, top-1/root top-2 gap is small, expected features are missing, the anomaly is outside training support, or fault classifier and rules strongly disagree.</w:t>
      </w:r>
    </w:p>
    <w:p>
      <w:pPr>
        <w:pStyle w:val="ListBullet"/>
        <w:spacing w:after="40"/>
      </w:pPr>
      <w:r>
        <w:t>Explainability: return top supporting measured features (e.g. DB latency z-score, DB error ratio, error-span ratio, recent deployment age). For XGBoost, optional SHAP values can summarize feature contributions. Explanations must reflect model evidence, not invented natural-language claims.</w:t>
      </w:r>
    </w:p>
    <w:p>
      <w:pPr>
        <w:pStyle w:val="ListBullet"/>
        <w:spacing w:after="40"/>
      </w:pPr>
      <w:r>
        <w:t>Logging: store model version, schema version, feature vector hash, raw output scores, calibrated output if available, threshold version, policy result and verification result.</w:t>
      </w:r>
    </w:p>
    <w:p>
      <w:pPr>
        <w:pStyle w:val="Heading1"/>
      </w:pPr>
      <w:r>
        <w:t>11. Why not train an LLM, a GNN or a recovery-action model now?</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520"/>
            <w:shd w:fill="17365D"/>
            <w:tcMar>
              <w:top w:w="85" w:type="dxa"/>
              <w:start w:w="90" w:type="dxa"/>
              <w:bottom w:w="85" w:type="dxa"/>
              <w:end w:w="90" w:type="dxa"/>
            </w:tcMar>
            <w:vAlign w:val="center"/>
          </w:tcPr>
          <w:p>
            <w:pPr>
              <w:spacing w:after="0"/>
            </w:pPr>
            <w:r>
              <w:rPr>
                <w:b/>
                <w:color w:val="FFFFFF"/>
                <w:sz w:val="15"/>
              </w:rPr>
              <w:t>Model idea</w:t>
            </w:r>
          </w:p>
        </w:tc>
        <w:tc>
          <w:tcPr>
            <w:tcW w:type="dxa" w:w="2160"/>
            <w:shd w:fill="17365D"/>
            <w:tcMar>
              <w:top w:w="85" w:type="dxa"/>
              <w:start w:w="90" w:type="dxa"/>
              <w:bottom w:w="85" w:type="dxa"/>
              <w:end w:w="90" w:type="dxa"/>
            </w:tcMar>
            <w:vAlign w:val="center"/>
          </w:tcPr>
          <w:p>
            <w:pPr>
              <w:spacing w:after="0"/>
            </w:pPr>
            <w:r>
              <w:rPr>
                <w:b/>
                <w:color w:val="FFFFFF"/>
                <w:sz w:val="15"/>
              </w:rPr>
              <w:t>Decision</w:t>
            </w:r>
          </w:p>
        </w:tc>
        <w:tc>
          <w:tcPr>
            <w:tcW w:type="dxa" w:w="5760"/>
            <w:shd w:fill="17365D"/>
            <w:tcMar>
              <w:top w:w="85" w:type="dxa"/>
              <w:start w:w="90" w:type="dxa"/>
              <w:bottom w:w="85" w:type="dxa"/>
              <w:end w:w="90" w:type="dxa"/>
            </w:tcMar>
            <w:vAlign w:val="center"/>
          </w:tcPr>
          <w:p>
            <w:pPr>
              <w:spacing w:after="0"/>
            </w:pPr>
            <w:r>
              <w:rPr>
                <w:b/>
                <w:color w:val="FFFFFF"/>
                <w:sz w:val="15"/>
              </w:rPr>
              <w:t>Reason / when to revisit</w:t>
            </w:r>
          </w:p>
        </w:tc>
      </w:tr>
      <w:tr>
        <w:tc>
          <w:tcPr>
            <w:tcW w:type="dxa" w:w="2520"/>
            <w:tcMar>
              <w:top w:w="85" w:type="dxa"/>
              <w:start w:w="90" w:type="dxa"/>
              <w:bottom w:w="85" w:type="dxa"/>
              <w:end w:w="90" w:type="dxa"/>
            </w:tcMar>
            <w:vAlign w:val="top"/>
          </w:tcPr>
          <w:p>
            <w:pPr>
              <w:spacing w:after="20" w:line="240" w:lineRule="auto"/>
            </w:pPr>
            <w:r>
              <w:rPr>
                <w:sz w:val="15"/>
              </w:rPr>
              <w:t>Large language model for log diagnosis</w:t>
            </w:r>
          </w:p>
        </w:tc>
        <w:tc>
          <w:tcPr>
            <w:tcW w:type="dxa" w:w="2160"/>
            <w:tcMar>
              <w:top w:w="85" w:type="dxa"/>
              <w:start w:w="90" w:type="dxa"/>
              <w:bottom w:w="85" w:type="dxa"/>
              <w:end w:w="90" w:type="dxa"/>
            </w:tcMar>
            <w:vAlign w:val="top"/>
          </w:tcPr>
          <w:p>
            <w:pPr>
              <w:spacing w:after="20" w:line="240" w:lineRule="auto"/>
            </w:pPr>
            <w:r>
              <w:rPr>
                <w:sz w:val="15"/>
              </w:rPr>
              <w:t>Not required in v1</w:t>
            </w:r>
          </w:p>
        </w:tc>
        <w:tc>
          <w:tcPr>
            <w:tcW w:type="dxa" w:w="5760"/>
            <w:tcMar>
              <w:top w:w="85" w:type="dxa"/>
              <w:start w:w="90" w:type="dxa"/>
              <w:bottom w:w="85" w:type="dxa"/>
              <w:end w:w="90" w:type="dxa"/>
            </w:tcMar>
            <w:vAlign w:val="top"/>
          </w:tcPr>
          <w:p>
            <w:pPr>
              <w:spacing w:after="20" w:line="240" w:lineRule="auto"/>
            </w:pPr>
            <w:r>
              <w:rPr>
                <w:sz w:val="15"/>
              </w:rPr>
              <w:t>Logs can first be structured/aggregated into error, exception, timeout and template counts. A language model would add cost and nondeterminism without enough project-specific labelled examples. Optional later for operator-facing summaries only; never allow it to execute commands.</w:t>
            </w:r>
          </w:p>
        </w:tc>
      </w:tr>
      <w:tr>
        <w:tc>
          <w:tcPr>
            <w:tcW w:type="dxa" w:w="2520"/>
            <w:tcMar>
              <w:top w:w="85" w:type="dxa"/>
              <w:start w:w="90" w:type="dxa"/>
              <w:bottom w:w="85" w:type="dxa"/>
              <w:end w:w="90" w:type="dxa"/>
            </w:tcMar>
            <w:vAlign w:val="top"/>
            <w:shd w:fill="F3F6FA"/>
          </w:tcPr>
          <w:p>
            <w:pPr>
              <w:spacing w:after="20" w:line="240" w:lineRule="auto"/>
            </w:pPr>
            <w:r>
              <w:rPr>
                <w:sz w:val="15"/>
              </w:rPr>
              <w:t>Graph Neural Network such as the DiagFusion family</w:t>
            </w:r>
          </w:p>
        </w:tc>
        <w:tc>
          <w:tcPr>
            <w:tcW w:type="dxa" w:w="2160"/>
            <w:tcMar>
              <w:top w:w="85" w:type="dxa"/>
              <w:start w:w="90" w:type="dxa"/>
              <w:bottom w:w="85" w:type="dxa"/>
              <w:end w:w="90" w:type="dxa"/>
            </w:tcMar>
            <w:vAlign w:val="top"/>
            <w:shd w:fill="F3F6FA"/>
          </w:tcPr>
          <w:p>
            <w:pPr>
              <w:spacing w:after="20" w:line="240" w:lineRule="auto"/>
            </w:pPr>
            <w:r>
              <w:rPr>
                <w:sz w:val="15"/>
              </w:rPr>
              <w:t>Research extension, not first milestone</w:t>
            </w:r>
          </w:p>
        </w:tc>
        <w:tc>
          <w:tcPr>
            <w:tcW w:type="dxa" w:w="5760"/>
            <w:tcMar>
              <w:top w:w="85" w:type="dxa"/>
              <w:start w:w="90" w:type="dxa"/>
              <w:bottom w:w="85" w:type="dxa"/>
              <w:end w:w="90" w:type="dxa"/>
            </w:tcMar>
            <w:vAlign w:val="top"/>
            <w:shd w:fill="F3F6FA"/>
          </w:tcPr>
          <w:p>
            <w:pPr>
              <w:spacing w:after="20" w:line="240" w:lineRule="auto"/>
            </w:pPr>
            <w:r>
              <w:rPr>
                <w:sz w:val="15"/>
              </w:rPr>
              <w:t>DiagFusion is relevant research: it represents multimodal evidence and dependency structure and uses a GNN for root-cause localization [7]. However, reproducing it requires a different model/data pipeline and more careful representation work. Start with graph features + a tabular ranker and compare with published RCA methods.</w:t>
            </w:r>
          </w:p>
        </w:tc>
      </w:tr>
      <w:tr>
        <w:tc>
          <w:tcPr>
            <w:tcW w:type="dxa" w:w="2520"/>
            <w:tcMar>
              <w:top w:w="85" w:type="dxa"/>
              <w:start w:w="90" w:type="dxa"/>
              <w:bottom w:w="85" w:type="dxa"/>
              <w:end w:w="90" w:type="dxa"/>
            </w:tcMar>
            <w:vAlign w:val="top"/>
          </w:tcPr>
          <w:p>
            <w:pPr>
              <w:spacing w:after="20" w:line="240" w:lineRule="auto"/>
            </w:pPr>
            <w:r>
              <w:rPr>
                <w:sz w:val="15"/>
              </w:rPr>
              <w:t>Temporal Transformer/LSTM/Autoencoder</w:t>
            </w:r>
          </w:p>
        </w:tc>
        <w:tc>
          <w:tcPr>
            <w:tcW w:type="dxa" w:w="2160"/>
            <w:tcMar>
              <w:top w:w="85" w:type="dxa"/>
              <w:start w:w="90" w:type="dxa"/>
              <w:bottom w:w="85" w:type="dxa"/>
              <w:end w:w="90" w:type="dxa"/>
            </w:tcMar>
            <w:vAlign w:val="top"/>
          </w:tcPr>
          <w:p>
            <w:pPr>
              <w:spacing w:after="20" w:line="240" w:lineRule="auto"/>
            </w:pPr>
            <w:r>
              <w:rPr>
                <w:sz w:val="15"/>
              </w:rPr>
              <w:t>Not required in v1</w:t>
            </w:r>
          </w:p>
        </w:tc>
        <w:tc>
          <w:tcPr>
            <w:tcW w:type="dxa" w:w="5760"/>
            <w:tcMar>
              <w:top w:w="85" w:type="dxa"/>
              <w:start w:w="90" w:type="dxa"/>
              <w:bottom w:w="85" w:type="dxa"/>
              <w:end w:w="90" w:type="dxa"/>
            </w:tcMar>
            <w:vAlign w:val="top"/>
          </w:tcPr>
          <w:p>
            <w:pPr>
              <w:spacing w:after="20" w:line="240" w:lineRule="auto"/>
            </w:pPr>
            <w:r>
              <w:rPr>
                <w:sz w:val="15"/>
              </w:rPr>
              <w:t>The project first needs a strong feature-window baseline and verified labels. Add a temporal model only if ablation shows ordering/trend information beyond engineered slopes materially improves results.</w:t>
            </w:r>
          </w:p>
        </w:tc>
      </w:tr>
      <w:tr>
        <w:tc>
          <w:tcPr>
            <w:tcW w:type="dxa" w:w="2520"/>
            <w:tcMar>
              <w:top w:w="85" w:type="dxa"/>
              <w:start w:w="90" w:type="dxa"/>
              <w:bottom w:w="85" w:type="dxa"/>
              <w:end w:w="90" w:type="dxa"/>
            </w:tcMar>
            <w:vAlign w:val="top"/>
            <w:shd w:fill="F3F6FA"/>
          </w:tcPr>
          <w:p>
            <w:pPr>
              <w:spacing w:after="20" w:line="240" w:lineRule="auto"/>
            </w:pPr>
            <w:r>
              <w:rPr>
                <w:sz w:val="15"/>
              </w:rPr>
              <w:t>Reinforcement learning / learned recovery policy</w:t>
            </w:r>
          </w:p>
        </w:tc>
        <w:tc>
          <w:tcPr>
            <w:tcW w:type="dxa" w:w="2160"/>
            <w:tcMar>
              <w:top w:w="85" w:type="dxa"/>
              <w:start w:w="90" w:type="dxa"/>
              <w:bottom w:w="85" w:type="dxa"/>
              <w:end w:w="90" w:type="dxa"/>
            </w:tcMar>
            <w:vAlign w:val="top"/>
            <w:shd w:fill="F3F6FA"/>
          </w:tcPr>
          <w:p>
            <w:pPr>
              <w:spacing w:after="20" w:line="240" w:lineRule="auto"/>
            </w:pPr>
            <w:r>
              <w:rPr>
                <w:sz w:val="15"/>
              </w:rPr>
              <w:t>Do not train for v1</w:t>
            </w:r>
          </w:p>
        </w:tc>
        <w:tc>
          <w:tcPr>
            <w:tcW w:type="dxa" w:w="5760"/>
            <w:tcMar>
              <w:top w:w="85" w:type="dxa"/>
              <w:start w:w="90" w:type="dxa"/>
              <w:bottom w:w="85" w:type="dxa"/>
              <w:end w:w="90" w:type="dxa"/>
            </w:tcMar>
            <w:vAlign w:val="top"/>
            <w:shd w:fill="F3F6FA"/>
          </w:tcPr>
          <w:p>
            <w:pPr>
              <w:spacing w:after="20" w:line="240" w:lineRule="auto"/>
            </w:pPr>
            <w:r>
              <w:rPr>
                <w:sz w:val="15"/>
              </w:rPr>
              <w:t>The dataset does not contain counterfactual outcomes for every possible action; unsafe exploration is not acceptable. Use a deterministic allow-list policy and learn action outcome statistics descriptively after many controlled trials.</w:t>
            </w:r>
          </w:p>
        </w:tc>
      </w:tr>
      <w:tr>
        <w:tc>
          <w:tcPr>
            <w:tcW w:type="dxa" w:w="2520"/>
            <w:tcMar>
              <w:top w:w="85" w:type="dxa"/>
              <w:start w:w="90" w:type="dxa"/>
              <w:bottom w:w="85" w:type="dxa"/>
              <w:end w:w="90" w:type="dxa"/>
            </w:tcMar>
            <w:vAlign w:val="top"/>
          </w:tcPr>
          <w:p>
            <w:pPr>
              <w:spacing w:after="20" w:line="240" w:lineRule="auto"/>
            </w:pPr>
            <w:r>
              <w:rPr>
                <w:sz w:val="15"/>
              </w:rPr>
              <w:t>Separate log-classification model</w:t>
            </w:r>
          </w:p>
        </w:tc>
        <w:tc>
          <w:tcPr>
            <w:tcW w:type="dxa" w:w="2160"/>
            <w:tcMar>
              <w:top w:w="85" w:type="dxa"/>
              <w:start w:w="90" w:type="dxa"/>
              <w:bottom w:w="85" w:type="dxa"/>
              <w:end w:w="90" w:type="dxa"/>
            </w:tcMar>
            <w:vAlign w:val="top"/>
          </w:tcPr>
          <w:p>
            <w:pPr>
              <w:spacing w:after="20" w:line="240" w:lineRule="auto"/>
            </w:pPr>
            <w:r>
              <w:rPr>
                <w:sz w:val="15"/>
              </w:rPr>
              <w:t>Optional</w:t>
            </w:r>
          </w:p>
        </w:tc>
        <w:tc>
          <w:tcPr>
            <w:tcW w:type="dxa" w:w="5760"/>
            <w:tcMar>
              <w:top w:w="85" w:type="dxa"/>
              <w:start w:w="90" w:type="dxa"/>
              <w:bottom w:w="85" w:type="dxa"/>
              <w:end w:w="90" w:type="dxa"/>
            </w:tcMar>
            <w:vAlign w:val="top"/>
          </w:tcPr>
          <w:p>
            <w:pPr>
              <w:spacing w:after="20" w:line="240" w:lineRule="auto"/>
            </w:pPr>
            <w:r>
              <w:rPr>
                <w:sz w:val="15"/>
              </w:rPr>
              <w:t>Use structured logs and template/error counts first. Consider TF-IDF + linear classifier only if custom labelled logs show that raw textual templates add measurable lift beyond counts and trace metrics.</w:t>
            </w:r>
          </w:p>
        </w:tc>
      </w:tr>
    </w:tbl>
    <w:p>
      <w:pPr>
        <w:spacing w:after="0"/>
      </w:pPr>
    </w:p>
    <w:p>
      <w:pPr>
        <w:pStyle w:val="Heading1"/>
      </w:pPr>
      <w:r>
        <w:t>12. Normalization and feature engineering implementation</w:t>
      </w:r>
    </w:p>
    <w:p>
      <w:pPr>
        <w:pStyle w:val="Heading2"/>
      </w:pPr>
      <w:r>
        <w:t>12.1 Telemetry collection</w:t>
      </w:r>
    </w:p>
    <w:p>
      <w:pPr>
        <w:pStyle w:val="ListBullet"/>
        <w:spacing w:after="40"/>
      </w:pPr>
      <w:r>
        <w:t>Metrics: Prometheus/Micrometer application metrics, request count and duration histograms, process resource metrics, DB query/connection metrics, replica restarts and readiness.</w:t>
      </w:r>
    </w:p>
    <w:p>
      <w:pPr>
        <w:pStyle w:val="ListBullet"/>
        <w:spacing w:after="40"/>
      </w:pPr>
      <w:r>
        <w:t>Traces: OpenTelemetry span start/end, service name, parent/child IDs, route/operation, status/error, and duration. Use consistent service names and avoid exposing user data in attributes.</w:t>
      </w:r>
    </w:p>
    <w:p>
      <w:pPr>
        <w:pStyle w:val="ListBullet"/>
        <w:spacing w:after="40"/>
      </w:pPr>
      <w:r>
        <w:t>Logs: structured JSON with timestamp, service, level, event type, exception class, trace ID and safe error category. Use OpenTelemetry log correlation or equivalent structured fields.</w:t>
      </w:r>
    </w:p>
    <w:p>
      <w:pPr>
        <w:pStyle w:val="ListBullet"/>
        <w:spacing w:after="40"/>
      </w:pPr>
      <w:r>
        <w:t>Deployment/dependency data: application version and deploy timestamp; graph edges derived from observed service calls/configuration. Never take future deployment state into a historical diagnosis window.</w:t>
      </w:r>
    </w:p>
    <w:p>
      <w:pPr>
        <w:pStyle w:val="Heading2"/>
      </w:pPr>
      <w:r>
        <w:t>12.2 Rolling-window policy</w:t>
      </w:r>
    </w:p>
    <w:p>
      <w:r>
        <w:t>For the first implementation, aggregate 30-second windows at a 10-second stride and compute trends over the previous 1–5 minutes. The precise sampling is an experiment parameter: record it in the data manifest and keep it the same for training and serving. Use only observations with timestamps at or before the diagnosis cutoff. If a metric is absent, mark it missing and decide consistently whether the feature is omitted, imputed, or the model abstains.</w:t>
      </w:r>
    </w:p>
    <w:p>
      <w:pPr>
        <w:pStyle w:val="Heading2"/>
      </w:pPr>
      <w:r>
        <w:t>12.3 Baseline-relative features</w:t>
      </w:r>
    </w:p>
    <w:p>
      <w:r>
        <w:t>For a metric x, a robust baseline z-score can be calculated as `(x - median_normal) / (1.4826 × MAD_normal)` for an appropriate service-role/workload bucket. If MAD is zero, use a documented fallback scale or a separate threshold. Fit baseline stats from verified-normal training data; do not compute the baseline from the full dataset including test episodes.</w:t>
      </w:r>
    </w:p>
    <w:p>
      <w:pPr>
        <w:pStyle w:val="Heading2"/>
      </w:pPr>
      <w:r>
        <w:t>12.4 Log and trace processing</w:t>
      </w:r>
    </w:p>
    <w:p>
      <w:pPr>
        <w:pStyle w:val="ListBullet"/>
        <w:spacing w:after="40"/>
      </w:pPr>
      <w:r>
        <w:t>Log features: rate of ERROR/FATAL events, counts of exception categories, timeout/connection failure template counts, and distinct error templates per window. A parser such as Drain3 can be evaluated later; in v1, structured application logs are simpler and reproducible.</w:t>
      </w:r>
    </w:p>
    <w:p>
      <w:pPr>
        <w:pStyle w:val="ListBullet"/>
        <w:spacing w:after="40"/>
      </w:pPr>
      <w:r>
        <w:t>Trace features: failed-span ratio, p95 span latency, dependency edge duration, timeout/error propagation, and first-observed anomalous node/lag where event ordering supports it.</w:t>
      </w:r>
    </w:p>
    <w:p>
      <w:pPr>
        <w:pStyle w:val="ListBullet"/>
        <w:spacing w:after="40"/>
      </w:pPr>
      <w:r>
        <w:t>Correlation: retain trace/span IDs for joining logs to traces in the feature builder, but never expose the raw ID string as a model feature.</w:t>
      </w:r>
    </w:p>
    <w:p>
      <w:pPr>
        <w:pStyle w:val="ListBullet"/>
        <w:spacing w:after="40"/>
      </w:pPr>
      <w:r>
        <w:t>Privacy: strip tokens, emails, payloads, SQL literals, session identifiers and request bodies from data collection before saving research datasets.</w:t>
      </w:r>
    </w:p>
    <w:p>
      <w:pPr>
        <w:pStyle w:val="Heading1"/>
      </w:pPr>
      <w:r>
        <w:t>13. Reference model training commands and process</w:t>
      </w:r>
    </w:p>
    <w:p>
      <w:r>
        <w:t>The companion ZIP contains a model-training starter kit with feature contracts, a synthetic-data smoke generator, training script, and an inference API. The synthetic generator exists to verify code plumbing only. Replace it with data from controlled injections before writing experimental conclusions.</w:t>
      </w:r>
    </w:p>
    <w:p>
      <w:pPr>
        <w:pStyle w:val="Heading2"/>
      </w:pPr>
      <w:r>
        <w:t>13.1 Install the ML environment</w:t>
      </w:r>
    </w:p>
    <w:tbl>
      <w:tblPr>
        <w:tblW w:type="auto" w:w="0"/>
        <w:jc w:val="center"/>
        <w:tblLook w:firstColumn="1" w:firstRow="1" w:lastColumn="0" w:lastRow="0" w:noHBand="0" w:noVBand="1" w:val="04A0"/>
      </w:tblPr>
      <w:tblGrid>
        <w:gridCol w:w="10080"/>
      </w:tblGrid>
      <w:tr>
        <w:tc>
          <w:tcPr>
            <w:tcW w:type="dxa" w:w="10080"/>
            <w:shd w:fill="F2F5F8"/>
            <w:tcMar>
              <w:top w:w="120" w:type="dxa"/>
              <w:start w:w="140" w:type="dxa"/>
              <w:bottom w:w="120" w:type="dxa"/>
              <w:end w:w="140" w:type="dxa"/>
            </w:tcMar>
          </w:tcPr>
          <w:p>
            <w:pPr>
              <w:spacing w:after="0" w:line="240" w:lineRule="auto"/>
            </w:pPr>
            <w:r>
              <w:rPr>
                <w:rFonts w:ascii="Consolas" w:hAnsi="Consolas" w:eastAsia="Consolas"/>
                <w:sz w:val="16"/>
              </w:rPr>
              <w:t>cd AutoHeal_AI_Model_Training_Kit</w:t>
              <w:br/>
              <w:t>py -3.12 -m venv .venv</w:t>
              <w:br/>
              <w:t>.\.venv\Scripts\Activate.ps1</w:t>
              <w:br/>
              <w:t>python -m pip install --upgrade pip</w:t>
              <w:br/>
              <w:t>pip install -r requirements.txt</w:t>
            </w:r>
          </w:p>
        </w:tc>
      </w:tr>
    </w:tbl>
    <w:p>
      <w:pPr>
        <w:spacing w:after="0"/>
      </w:pPr>
    </w:p>
    <w:p>
      <w:r>
        <w:t>Use Python 3.12 in a dedicated ML/benchmark environment. RCAEval itself recommends Python 3.12 (and notes Python 3.14 support for the current project version); keeping the main ML training environment on 3.12 is a conservative compatibility choice and isolates it from Node/Java environments. [1]</w:t>
      </w:r>
    </w:p>
    <w:p>
      <w:pPr>
        <w:pStyle w:val="Heading2"/>
      </w:pPr>
      <w:r>
        <w:t>13.2 Prove code plumbing with synthetic data</w:t>
      </w:r>
    </w:p>
    <w:tbl>
      <w:tblPr>
        <w:tblW w:type="auto" w:w="0"/>
        <w:jc w:val="center"/>
        <w:tblLook w:firstColumn="1" w:firstRow="1" w:lastColumn="0" w:lastRow="0" w:noHBand="0" w:noVBand="1" w:val="04A0"/>
      </w:tblPr>
      <w:tblGrid>
        <w:gridCol w:w="10080"/>
      </w:tblGrid>
      <w:tr>
        <w:tc>
          <w:tcPr>
            <w:tcW w:type="dxa" w:w="10080"/>
            <w:shd w:fill="F2F5F8"/>
            <w:tcMar>
              <w:top w:w="120" w:type="dxa"/>
              <w:start w:w="140" w:type="dxa"/>
              <w:bottom w:w="120" w:type="dxa"/>
              <w:end w:w="140" w:type="dxa"/>
            </w:tcMar>
          </w:tcPr>
          <w:p>
            <w:pPr>
              <w:spacing w:after="0" w:line="240" w:lineRule="auto"/>
            </w:pPr>
            <w:r>
              <w:rPr>
                <w:rFonts w:ascii="Consolas" w:hAnsi="Consolas" w:eastAsia="Consolas"/>
                <w:sz w:val="16"/>
              </w:rPr>
              <w:t>python scripts/generate_demo_data.py --out data/demo --repetitions 25</w:t>
              <w:br/>
              <w:t>python -m src.train_models --data-dir data/demo --out-dir artifacts</w:t>
              <w:br/>
              <w:t>python -m pytest tests/test_features.py -q</w:t>
              <w:br/>
              <w:t>python scripts/smoke_test_api.py</w:t>
            </w:r>
          </w:p>
        </w:tc>
      </w:tr>
    </w:tbl>
    <w:p>
      <w:pPr>
        <w:spacing w:after="0"/>
      </w:pPr>
    </w:p>
    <w:tbl>
      <w:tblPr>
        <w:tblW w:type="auto" w:w="0"/>
        <w:tblLook w:firstColumn="1" w:firstRow="1" w:lastColumn="0" w:lastRow="0" w:noHBand="0" w:noVBand="1" w:val="04A0"/>
      </w:tblPr>
      <w:tblGrid>
        <w:gridCol w:w="10080"/>
      </w:tblGrid>
      <w:tr>
        <w:tc>
          <w:tcPr>
            <w:tcW w:type="dxa" w:w="10080"/>
            <w:shd w:fill="FCE4D6"/>
            <w:tcMar>
              <w:top w:w="130" w:type="dxa"/>
              <w:start w:w="150" w:type="dxa"/>
              <w:bottom w:w="130" w:type="dxa"/>
              <w:end w:w="150" w:type="dxa"/>
            </w:tcMar>
          </w:tcPr>
          <w:p>
            <w:pPr>
              <w:spacing w:after="60"/>
            </w:pPr>
            <w:r>
              <w:rPr>
                <w:b/>
                <w:color w:val="17365D"/>
                <w:sz w:val="20"/>
              </w:rPr>
              <w:t>Synthetic data warning</w:t>
            </w:r>
          </w:p>
          <w:p>
            <w:pPr>
              <w:spacing w:after="0"/>
            </w:pPr>
            <w:r>
              <w:t>The demo data generator deliberately encodes strong fault patterns so model training and API inference can be smoke-tested locally. Its near-perfect scores are not evidence of real fault-diagnosis accuracy and must not appear as project results.</w:t>
            </w:r>
          </w:p>
        </w:tc>
      </w:tr>
    </w:tbl>
    <w:p>
      <w:pPr>
        <w:spacing w:after="0"/>
      </w:pPr>
    </w:p>
    <w:p>
      <w:pPr>
        <w:pStyle w:val="Heading2"/>
      </w:pPr>
      <w:r>
        <w:t>13.3 Train on your collected dataset</w:t>
      </w:r>
    </w:p>
    <w:tbl>
      <w:tblPr>
        <w:tblW w:type="auto" w:w="0"/>
        <w:jc w:val="center"/>
        <w:tblLook w:firstColumn="1" w:firstRow="1" w:lastColumn="0" w:lastRow="0" w:noHBand="0" w:noVBand="1" w:val="04A0"/>
      </w:tblPr>
      <w:tblGrid>
        <w:gridCol w:w="10080"/>
      </w:tblGrid>
      <w:tr>
        <w:tc>
          <w:tcPr>
            <w:tcW w:type="dxa" w:w="10080"/>
            <w:shd w:fill="F2F5F8"/>
            <w:tcMar>
              <w:top w:w="120" w:type="dxa"/>
              <w:start w:w="140" w:type="dxa"/>
              <w:bottom w:w="120" w:type="dxa"/>
              <w:end w:w="140" w:type="dxa"/>
            </w:tcMar>
          </w:tcPr>
          <w:p>
            <w:pPr>
              <w:spacing w:after="0" w:line="240" w:lineRule="auto"/>
            </w:pPr>
            <w:r>
              <w:rPr>
                <w:rFonts w:ascii="Consolas" w:hAnsi="Consolas" w:eastAsia="Consolas"/>
                <w:sz w:val="16"/>
              </w:rPr>
              <w:t>python -m src.train_models --data-dir data/custom_v1 --out-dir artifacts/custom_v1</w:t>
              <w:br/>
              <w:t># PowerShell: point the API at the custom model directory</w:t>
              <w:br/>
              <w:t>$env:AUTOHEAL_MODEL_DIR = "artifacts/custom_v1"</w:t>
              <w:br/>
              <w:t>uvicorn src.api:app --host 127.0.0.1 --port 8001</w:t>
            </w:r>
          </w:p>
        </w:tc>
      </w:tr>
    </w:tbl>
    <w:p>
      <w:pPr>
        <w:spacing w:after="0"/>
      </w:pPr>
    </w:p>
    <w:p>
      <w:r>
        <w:t>Before running the command, the feature builder must write `data/custom_v1/windows.csv` and `data/custom_v1/root_candidates.csv` exactly to the contract in `src/features.py` and this document. The kit intentionally fails if feature columns are absent/non-numeric or if a grouped split loses a class. This is a data-quality guard, not a bug to bypass by leaking rows.</w:t>
      </w:r>
    </w:p>
    <w:p>
      <w:pPr>
        <w:pStyle w:val="Heading2"/>
      </w:pPr>
      <w:r>
        <w:t>13.4 What the training kit saves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304"/>
            <w:shd w:fill="17365D"/>
            <w:tcMar>
              <w:top w:w="85" w:type="dxa"/>
              <w:start w:w="90" w:type="dxa"/>
              <w:bottom w:w="85" w:type="dxa"/>
              <w:end w:w="90" w:type="dxa"/>
            </w:tcMar>
            <w:vAlign w:val="center"/>
          </w:tcPr>
          <w:p>
            <w:pPr>
              <w:spacing w:after="0"/>
            </w:pPr>
            <w:r>
              <w:rPr>
                <w:b/>
                <w:color w:val="FFFFFF"/>
                <w:sz w:val="16"/>
              </w:rPr>
              <w:t>Artifact</w:t>
            </w:r>
          </w:p>
        </w:tc>
        <w:tc>
          <w:tcPr>
            <w:tcW w:type="dxa" w:w="4608"/>
            <w:shd w:fill="17365D"/>
            <w:tcMar>
              <w:top w:w="85" w:type="dxa"/>
              <w:start w:w="90" w:type="dxa"/>
              <w:bottom w:w="85" w:type="dxa"/>
              <w:end w:w="90" w:type="dxa"/>
            </w:tcMar>
            <w:vAlign w:val="center"/>
          </w:tcPr>
          <w:p>
            <w:pPr>
              <w:spacing w:after="0"/>
            </w:pPr>
            <w:r>
              <w:rPr>
                <w:b/>
                <w:color w:val="FFFFFF"/>
                <w:sz w:val="16"/>
              </w:rPr>
              <w:t>Contents</w:t>
            </w:r>
          </w:p>
        </w:tc>
        <w:tc>
          <w:tcPr>
            <w:tcW w:type="dxa" w:w="3528"/>
            <w:shd w:fill="17365D"/>
            <w:tcMar>
              <w:top w:w="85" w:type="dxa"/>
              <w:start w:w="90" w:type="dxa"/>
              <w:bottom w:w="85" w:type="dxa"/>
              <w:end w:w="90" w:type="dxa"/>
            </w:tcMar>
            <w:vAlign w:val="center"/>
          </w:tcPr>
          <w:p>
            <w:pPr>
              <w:spacing w:after="0"/>
            </w:pPr>
            <w:r>
              <w:rPr>
                <w:b/>
                <w:color w:val="FFFFFF"/>
                <w:sz w:val="16"/>
              </w:rPr>
              <w:t>Use</w:t>
            </w:r>
          </w:p>
        </w:tc>
      </w:tr>
      <w:tr>
        <w:tc>
          <w:tcPr>
            <w:tcW w:type="dxa" w:w="2304"/>
            <w:tcMar>
              <w:top w:w="85" w:type="dxa"/>
              <w:start w:w="90" w:type="dxa"/>
              <w:bottom w:w="85" w:type="dxa"/>
              <w:end w:w="90" w:type="dxa"/>
            </w:tcMar>
            <w:vAlign w:val="top"/>
          </w:tcPr>
          <w:p>
            <w:pPr>
              <w:spacing w:after="20" w:line="240" w:lineRule="auto"/>
            </w:pPr>
            <w:r>
              <w:rPr>
                <w:sz w:val="16"/>
              </w:rPr>
              <w:t>`anomaly_iforest.joblib`</w:t>
            </w:r>
          </w:p>
        </w:tc>
        <w:tc>
          <w:tcPr>
            <w:tcW w:type="dxa" w:w="4608"/>
            <w:tcMar>
              <w:top w:w="85" w:type="dxa"/>
              <w:start w:w="90" w:type="dxa"/>
              <w:bottom w:w="85" w:type="dxa"/>
              <w:end w:w="90" w:type="dxa"/>
            </w:tcMar>
            <w:vAlign w:val="top"/>
          </w:tcPr>
          <w:p>
            <w:pPr>
              <w:spacing w:after="20" w:line="240" w:lineRule="auto"/>
            </w:pPr>
            <w:r>
              <w:rPr>
                <w:sz w:val="16"/>
              </w:rPr>
              <w:t>RobustScaler + Isolation Forest and validation-normal score threshold.</w:t>
            </w:r>
          </w:p>
        </w:tc>
        <w:tc>
          <w:tcPr>
            <w:tcW w:type="dxa" w:w="3528"/>
            <w:tcMar>
              <w:top w:w="85" w:type="dxa"/>
              <w:start w:w="90" w:type="dxa"/>
              <w:bottom w:w="85" w:type="dxa"/>
              <w:end w:w="90" w:type="dxa"/>
            </w:tcMar>
            <w:vAlign w:val="top"/>
          </w:tcPr>
          <w:p>
            <w:pPr>
              <w:spacing w:after="20" w:line="240" w:lineRule="auto"/>
            </w:pPr>
            <w:r>
              <w:rPr>
                <w:sz w:val="16"/>
              </w:rPr>
              <w:t>Anomaly API step.</w:t>
            </w:r>
          </w:p>
        </w:tc>
      </w:tr>
      <w:tr>
        <w:tc>
          <w:tcPr>
            <w:tcW w:type="dxa" w:w="2304"/>
            <w:tcMar>
              <w:top w:w="85" w:type="dxa"/>
              <w:start w:w="90" w:type="dxa"/>
              <w:bottom w:w="85" w:type="dxa"/>
              <w:end w:w="90" w:type="dxa"/>
            </w:tcMar>
            <w:vAlign w:val="top"/>
            <w:shd w:fill="F3F6FA"/>
          </w:tcPr>
          <w:p>
            <w:pPr>
              <w:spacing w:after="20" w:line="240" w:lineRule="auto"/>
            </w:pPr>
            <w:r>
              <w:rPr>
                <w:sz w:val="16"/>
              </w:rPr>
              <w:t>`fault_xgb.joblib`</w:t>
            </w:r>
          </w:p>
        </w:tc>
        <w:tc>
          <w:tcPr>
            <w:tcW w:type="dxa" w:w="4608"/>
            <w:tcMar>
              <w:top w:w="85" w:type="dxa"/>
              <w:start w:w="90" w:type="dxa"/>
              <w:bottom w:w="85" w:type="dxa"/>
              <w:end w:w="90" w:type="dxa"/>
            </w:tcMar>
            <w:vAlign w:val="top"/>
            <w:shd w:fill="F3F6FA"/>
          </w:tcPr>
          <w:p>
            <w:pPr>
              <w:spacing w:after="20" w:line="240" w:lineRule="auto"/>
            </w:pPr>
            <w:r>
              <w:rPr>
                <w:sz w:val="16"/>
              </w:rPr>
              <w:t>XGBoost multiclass model, label encoder and feature list.</w:t>
            </w:r>
          </w:p>
        </w:tc>
        <w:tc>
          <w:tcPr>
            <w:tcW w:type="dxa" w:w="3528"/>
            <w:tcMar>
              <w:top w:w="85" w:type="dxa"/>
              <w:start w:w="90" w:type="dxa"/>
              <w:bottom w:w="85" w:type="dxa"/>
              <w:end w:w="90" w:type="dxa"/>
            </w:tcMar>
            <w:vAlign w:val="top"/>
            <w:shd w:fill="F3F6FA"/>
          </w:tcPr>
          <w:p>
            <w:pPr>
              <w:spacing w:after="20" w:line="240" w:lineRule="auto"/>
            </w:pPr>
            <w:r>
              <w:rPr>
                <w:sz w:val="16"/>
              </w:rPr>
              <w:t>Fault family API step.</w:t>
            </w:r>
          </w:p>
        </w:tc>
      </w:tr>
      <w:tr>
        <w:tc>
          <w:tcPr>
            <w:tcW w:type="dxa" w:w="2304"/>
            <w:tcMar>
              <w:top w:w="85" w:type="dxa"/>
              <w:start w:w="90" w:type="dxa"/>
              <w:bottom w:w="85" w:type="dxa"/>
              <w:end w:w="90" w:type="dxa"/>
            </w:tcMar>
            <w:vAlign w:val="top"/>
          </w:tcPr>
          <w:p>
            <w:pPr>
              <w:spacing w:after="20" w:line="240" w:lineRule="auto"/>
            </w:pPr>
            <w:r>
              <w:rPr>
                <w:sz w:val="16"/>
              </w:rPr>
              <w:t>`root_ranker_xgb.joblib`</w:t>
            </w:r>
          </w:p>
        </w:tc>
        <w:tc>
          <w:tcPr>
            <w:tcW w:type="dxa" w:w="4608"/>
            <w:tcMar>
              <w:top w:w="85" w:type="dxa"/>
              <w:start w:w="90" w:type="dxa"/>
              <w:bottom w:w="85" w:type="dxa"/>
              <w:end w:w="90" w:type="dxa"/>
            </w:tcMar>
            <w:vAlign w:val="top"/>
          </w:tcPr>
          <w:p>
            <w:pPr>
              <w:spacing w:after="20" w:line="240" w:lineRule="auto"/>
            </w:pPr>
            <w:r>
              <w:rPr>
                <w:sz w:val="16"/>
              </w:rPr>
              <w:t>XGBoost binary candidate-service scorer and root feature list.</w:t>
            </w:r>
          </w:p>
        </w:tc>
        <w:tc>
          <w:tcPr>
            <w:tcW w:type="dxa" w:w="3528"/>
            <w:tcMar>
              <w:top w:w="85" w:type="dxa"/>
              <w:start w:w="90" w:type="dxa"/>
              <w:bottom w:w="85" w:type="dxa"/>
              <w:end w:w="90" w:type="dxa"/>
            </w:tcMar>
            <w:vAlign w:val="top"/>
          </w:tcPr>
          <w:p>
            <w:pPr>
              <w:spacing w:after="20" w:line="240" w:lineRule="auto"/>
            </w:pPr>
            <w:r>
              <w:rPr>
                <w:sz w:val="16"/>
              </w:rPr>
              <w:t>Root-cause ranking API step.</w:t>
            </w:r>
          </w:p>
        </w:tc>
      </w:tr>
      <w:tr>
        <w:tc>
          <w:tcPr>
            <w:tcW w:type="dxa" w:w="2304"/>
            <w:tcMar>
              <w:top w:w="85" w:type="dxa"/>
              <w:start w:w="90" w:type="dxa"/>
              <w:bottom w:w="85" w:type="dxa"/>
              <w:end w:w="90" w:type="dxa"/>
            </w:tcMar>
            <w:vAlign w:val="top"/>
            <w:shd w:fill="F3F6FA"/>
          </w:tcPr>
          <w:p>
            <w:pPr>
              <w:spacing w:after="20" w:line="240" w:lineRule="auto"/>
            </w:pPr>
            <w:r>
              <w:rPr>
                <w:sz w:val="16"/>
              </w:rPr>
              <w:t>`model_metadata.json`</w:t>
            </w:r>
          </w:p>
        </w:tc>
        <w:tc>
          <w:tcPr>
            <w:tcW w:type="dxa" w:w="4608"/>
            <w:tcMar>
              <w:top w:w="85" w:type="dxa"/>
              <w:start w:w="90" w:type="dxa"/>
              <w:bottom w:w="85" w:type="dxa"/>
              <w:end w:w="90" w:type="dxa"/>
            </w:tcMar>
            <w:vAlign w:val="top"/>
            <w:shd w:fill="F3F6FA"/>
          </w:tcPr>
          <w:p>
            <w:pPr>
              <w:spacing w:after="20" w:line="240" w:lineRule="auto"/>
            </w:pPr>
            <w:r>
              <w:rPr>
                <w:sz w:val="16"/>
              </w:rPr>
              <w:t>Feature schema, label list, threshold and seed.</w:t>
            </w:r>
          </w:p>
        </w:tc>
        <w:tc>
          <w:tcPr>
            <w:tcW w:type="dxa" w:w="3528"/>
            <w:tcMar>
              <w:top w:w="85" w:type="dxa"/>
              <w:start w:w="90" w:type="dxa"/>
              <w:bottom w:w="85" w:type="dxa"/>
              <w:end w:w="90" w:type="dxa"/>
            </w:tcMar>
            <w:vAlign w:val="top"/>
            <w:shd w:fill="F3F6FA"/>
          </w:tcPr>
          <w:p>
            <w:pPr>
              <w:spacing w:after="20" w:line="240" w:lineRule="auto"/>
            </w:pPr>
            <w:r>
              <w:rPr>
                <w:sz w:val="16"/>
              </w:rPr>
              <w:t>Contract and reproducibility check.</w:t>
            </w:r>
          </w:p>
        </w:tc>
      </w:tr>
      <w:tr>
        <w:tc>
          <w:tcPr>
            <w:tcW w:type="dxa" w:w="2304"/>
            <w:tcMar>
              <w:top w:w="85" w:type="dxa"/>
              <w:start w:w="90" w:type="dxa"/>
              <w:bottom w:w="85" w:type="dxa"/>
              <w:end w:w="90" w:type="dxa"/>
            </w:tcMar>
            <w:vAlign w:val="top"/>
          </w:tcPr>
          <w:p>
            <w:pPr>
              <w:spacing w:after="20" w:line="240" w:lineRule="auto"/>
            </w:pPr>
            <w:r>
              <w:rPr>
                <w:sz w:val="16"/>
              </w:rPr>
              <w:t>`evaluation_report.json`</w:t>
            </w:r>
          </w:p>
        </w:tc>
        <w:tc>
          <w:tcPr>
            <w:tcW w:type="dxa" w:w="4608"/>
            <w:tcMar>
              <w:top w:w="85" w:type="dxa"/>
              <w:start w:w="90" w:type="dxa"/>
              <w:bottom w:w="85" w:type="dxa"/>
              <w:end w:w="90" w:type="dxa"/>
            </w:tcMar>
            <w:vAlign w:val="top"/>
          </w:tcPr>
          <w:p>
            <w:pPr>
              <w:spacing w:after="20" w:line="240" w:lineRule="auto"/>
            </w:pPr>
            <w:r>
              <w:rPr>
                <w:sz w:val="16"/>
              </w:rPr>
              <w:t>Held-out metrics per model.</w:t>
            </w:r>
          </w:p>
        </w:tc>
        <w:tc>
          <w:tcPr>
            <w:tcW w:type="dxa" w:w="3528"/>
            <w:tcMar>
              <w:top w:w="85" w:type="dxa"/>
              <w:start w:w="90" w:type="dxa"/>
              <w:bottom w:w="85" w:type="dxa"/>
              <w:end w:w="90" w:type="dxa"/>
            </w:tcMar>
            <w:vAlign w:val="top"/>
          </w:tcPr>
          <w:p>
            <w:pPr>
              <w:spacing w:after="20" w:line="240" w:lineRule="auto"/>
            </w:pPr>
            <w:r>
              <w:rPr>
                <w:sz w:val="16"/>
              </w:rPr>
              <w:t>Development checks; only research dataset results can be reported as experiments.</w:t>
            </w:r>
          </w:p>
        </w:tc>
      </w:tr>
      <w:tr>
        <w:tc>
          <w:tcPr>
            <w:tcW w:type="dxa" w:w="2304"/>
            <w:tcMar>
              <w:top w:w="85" w:type="dxa"/>
              <w:start w:w="90" w:type="dxa"/>
              <w:bottom w:w="85" w:type="dxa"/>
              <w:end w:w="90" w:type="dxa"/>
            </w:tcMar>
            <w:vAlign w:val="top"/>
            <w:shd w:fill="F3F6FA"/>
          </w:tcPr>
          <w:p>
            <w:pPr>
              <w:spacing w:after="20" w:line="240" w:lineRule="auto"/>
            </w:pPr>
            <w:r>
              <w:rPr>
                <w:sz w:val="16"/>
              </w:rPr>
              <w:t>`episode_splits.json`</w:t>
            </w:r>
          </w:p>
        </w:tc>
        <w:tc>
          <w:tcPr>
            <w:tcW w:type="dxa" w:w="4608"/>
            <w:tcMar>
              <w:top w:w="85" w:type="dxa"/>
              <w:start w:w="90" w:type="dxa"/>
              <w:bottom w:w="85" w:type="dxa"/>
              <w:end w:w="90" w:type="dxa"/>
            </w:tcMar>
            <w:vAlign w:val="top"/>
            <w:shd w:fill="F3F6FA"/>
          </w:tcPr>
          <w:p>
            <w:pPr>
              <w:spacing w:after="20" w:line="240" w:lineRule="auto"/>
            </w:pPr>
            <w:r>
              <w:rPr>
                <w:sz w:val="16"/>
              </w:rPr>
              <w:t>Episode IDs for train/validation/test.</w:t>
            </w:r>
          </w:p>
        </w:tc>
        <w:tc>
          <w:tcPr>
            <w:tcW w:type="dxa" w:w="3528"/>
            <w:tcMar>
              <w:top w:w="85" w:type="dxa"/>
              <w:start w:w="90" w:type="dxa"/>
              <w:bottom w:w="85" w:type="dxa"/>
              <w:end w:w="90" w:type="dxa"/>
            </w:tcMar>
            <w:vAlign w:val="top"/>
            <w:shd w:fill="F3F6FA"/>
          </w:tcPr>
          <w:p>
            <w:pPr>
              <w:spacing w:after="20" w:line="240" w:lineRule="auto"/>
            </w:pPr>
            <w:r>
              <w:rPr>
                <w:sz w:val="16"/>
              </w:rPr>
              <w:t>Auditable evidence that episode-level splitting was followed.</w:t>
            </w:r>
          </w:p>
        </w:tc>
      </w:tr>
    </w:tbl>
    <w:p>
      <w:pPr>
        <w:spacing w:after="0"/>
      </w:pPr>
    </w:p>
    <w:p>
      <w:pPr>
        <w:pStyle w:val="Heading1"/>
      </w:pPr>
      <w:r>
        <w:t>14. Model-service API and placement</w:t>
      </w:r>
    </w:p>
    <w:p>
      <w:r>
        <w:t>Keep the Python model service internal. The React dashboard talks to the Node.js gateway; the Spring Boot recovery controller talks to the Python diagnosis service and is the only component allowed to call the remediation API. The model service must have no Kubernetes/Docker control credentials.</w:t>
      </w:r>
    </w:p>
    <w:p>
      <w:pPr>
        <w:pStyle w:val="Heading2"/>
      </w:pPr>
      <w:r>
        <w:t>14.1 Endpoint contract</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16"/>
            <w:shd w:fill="17365D"/>
            <w:tcMar>
              <w:top w:w="85" w:type="dxa"/>
              <w:start w:w="90" w:type="dxa"/>
              <w:bottom w:w="85" w:type="dxa"/>
              <w:end w:w="90" w:type="dxa"/>
            </w:tcMar>
            <w:vAlign w:val="center"/>
          </w:tcPr>
          <w:p>
            <w:pPr>
              <w:spacing w:after="0"/>
            </w:pPr>
            <w:r>
              <w:rPr>
                <w:b/>
                <w:color w:val="FFFFFF"/>
                <w:sz w:val="16"/>
              </w:rPr>
              <w:t>Endpoint</w:t>
            </w:r>
          </w:p>
        </w:tc>
        <w:tc>
          <w:tcPr>
            <w:tcW w:type="dxa" w:w="3960"/>
            <w:shd w:fill="17365D"/>
            <w:tcMar>
              <w:top w:w="85" w:type="dxa"/>
              <w:start w:w="90" w:type="dxa"/>
              <w:bottom w:w="85" w:type="dxa"/>
              <w:end w:w="90" w:type="dxa"/>
            </w:tcMar>
            <w:vAlign w:val="center"/>
          </w:tcPr>
          <w:p>
            <w:pPr>
              <w:spacing w:after="0"/>
            </w:pPr>
            <w:r>
              <w:rPr>
                <w:b/>
                <w:color w:val="FFFFFF"/>
                <w:sz w:val="16"/>
              </w:rPr>
              <w:t>Input</w:t>
            </w:r>
          </w:p>
        </w:tc>
        <w:tc>
          <w:tcPr>
            <w:tcW w:type="dxa" w:w="5184"/>
            <w:shd w:fill="17365D"/>
            <w:tcMar>
              <w:top w:w="85" w:type="dxa"/>
              <w:start w:w="90" w:type="dxa"/>
              <w:bottom w:w="85" w:type="dxa"/>
              <w:end w:w="90" w:type="dxa"/>
            </w:tcMar>
            <w:vAlign w:val="center"/>
          </w:tcPr>
          <w:p>
            <w:pPr>
              <w:spacing w:after="0"/>
            </w:pPr>
            <w:r>
              <w:rPr>
                <w:b/>
                <w:color w:val="FFFFFF"/>
                <w:sz w:val="16"/>
              </w:rPr>
              <w:t>Output / rule</w:t>
            </w:r>
          </w:p>
        </w:tc>
      </w:tr>
      <w:tr>
        <w:tc>
          <w:tcPr>
            <w:tcW w:type="dxa" w:w="2016"/>
            <w:tcMar>
              <w:top w:w="85" w:type="dxa"/>
              <w:start w:w="90" w:type="dxa"/>
              <w:bottom w:w="85" w:type="dxa"/>
              <w:end w:w="90" w:type="dxa"/>
            </w:tcMar>
            <w:vAlign w:val="top"/>
          </w:tcPr>
          <w:p>
            <w:pPr>
              <w:spacing w:after="20" w:line="240" w:lineRule="auto"/>
            </w:pPr>
            <w:r>
              <w:rPr>
                <w:sz w:val="16"/>
              </w:rPr>
              <w:t>`GET /health`</w:t>
            </w:r>
          </w:p>
        </w:tc>
        <w:tc>
          <w:tcPr>
            <w:tcW w:type="dxa" w:w="3960"/>
            <w:tcMar>
              <w:top w:w="85" w:type="dxa"/>
              <w:start w:w="90" w:type="dxa"/>
              <w:bottom w:w="85" w:type="dxa"/>
              <w:end w:w="90" w:type="dxa"/>
            </w:tcMar>
            <w:vAlign w:val="top"/>
          </w:tcPr>
          <w:p>
            <w:pPr>
              <w:spacing w:after="20" w:line="240" w:lineRule="auto"/>
            </w:pPr>
            <w:r>
              <w:rPr>
                <w:sz w:val="16"/>
              </w:rPr>
              <w:t>None</w:t>
            </w:r>
          </w:p>
        </w:tc>
        <w:tc>
          <w:tcPr>
            <w:tcW w:type="dxa" w:w="5184"/>
            <w:tcMar>
              <w:top w:w="85" w:type="dxa"/>
              <w:start w:w="90" w:type="dxa"/>
              <w:bottom w:w="85" w:type="dxa"/>
              <w:end w:w="90" w:type="dxa"/>
            </w:tcMar>
            <w:vAlign w:val="top"/>
          </w:tcPr>
          <w:p>
            <w:pPr>
              <w:spacing w:after="20" w:line="240" w:lineRule="auto"/>
            </w:pPr>
            <w:r>
              <w:rPr>
                <w:sz w:val="16"/>
              </w:rPr>
              <w:t>`ready` only when all trained model artifacts load. Deployment readiness should fail otherwise.</w:t>
            </w:r>
          </w:p>
        </w:tc>
      </w:tr>
      <w:tr>
        <w:tc>
          <w:tcPr>
            <w:tcW w:type="dxa" w:w="2016"/>
            <w:tcMar>
              <w:top w:w="85" w:type="dxa"/>
              <w:start w:w="90" w:type="dxa"/>
              <w:bottom w:w="85" w:type="dxa"/>
              <w:end w:w="90" w:type="dxa"/>
            </w:tcMar>
            <w:vAlign w:val="top"/>
            <w:shd w:fill="F3F6FA"/>
          </w:tcPr>
          <w:p>
            <w:pPr>
              <w:spacing w:after="20" w:line="240" w:lineRule="auto"/>
            </w:pPr>
            <w:r>
              <w:rPr>
                <w:sz w:val="16"/>
              </w:rPr>
              <w:t>`POST /v1/diagnose`</w:t>
            </w:r>
          </w:p>
        </w:tc>
        <w:tc>
          <w:tcPr>
            <w:tcW w:type="dxa" w:w="3960"/>
            <w:tcMar>
              <w:top w:w="85" w:type="dxa"/>
              <w:start w:w="90" w:type="dxa"/>
              <w:bottom w:w="85" w:type="dxa"/>
              <w:end w:w="90" w:type="dxa"/>
            </w:tcMar>
            <w:vAlign w:val="top"/>
            <w:shd w:fill="F3F6FA"/>
          </w:tcPr>
          <w:p>
            <w:pPr>
              <w:spacing w:after="20" w:line="240" w:lineRule="auto"/>
            </w:pPr>
            <w:r>
              <w:rPr>
                <w:sz w:val="16"/>
              </w:rPr>
              <w:t>`incident_id` (audit ID), current numeric `window_features`, and candidate list `{service_id, features}`.</w:t>
            </w:r>
          </w:p>
        </w:tc>
        <w:tc>
          <w:tcPr>
            <w:tcW w:type="dxa" w:w="5184"/>
            <w:tcMar>
              <w:top w:w="85" w:type="dxa"/>
              <w:start w:w="90" w:type="dxa"/>
              <w:bottom w:w="85" w:type="dxa"/>
              <w:end w:w="90" w:type="dxa"/>
            </w:tcMar>
            <w:vAlign w:val="top"/>
            <w:shd w:fill="F3F6FA"/>
          </w:tcPr>
          <w:p>
            <w:pPr>
              <w:spacing w:after="20" w:line="240" w:lineRule="auto"/>
            </w:pPr>
            <w:r>
              <w:rPr>
                <w:sz w:val="16"/>
              </w:rPr>
              <w:t>Anomaly flag/score, top fault-family scores and sorted candidate-service scores. Always `action_authorized: false`.</w:t>
            </w:r>
          </w:p>
        </w:tc>
      </w:tr>
    </w:tbl>
    <w:p>
      <w:pPr>
        <w:spacing w:after="0"/>
      </w:pPr>
    </w:p>
    <w:tbl>
      <w:tblPr>
        <w:tblW w:type="auto" w:w="0"/>
        <w:jc w:val="center"/>
        <w:tblLook w:firstColumn="1" w:firstRow="1" w:lastColumn="0" w:lastRow="0" w:noHBand="0" w:noVBand="1" w:val="04A0"/>
      </w:tblPr>
      <w:tblGrid>
        <w:gridCol w:w="10080"/>
      </w:tblGrid>
      <w:tr>
        <w:tc>
          <w:tcPr>
            <w:tcW w:type="dxa" w:w="10080"/>
            <w:shd w:fill="F2F5F8"/>
            <w:tcMar>
              <w:top w:w="120" w:type="dxa"/>
              <w:start w:w="140" w:type="dxa"/>
              <w:bottom w:w="120" w:type="dxa"/>
              <w:end w:w="140" w:type="dxa"/>
            </w:tcMar>
          </w:tcPr>
          <w:p>
            <w:pPr>
              <w:spacing w:after="0" w:line="240" w:lineRule="auto"/>
            </w:pPr>
            <w:r>
              <w:rPr>
                <w:rFonts w:ascii="Consolas" w:hAnsi="Consolas" w:eastAsia="Consolas"/>
                <w:sz w:val="16"/>
              </w:rPr>
              <w:t>{</w:t>
              <w:br/>
              <w:t xml:space="preserve">  "incident_id": "INC-2026-0042",</w:t>
              <w:br/>
              <w:t xml:space="preserve">  "anomaly_detected": true,</w:t>
              <w:br/>
              <w:t xml:space="preserve">  "anomaly_score_samples": -0.42,</w:t>
              <w:br/>
              <w:t xml:space="preserve">  "fault_type": "DATABASE_LATENCY",</w:t>
              <w:br/>
              <w:t xml:space="preserve">  "fault_probabilities": [</w:t>
              <w:br/>
              <w:t xml:space="preserve">    {"label": "DATABASE_LATENCY", "score": 0.71},</w:t>
              <w:br/>
              <w:t xml:space="preserve">    {"label": "DATABASE_UNAVAILABLE", "score": 0.18}</w:t>
              <w:br/>
              <w:t xml:space="preserve">  ],</w:t>
              <w:br/>
              <w:t xml:space="preserve">  "root_cause_candidates": [</w:t>
              <w:br/>
              <w:t xml:space="preserve">    {"service_id": "postgresql", "score": 0.86},</w:t>
              <w:br/>
              <w:t xml:space="preserve">    {"service_id": "order-service", "score": 0.22}</w:t>
              <w:br/>
              <w:t xml:space="preserve">  ],</w:t>
              <w:br/>
              <w:t xml:space="preserve">  "action_authorized": false</w:t>
              <w:br/>
              <w:t>}</w:t>
            </w:r>
          </w:p>
        </w:tc>
      </w:tr>
    </w:tbl>
    <w:p>
      <w:pPr>
        <w:spacing w:after="0"/>
      </w:pPr>
    </w:p>
    <w:p>
      <w:r>
        <w:t>Numbers above illustrate the schema only; they are not reported test outcomes. Model scores are uncalibrated unless a separate calibration step is fitted and validated. The client must validate response schema and model version before using results.</w:t>
      </w:r>
    </w:p>
    <w:p>
      <w:pPr>
        <w:pStyle w:val="Heading2"/>
      </w:pPr>
      <w:r>
        <w:t>14.2 Controller-side policy table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240"/>
            <w:shd w:fill="17365D"/>
            <w:tcMar>
              <w:top w:w="85" w:type="dxa"/>
              <w:start w:w="90" w:type="dxa"/>
              <w:bottom w:w="85" w:type="dxa"/>
              <w:end w:w="90" w:type="dxa"/>
            </w:tcMar>
            <w:vAlign w:val="center"/>
          </w:tcPr>
          <w:p>
            <w:pPr>
              <w:spacing w:after="0"/>
            </w:pPr>
            <w:r>
              <w:rPr>
                <w:b/>
                <w:color w:val="FFFFFF"/>
                <w:sz w:val="15"/>
              </w:rPr>
              <w:t>Diagnosis / condition</w:t>
            </w:r>
          </w:p>
        </w:tc>
        <w:tc>
          <w:tcPr>
            <w:tcW w:type="dxa" w:w="3744"/>
            <w:shd w:fill="17365D"/>
            <w:tcMar>
              <w:top w:w="85" w:type="dxa"/>
              <w:start w:w="90" w:type="dxa"/>
              <w:bottom w:w="85" w:type="dxa"/>
              <w:end w:w="90" w:type="dxa"/>
            </w:tcMar>
            <w:vAlign w:val="center"/>
          </w:tcPr>
          <w:p>
            <w:pPr>
              <w:spacing w:after="0"/>
            </w:pPr>
            <w:r>
              <w:rPr>
                <w:b/>
                <w:color w:val="FFFFFF"/>
                <w:sz w:val="15"/>
              </w:rPr>
              <w:t>Allowed initial response</w:t>
            </w:r>
          </w:p>
        </w:tc>
        <w:tc>
          <w:tcPr>
            <w:tcW w:type="dxa" w:w="4104"/>
            <w:shd w:fill="17365D"/>
            <w:tcMar>
              <w:top w:w="85" w:type="dxa"/>
              <w:start w:w="90" w:type="dxa"/>
              <w:bottom w:w="85" w:type="dxa"/>
              <w:end w:w="90" w:type="dxa"/>
            </w:tcMar>
            <w:vAlign w:val="center"/>
          </w:tcPr>
          <w:p>
            <w:pPr>
              <w:spacing w:after="0"/>
            </w:pPr>
            <w:r>
              <w:rPr>
                <w:b/>
                <w:color w:val="FFFFFF"/>
                <w:sz w:val="15"/>
              </w:rPr>
              <w:t>Human-approval / deny conditions</w:t>
            </w:r>
          </w:p>
        </w:tc>
      </w:tr>
      <w:tr>
        <w:tc>
          <w:tcPr>
            <w:tcW w:type="dxa" w:w="3240"/>
            <w:tcMar>
              <w:top w:w="85" w:type="dxa"/>
              <w:start w:w="90" w:type="dxa"/>
              <w:bottom w:w="85" w:type="dxa"/>
              <w:end w:w="90" w:type="dxa"/>
            </w:tcMar>
            <w:vAlign w:val="top"/>
          </w:tcPr>
          <w:p>
            <w:pPr>
              <w:spacing w:after="20" w:line="240" w:lineRule="auto"/>
            </w:pPr>
            <w:r>
              <w:rPr>
                <w:sz w:val="15"/>
              </w:rPr>
              <w:t>No anomaly / no persistent SLO violation</w:t>
            </w:r>
          </w:p>
        </w:tc>
        <w:tc>
          <w:tcPr>
            <w:tcW w:type="dxa" w:w="3744"/>
            <w:tcMar>
              <w:top w:w="85" w:type="dxa"/>
              <w:start w:w="90" w:type="dxa"/>
              <w:bottom w:w="85" w:type="dxa"/>
              <w:end w:w="90" w:type="dxa"/>
            </w:tcMar>
            <w:vAlign w:val="top"/>
          </w:tcPr>
          <w:p>
            <w:pPr>
              <w:spacing w:after="20" w:line="240" w:lineRule="auto"/>
            </w:pPr>
            <w:r>
              <w:rPr>
                <w:sz w:val="15"/>
              </w:rPr>
              <w:t>No action; continue monitoring.</w:t>
            </w:r>
          </w:p>
        </w:tc>
        <w:tc>
          <w:tcPr>
            <w:tcW w:type="dxa" w:w="4104"/>
            <w:tcMar>
              <w:top w:w="85" w:type="dxa"/>
              <w:start w:w="90" w:type="dxa"/>
              <w:bottom w:w="85" w:type="dxa"/>
              <w:end w:w="90" w:type="dxa"/>
            </w:tcMar>
            <w:vAlign w:val="top"/>
          </w:tcPr>
          <w:p>
            <w:pPr>
              <w:spacing w:after="20" w:line="240" w:lineRule="auto"/>
            </w:pPr>
            <w:r>
              <w:rPr>
                <w:sz w:val="15"/>
              </w:rPr>
              <w:t>If telemetry is incomplete, treat as unknown rather than healthy.</w:t>
            </w:r>
          </w:p>
        </w:tc>
      </w:tr>
      <w:tr>
        <w:tc>
          <w:tcPr>
            <w:tcW w:type="dxa" w:w="3240"/>
            <w:tcMar>
              <w:top w:w="85" w:type="dxa"/>
              <w:start w:w="90" w:type="dxa"/>
              <w:bottom w:w="85" w:type="dxa"/>
              <w:end w:w="90" w:type="dxa"/>
            </w:tcMar>
            <w:vAlign w:val="top"/>
            <w:shd w:fill="F3F6FA"/>
          </w:tcPr>
          <w:p>
            <w:pPr>
              <w:spacing w:after="20" w:line="240" w:lineRule="auto"/>
            </w:pPr>
            <w:r>
              <w:rPr>
                <w:sz w:val="15"/>
              </w:rPr>
              <w:t>SERVICE_CRASH, stateless replica remains unhealthy</w:t>
            </w:r>
          </w:p>
        </w:tc>
        <w:tc>
          <w:tcPr>
            <w:tcW w:type="dxa" w:w="3744"/>
            <w:tcMar>
              <w:top w:w="85" w:type="dxa"/>
              <w:start w:w="90" w:type="dxa"/>
              <w:bottom w:w="85" w:type="dxa"/>
              <w:end w:w="90" w:type="dxa"/>
            </w:tcMar>
            <w:vAlign w:val="top"/>
            <w:shd w:fill="F3F6FA"/>
          </w:tcPr>
          <w:p>
            <w:pPr>
              <w:spacing w:after="20" w:line="240" w:lineRule="auto"/>
            </w:pPr>
            <w:r>
              <w:rPr>
                <w:sz w:val="15"/>
              </w:rPr>
              <w:t>Restart/replace one test replica if Kubernetes has not already healed it.</w:t>
            </w:r>
          </w:p>
        </w:tc>
        <w:tc>
          <w:tcPr>
            <w:tcW w:type="dxa" w:w="4104"/>
            <w:tcMar>
              <w:top w:w="85" w:type="dxa"/>
              <w:start w:w="90" w:type="dxa"/>
              <w:bottom w:w="85" w:type="dxa"/>
              <w:end w:w="90" w:type="dxa"/>
            </w:tcMar>
            <w:vAlign w:val="top"/>
            <w:shd w:fill="F3F6FA"/>
          </w:tcPr>
          <w:p>
            <w:pPr>
              <w:spacing w:after="20" w:line="240" w:lineRule="auto"/>
            </w:pPr>
            <w:r>
              <w:rPr>
                <w:sz w:val="15"/>
              </w:rPr>
              <w:t>Deny if service is stateful, restart budget exhausted, or replica safety margin is inadequate.</w:t>
            </w:r>
          </w:p>
        </w:tc>
      </w:tr>
      <w:tr>
        <w:tc>
          <w:tcPr>
            <w:tcW w:type="dxa" w:w="3240"/>
            <w:tcMar>
              <w:top w:w="85" w:type="dxa"/>
              <w:start w:w="90" w:type="dxa"/>
              <w:bottom w:w="85" w:type="dxa"/>
              <w:end w:w="90" w:type="dxa"/>
            </w:tcMar>
            <w:vAlign w:val="top"/>
          </w:tcPr>
          <w:p>
            <w:pPr>
              <w:spacing w:after="20" w:line="240" w:lineRule="auto"/>
            </w:pPr>
            <w:r>
              <w:rPr>
                <w:sz w:val="15"/>
              </w:rPr>
              <w:t>BAD_DEPLOYMENT + recent rollout + known previous good revision</w:t>
            </w:r>
          </w:p>
        </w:tc>
        <w:tc>
          <w:tcPr>
            <w:tcW w:type="dxa" w:w="3744"/>
            <w:tcMar>
              <w:top w:w="85" w:type="dxa"/>
              <w:start w:w="90" w:type="dxa"/>
              <w:bottom w:w="85" w:type="dxa"/>
              <w:end w:w="90" w:type="dxa"/>
            </w:tcMar>
            <w:vAlign w:val="top"/>
          </w:tcPr>
          <w:p>
            <w:pPr>
              <w:spacing w:after="20" w:line="240" w:lineRule="auto"/>
            </w:pPr>
            <w:r>
              <w:rPr>
                <w:sz w:val="15"/>
              </w:rPr>
              <w:t>Rollback to named stable revision.</w:t>
            </w:r>
          </w:p>
        </w:tc>
        <w:tc>
          <w:tcPr>
            <w:tcW w:type="dxa" w:w="4104"/>
            <w:tcMar>
              <w:top w:w="85" w:type="dxa"/>
              <w:start w:w="90" w:type="dxa"/>
              <w:bottom w:w="85" w:type="dxa"/>
              <w:end w:w="90" w:type="dxa"/>
            </w:tcMar>
            <w:vAlign w:val="top"/>
          </w:tcPr>
          <w:p>
            <w:pPr>
              <w:spacing w:after="20" w:line="240" w:lineRule="auto"/>
            </w:pPr>
            <w:r>
              <w:rPr>
                <w:sz w:val="15"/>
              </w:rPr>
              <w:t>Deny if no stable revision exists, schema migration may be irreversible, or evidence conflicts.</w:t>
            </w:r>
          </w:p>
        </w:tc>
      </w:tr>
      <w:tr>
        <w:tc>
          <w:tcPr>
            <w:tcW w:type="dxa" w:w="3240"/>
            <w:tcMar>
              <w:top w:w="85" w:type="dxa"/>
              <w:start w:w="90" w:type="dxa"/>
              <w:bottom w:w="85" w:type="dxa"/>
              <w:end w:w="90" w:type="dxa"/>
            </w:tcMar>
            <w:vAlign w:val="top"/>
            <w:shd w:fill="F3F6FA"/>
          </w:tcPr>
          <w:p>
            <w:pPr>
              <w:spacing w:after="20" w:line="240" w:lineRule="auto"/>
            </w:pPr>
            <w:r>
              <w:rPr>
                <w:sz w:val="15"/>
              </w:rPr>
              <w:t>TRAFFIC_OVERLOAD/CPU_SATURATION</w:t>
            </w:r>
          </w:p>
        </w:tc>
        <w:tc>
          <w:tcPr>
            <w:tcW w:type="dxa" w:w="3744"/>
            <w:tcMar>
              <w:top w:w="85" w:type="dxa"/>
              <w:start w:w="90" w:type="dxa"/>
              <w:bottom w:w="85" w:type="dxa"/>
              <w:end w:w="90" w:type="dxa"/>
            </w:tcMar>
            <w:vAlign w:val="top"/>
            <w:shd w:fill="F3F6FA"/>
          </w:tcPr>
          <w:p>
            <w:pPr>
              <w:spacing w:after="20" w:line="240" w:lineRule="auto"/>
            </w:pPr>
            <w:r>
              <w:rPr>
                <w:sz w:val="15"/>
              </w:rPr>
              <w:t>Scale a stateless service inside quota or apply tested load-shedding.</w:t>
            </w:r>
          </w:p>
        </w:tc>
        <w:tc>
          <w:tcPr>
            <w:tcW w:type="dxa" w:w="4104"/>
            <w:tcMar>
              <w:top w:w="85" w:type="dxa"/>
              <w:start w:w="90" w:type="dxa"/>
              <w:bottom w:w="85" w:type="dxa"/>
              <w:end w:w="90" w:type="dxa"/>
            </w:tcMar>
            <w:vAlign w:val="top"/>
            <w:shd w:fill="F3F6FA"/>
          </w:tcPr>
          <w:p>
            <w:pPr>
              <w:spacing w:after="20" w:line="240" w:lineRule="auto"/>
            </w:pPr>
            <w:r>
              <w:rPr>
                <w:sz w:val="15"/>
              </w:rPr>
              <w:t>Deny if capacity/quota unknown or scaling can trigger cost/side effects outside project scope.</w:t>
            </w:r>
          </w:p>
        </w:tc>
      </w:tr>
      <w:tr>
        <w:tc>
          <w:tcPr>
            <w:tcW w:type="dxa" w:w="3240"/>
            <w:tcMar>
              <w:top w:w="85" w:type="dxa"/>
              <w:start w:w="90" w:type="dxa"/>
              <w:bottom w:w="85" w:type="dxa"/>
              <w:end w:w="90" w:type="dxa"/>
            </w:tcMar>
            <w:vAlign w:val="top"/>
          </w:tcPr>
          <w:p>
            <w:pPr>
              <w:spacing w:after="20" w:line="240" w:lineRule="auto"/>
            </w:pPr>
            <w:r>
              <w:rPr>
                <w:sz w:val="15"/>
              </w:rPr>
              <w:t>MEMORY_PRESSURE</w:t>
            </w:r>
          </w:p>
        </w:tc>
        <w:tc>
          <w:tcPr>
            <w:tcW w:type="dxa" w:w="3744"/>
            <w:tcMar>
              <w:top w:w="85" w:type="dxa"/>
              <w:start w:w="90" w:type="dxa"/>
              <w:bottom w:w="85" w:type="dxa"/>
              <w:end w:w="90" w:type="dxa"/>
            </w:tcMar>
            <w:vAlign w:val="top"/>
          </w:tcPr>
          <w:p>
            <w:pPr>
              <w:spacing w:after="20" w:line="240" w:lineRule="auto"/>
            </w:pPr>
            <w:r>
              <w:rPr>
                <w:sz w:val="15"/>
              </w:rPr>
              <w:t>Restart one stateless replica only when remaining capacity is healthy; consider scale.</w:t>
            </w:r>
          </w:p>
        </w:tc>
        <w:tc>
          <w:tcPr>
            <w:tcW w:type="dxa" w:w="4104"/>
            <w:tcMar>
              <w:top w:w="85" w:type="dxa"/>
              <w:start w:w="90" w:type="dxa"/>
              <w:bottom w:w="85" w:type="dxa"/>
              <w:end w:w="90" w:type="dxa"/>
            </w:tcMar>
            <w:vAlign w:val="top"/>
          </w:tcPr>
          <w:p>
            <w:pPr>
              <w:spacing w:after="20" w:line="240" w:lineRule="auto"/>
            </w:pPr>
            <w:r>
              <w:rPr>
                <w:sz w:val="15"/>
              </w:rPr>
              <w:t>Stateful DB / no spare capacity / repeated OOM =&gt; escalate.</w:t>
            </w:r>
          </w:p>
        </w:tc>
      </w:tr>
      <w:tr>
        <w:tc>
          <w:tcPr>
            <w:tcW w:type="dxa" w:w="3240"/>
            <w:tcMar>
              <w:top w:w="85" w:type="dxa"/>
              <w:start w:w="90" w:type="dxa"/>
              <w:bottom w:w="85" w:type="dxa"/>
              <w:end w:w="90" w:type="dxa"/>
            </w:tcMar>
            <w:vAlign w:val="top"/>
            <w:shd w:fill="F3F6FA"/>
          </w:tcPr>
          <w:p>
            <w:pPr>
              <w:spacing w:after="20" w:line="240" w:lineRule="auto"/>
            </w:pPr>
            <w:r>
              <w:rPr>
                <w:sz w:val="15"/>
              </w:rPr>
              <w:t>DATABASE_UNAVAILABLE / DATABASE_LATENCY</w:t>
            </w:r>
          </w:p>
        </w:tc>
        <w:tc>
          <w:tcPr>
            <w:tcW w:type="dxa" w:w="3744"/>
            <w:tcMar>
              <w:top w:w="85" w:type="dxa"/>
              <w:start w:w="90" w:type="dxa"/>
              <w:bottom w:w="85" w:type="dxa"/>
              <w:end w:w="90" w:type="dxa"/>
            </w:tcMar>
            <w:vAlign w:val="top"/>
            <w:shd w:fill="F3F6FA"/>
          </w:tcPr>
          <w:p>
            <w:pPr>
              <w:spacing w:after="20" w:line="240" w:lineRule="auto"/>
            </w:pPr>
            <w:r>
              <w:rPr>
                <w:sz w:val="15"/>
              </w:rPr>
              <w:t>Bounded retry/backoff or configured failover; collect DB evidence.</w:t>
            </w:r>
          </w:p>
        </w:tc>
        <w:tc>
          <w:tcPr>
            <w:tcW w:type="dxa" w:w="4104"/>
            <w:tcMar>
              <w:top w:w="85" w:type="dxa"/>
              <w:start w:w="90" w:type="dxa"/>
              <w:bottom w:w="85" w:type="dxa"/>
              <w:end w:w="90" w:type="dxa"/>
            </w:tcMar>
            <w:vAlign w:val="top"/>
            <w:shd w:fill="F3F6FA"/>
          </w:tcPr>
          <w:p>
            <w:pPr>
              <w:spacing w:after="20" w:line="240" w:lineRule="auto"/>
            </w:pPr>
            <w:r>
              <w:rPr>
                <w:sz w:val="15"/>
              </w:rPr>
              <w:t>Never blindly restart production DB; human approval for destructive/stateful actions.</w:t>
            </w:r>
          </w:p>
        </w:tc>
      </w:tr>
      <w:tr>
        <w:tc>
          <w:tcPr>
            <w:tcW w:type="dxa" w:w="3240"/>
            <w:tcMar>
              <w:top w:w="85" w:type="dxa"/>
              <w:start w:w="90" w:type="dxa"/>
              <w:bottom w:w="85" w:type="dxa"/>
              <w:end w:w="90" w:type="dxa"/>
            </w:tcMar>
            <w:vAlign w:val="top"/>
          </w:tcPr>
          <w:p>
            <w:pPr>
              <w:spacing w:after="20" w:line="240" w:lineRule="auto"/>
            </w:pPr>
            <w:r>
              <w:rPr>
                <w:sz w:val="15"/>
              </w:rPr>
              <w:t>NETWORK_DEGRADATION / unknown / low agreement</w:t>
            </w:r>
          </w:p>
        </w:tc>
        <w:tc>
          <w:tcPr>
            <w:tcW w:type="dxa" w:w="3744"/>
            <w:tcMar>
              <w:top w:w="85" w:type="dxa"/>
              <w:start w:w="90" w:type="dxa"/>
              <w:bottom w:w="85" w:type="dxa"/>
              <w:end w:w="90" w:type="dxa"/>
            </w:tcMar>
            <w:vAlign w:val="top"/>
          </w:tcPr>
          <w:p>
            <w:pPr>
              <w:spacing w:after="20" w:line="240" w:lineRule="auto"/>
            </w:pPr>
            <w:r>
              <w:rPr>
                <w:sz w:val="15"/>
              </w:rPr>
              <w:t>No autonomous destructive action; investigate or escalate.</w:t>
            </w:r>
          </w:p>
        </w:tc>
        <w:tc>
          <w:tcPr>
            <w:tcW w:type="dxa" w:w="4104"/>
            <w:tcMar>
              <w:top w:w="85" w:type="dxa"/>
              <w:start w:w="90" w:type="dxa"/>
              <w:bottom w:w="85" w:type="dxa"/>
              <w:end w:w="90" w:type="dxa"/>
            </w:tcMar>
            <w:vAlign w:val="top"/>
          </w:tcPr>
          <w:p>
            <w:pPr>
              <w:spacing w:after="20" w:line="240" w:lineRule="auto"/>
            </w:pPr>
            <w:r>
              <w:rPr>
                <w:sz w:val="15"/>
              </w:rPr>
              <w:t>Missing features, low calibrated score, low ranking margin, repeated recovery failure or conflicting evidence.</w:t>
            </w:r>
          </w:p>
        </w:tc>
      </w:tr>
    </w:tbl>
    <w:p>
      <w:pPr>
        <w:spacing w:after="0"/>
      </w:pPr>
    </w:p>
    <w:p>
      <w:pPr>
        <w:pStyle w:val="Heading1"/>
      </w:pPr>
      <w:r>
        <w:t>15. The recovery-action model should not be trained in v1</w:t>
      </w:r>
    </w:p>
    <w:p>
      <w:r>
        <w:t>Although action selection is important, the available training data cannot tell you whether an action that was never tried would have worked in a given incident. This is a counterfactual problem. A dataset of successful restarts alone teaches selection bias: the system may only have restarted cases where an operator already thought restart would work.</w:t>
      </w:r>
    </w:p>
    <w:p>
      <w:pPr>
        <w:pStyle w:val="ListBullet"/>
        <w:spacing w:after="40"/>
      </w:pPr>
      <w:r>
        <w:t>Use an explicit, reviewed mapping from diagnosed fault and evidence to candidate action. Record why an action was permitted or denied.</w:t>
      </w:r>
    </w:p>
    <w:p>
      <w:pPr>
        <w:pStyle w:val="ListBullet"/>
        <w:spacing w:after="40"/>
      </w:pPr>
      <w:r>
        <w:t>Keep an action registry: action name, allowable target types, permission scope, timeout, cooldown, rate limit, rollback/escape path, expected health signals and maximum retries.</w:t>
      </w:r>
    </w:p>
    <w:p>
      <w:pPr>
        <w:pStyle w:val="ListBullet"/>
        <w:spacing w:after="40"/>
      </w:pPr>
      <w:r>
        <w:t>Start in shadow mode: record what the model and policy would have done without executing it. Compare its proposals to ground-truth injected fault and reviewed operator decisions.</w:t>
      </w:r>
    </w:p>
    <w:p>
      <w:pPr>
        <w:pStyle w:val="ListBullet"/>
        <w:spacing w:after="40"/>
      </w:pPr>
      <w:r>
        <w:t>When enough repeated action outcomes exist, calculate empirical success/failure rates by fault, target, workload and action. This is an analytics feature, not yet an autonomous learned policy.</w:t>
      </w:r>
    </w:p>
    <w:p>
      <w:pPr>
        <w:pStyle w:val="ListBullet"/>
        <w:spacing w:after="40"/>
      </w:pPr>
      <w:r>
        <w:t>Do not use reinforcement learning to explore recovery actions in a live system. For a later policy-learning paper, build a controlled simulator or isolated staging testbed with safe action constraints and counterfactual repeat trials.</w:t>
      </w:r>
    </w:p>
    <w:p>
      <w:pPr>
        <w:pStyle w:val="Heading2"/>
      </w:pPr>
      <w:r>
        <w:t>15.1 Safety gate requirements</w:t>
      </w:r>
    </w:p>
    <w:p>
      <w:pPr>
        <w:pStyle w:val="ListBullet"/>
        <w:spacing w:after="40"/>
      </w:pPr>
      <w:r>
        <w:t>Anomaly must be persistent over a configured number of observations or be supported by a strong health failure; a single noisy sample is not enough.</w:t>
      </w:r>
    </w:p>
    <w:p>
      <w:pPr>
        <w:pStyle w:val="ListBullet"/>
        <w:spacing w:after="40"/>
      </w:pPr>
      <w:r>
        <w:t>Fault class must meet a validation-derived threshold and be calibrated before the score is interpreted as probability. Require adequate margin over the second class for high-impact actions.</w:t>
      </w:r>
    </w:p>
    <w:p>
      <w:pPr>
        <w:pStyle w:val="ListBullet"/>
        <w:spacing w:after="40"/>
      </w:pPr>
      <w:r>
        <w:t>Root-cause ranking must meet a validation-derived threshold/margin and the candidate must have concrete supporting measurements.</w:t>
      </w:r>
    </w:p>
    <w:p>
      <w:pPr>
        <w:pStyle w:val="ListBullet"/>
        <w:spacing w:after="40"/>
      </w:pPr>
      <w:r>
        <w:t>The action must be allow-listed for the target component, in the dedicated test namespace, with a bounded timeout and cooldown.</w:t>
      </w:r>
    </w:p>
    <w:p>
      <w:pPr>
        <w:pStyle w:val="ListBullet"/>
        <w:spacing w:after="40"/>
      </w:pPr>
      <w:r>
        <w:t>One incident cannot trigger an unbounded action loop. Apply an idempotency key, maximum attempts and an escalation rule.</w:t>
      </w:r>
    </w:p>
    <w:p>
      <w:pPr>
        <w:pStyle w:val="ListBullet"/>
        <w:spacing w:after="40"/>
      </w:pPr>
      <w:r>
        <w:t>After action execution, verify application SLOs over a stable time interval and persist action outcome and model version.</w:t>
      </w:r>
    </w:p>
    <w:p>
      <w:pPr>
        <w:pStyle w:val="ListBullet"/>
        <w:spacing w:after="40"/>
      </w:pPr>
      <w:r>
        <w:t>In v1, the model API cannot execute tools/commands and has no infrastructure credentials.</w:t>
      </w:r>
    </w:p>
    <w:p>
      <w:pPr>
        <w:pStyle w:val="Heading1"/>
      </w:pPr>
      <w:r>
        <w:t>16. Evaluation plan: evidence that the approach works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800"/>
            <w:shd w:fill="17365D"/>
            <w:tcMar>
              <w:top w:w="85" w:type="dxa"/>
              <w:start w:w="90" w:type="dxa"/>
              <w:bottom w:w="85" w:type="dxa"/>
              <w:end w:w="90" w:type="dxa"/>
            </w:tcMar>
            <w:vAlign w:val="center"/>
          </w:tcPr>
          <w:p>
            <w:pPr>
              <w:spacing w:after="0"/>
            </w:pPr>
            <w:r>
              <w:rPr>
                <w:b/>
                <w:color w:val="FFFFFF"/>
                <w:sz w:val="14"/>
              </w:rPr>
              <w:t>Experiment</w:t>
            </w:r>
          </w:p>
        </w:tc>
        <w:tc>
          <w:tcPr>
            <w:tcW w:type="dxa" w:w="3240"/>
            <w:shd w:fill="17365D"/>
            <w:tcMar>
              <w:top w:w="85" w:type="dxa"/>
              <w:start w:w="90" w:type="dxa"/>
              <w:bottom w:w="85" w:type="dxa"/>
              <w:end w:w="90" w:type="dxa"/>
            </w:tcMar>
            <w:vAlign w:val="center"/>
          </w:tcPr>
          <w:p>
            <w:pPr>
              <w:spacing w:after="0"/>
            </w:pPr>
            <w:r>
              <w:rPr>
                <w:b/>
                <w:color w:val="FFFFFF"/>
                <w:sz w:val="14"/>
              </w:rPr>
              <w:t>Comparison</w:t>
            </w:r>
          </w:p>
        </w:tc>
        <w:tc>
          <w:tcPr>
            <w:tcW w:type="dxa" w:w="3168"/>
            <w:shd w:fill="17365D"/>
            <w:tcMar>
              <w:top w:w="85" w:type="dxa"/>
              <w:start w:w="90" w:type="dxa"/>
              <w:bottom w:w="85" w:type="dxa"/>
              <w:end w:w="90" w:type="dxa"/>
            </w:tcMar>
            <w:vAlign w:val="center"/>
          </w:tcPr>
          <w:p>
            <w:pPr>
              <w:spacing w:after="0"/>
            </w:pPr>
            <w:r>
              <w:rPr>
                <w:b/>
                <w:color w:val="FFFFFF"/>
                <w:sz w:val="14"/>
              </w:rPr>
              <w:t>Primary metrics</w:t>
            </w:r>
          </w:p>
        </w:tc>
        <w:tc>
          <w:tcPr>
            <w:tcW w:type="dxa" w:w="3240"/>
            <w:shd w:fill="17365D"/>
            <w:tcMar>
              <w:top w:w="85" w:type="dxa"/>
              <w:start w:w="90" w:type="dxa"/>
              <w:bottom w:w="85" w:type="dxa"/>
              <w:end w:w="90" w:type="dxa"/>
            </w:tcMar>
            <w:vAlign w:val="center"/>
          </w:tcPr>
          <w:p>
            <w:pPr>
              <w:spacing w:after="0"/>
            </w:pPr>
            <w:r>
              <w:rPr>
                <w:b/>
                <w:color w:val="FFFFFF"/>
                <w:sz w:val="14"/>
              </w:rPr>
              <w:t>What result supports the hypothesis</w:t>
            </w:r>
          </w:p>
        </w:tc>
      </w:tr>
      <w:tr>
        <w:tc>
          <w:tcPr>
            <w:tcW w:type="dxa" w:w="1800"/>
            <w:tcMar>
              <w:top w:w="85" w:type="dxa"/>
              <w:start w:w="90" w:type="dxa"/>
              <w:bottom w:w="85" w:type="dxa"/>
              <w:end w:w="90" w:type="dxa"/>
            </w:tcMar>
            <w:vAlign w:val="top"/>
          </w:tcPr>
          <w:p>
            <w:pPr>
              <w:spacing w:after="20" w:line="240" w:lineRule="auto"/>
            </w:pPr>
            <w:r>
              <w:rPr>
                <w:sz w:val="14"/>
              </w:rPr>
              <w:t>A. Anomaly detection</w:t>
            </w:r>
          </w:p>
        </w:tc>
        <w:tc>
          <w:tcPr>
            <w:tcW w:type="dxa" w:w="3240"/>
            <w:tcMar>
              <w:top w:w="85" w:type="dxa"/>
              <w:start w:w="90" w:type="dxa"/>
              <w:bottom w:w="85" w:type="dxa"/>
              <w:end w:w="90" w:type="dxa"/>
            </w:tcMar>
            <w:vAlign w:val="top"/>
          </w:tcPr>
          <w:p>
            <w:pPr>
              <w:spacing w:after="20" w:line="240" w:lineRule="auto"/>
            </w:pPr>
            <w:r>
              <w:rPr>
                <w:sz w:val="14"/>
              </w:rPr>
              <w:t>Static thresholds vs Isolation Forest.</w:t>
            </w:r>
          </w:p>
        </w:tc>
        <w:tc>
          <w:tcPr>
            <w:tcW w:type="dxa" w:w="3168"/>
            <w:tcMar>
              <w:top w:w="85" w:type="dxa"/>
              <w:start w:w="90" w:type="dxa"/>
              <w:bottom w:w="85" w:type="dxa"/>
              <w:end w:w="90" w:type="dxa"/>
            </w:tcMar>
            <w:vAlign w:val="top"/>
          </w:tcPr>
          <w:p>
            <w:pPr>
              <w:spacing w:after="20" w:line="240" w:lineRule="auto"/>
            </w:pPr>
            <w:r>
              <w:rPr>
                <w:sz w:val="14"/>
              </w:rPr>
              <w:t>PR-AUC where defined; precision/recall/F1; normal false positives per service-hour; detection delay.</w:t>
            </w:r>
          </w:p>
        </w:tc>
        <w:tc>
          <w:tcPr>
            <w:tcW w:type="dxa" w:w="3240"/>
            <w:tcMar>
              <w:top w:w="85" w:type="dxa"/>
              <w:start w:w="90" w:type="dxa"/>
              <w:bottom w:w="85" w:type="dxa"/>
              <w:end w:w="90" w:type="dxa"/>
            </w:tcMar>
            <w:vAlign w:val="top"/>
          </w:tcPr>
          <w:p>
            <w:pPr>
              <w:spacing w:after="20" w:line="240" w:lineRule="auto"/>
            </w:pPr>
            <w:r>
              <w:rPr>
                <w:sz w:val="14"/>
              </w:rPr>
              <w:t>IF improves fault recall at acceptable operational false-alert rate on unseen episodes/load levels.</w:t>
            </w:r>
          </w:p>
        </w:tc>
      </w:tr>
      <w:tr>
        <w:tc>
          <w:tcPr>
            <w:tcW w:type="dxa" w:w="1800"/>
            <w:tcMar>
              <w:top w:w="85" w:type="dxa"/>
              <w:start w:w="90" w:type="dxa"/>
              <w:bottom w:w="85" w:type="dxa"/>
              <w:end w:w="90" w:type="dxa"/>
            </w:tcMar>
            <w:vAlign w:val="top"/>
            <w:shd w:fill="F3F6FA"/>
          </w:tcPr>
          <w:p>
            <w:pPr>
              <w:spacing w:after="20" w:line="240" w:lineRule="auto"/>
            </w:pPr>
            <w:r>
              <w:rPr>
                <w:sz w:val="14"/>
              </w:rPr>
              <w:t>B. Fault family</w:t>
            </w:r>
          </w:p>
        </w:tc>
        <w:tc>
          <w:tcPr>
            <w:tcW w:type="dxa" w:w="3240"/>
            <w:tcMar>
              <w:top w:w="85" w:type="dxa"/>
              <w:start w:w="90" w:type="dxa"/>
              <w:bottom w:w="85" w:type="dxa"/>
              <w:end w:w="90" w:type="dxa"/>
            </w:tcMar>
            <w:vAlign w:val="top"/>
            <w:shd w:fill="F3F6FA"/>
          </w:tcPr>
          <w:p>
            <w:pPr>
              <w:spacing w:after="20" w:line="240" w:lineRule="auto"/>
            </w:pPr>
            <w:r>
              <w:rPr>
                <w:sz w:val="14"/>
              </w:rPr>
              <w:t>Rule-only vs Random Forest vs XGBoost.</w:t>
            </w:r>
          </w:p>
        </w:tc>
        <w:tc>
          <w:tcPr>
            <w:tcW w:type="dxa" w:w="3168"/>
            <w:tcMar>
              <w:top w:w="85" w:type="dxa"/>
              <w:start w:w="90" w:type="dxa"/>
              <w:bottom w:w="85" w:type="dxa"/>
              <w:end w:w="90" w:type="dxa"/>
            </w:tcMar>
            <w:vAlign w:val="top"/>
            <w:shd w:fill="F3F6FA"/>
          </w:tcPr>
          <w:p>
            <w:pPr>
              <w:spacing w:after="20" w:line="240" w:lineRule="auto"/>
            </w:pPr>
            <w:r>
              <w:rPr>
                <w:sz w:val="14"/>
              </w:rPr>
              <w:t>Macro-F1, per-class recall, confusion matrix, log loss; calibration metrics after calibration.</w:t>
            </w:r>
          </w:p>
        </w:tc>
        <w:tc>
          <w:tcPr>
            <w:tcW w:type="dxa" w:w="3240"/>
            <w:tcMar>
              <w:top w:w="85" w:type="dxa"/>
              <w:start w:w="90" w:type="dxa"/>
              <w:bottom w:w="85" w:type="dxa"/>
              <w:end w:w="90" w:type="dxa"/>
            </w:tcMar>
            <w:vAlign w:val="top"/>
            <w:shd w:fill="F3F6FA"/>
          </w:tcPr>
          <w:p>
            <w:pPr>
              <w:spacing w:after="20" w:line="240" w:lineRule="auto"/>
            </w:pPr>
            <w:r>
              <w:rPr>
                <w:sz w:val="14"/>
              </w:rPr>
              <w:t>XGBoost offers reproducible class-level lift, especially on fault types confused by simple rules.</w:t>
            </w:r>
          </w:p>
        </w:tc>
      </w:tr>
      <w:tr>
        <w:tc>
          <w:tcPr>
            <w:tcW w:type="dxa" w:w="1800"/>
            <w:tcMar>
              <w:top w:w="85" w:type="dxa"/>
              <w:start w:w="90" w:type="dxa"/>
              <w:bottom w:w="85" w:type="dxa"/>
              <w:end w:w="90" w:type="dxa"/>
            </w:tcMar>
            <w:vAlign w:val="top"/>
          </w:tcPr>
          <w:p>
            <w:pPr>
              <w:spacing w:after="20" w:line="240" w:lineRule="auto"/>
            </w:pPr>
            <w:r>
              <w:rPr>
                <w:sz w:val="14"/>
              </w:rPr>
              <w:t>C. Root-cause ranking</w:t>
            </w:r>
          </w:p>
        </w:tc>
        <w:tc>
          <w:tcPr>
            <w:tcW w:type="dxa" w:w="3240"/>
            <w:tcMar>
              <w:top w:w="85" w:type="dxa"/>
              <w:start w:w="90" w:type="dxa"/>
              <w:bottom w:w="85" w:type="dxa"/>
              <w:end w:w="90" w:type="dxa"/>
            </w:tcMar>
            <w:vAlign w:val="top"/>
          </w:tcPr>
          <w:p>
            <w:pPr>
              <w:spacing w:after="20" w:line="240" w:lineRule="auto"/>
            </w:pPr>
            <w:r>
              <w:rPr>
                <w:sz w:val="14"/>
              </w:rPr>
              <w:t>Dependency-aware weighted rule baseline vs XGBoost candidate ranker vs RCAEval published baseline.</w:t>
            </w:r>
          </w:p>
        </w:tc>
        <w:tc>
          <w:tcPr>
            <w:tcW w:type="dxa" w:w="3168"/>
            <w:tcMar>
              <w:top w:w="85" w:type="dxa"/>
              <w:start w:w="90" w:type="dxa"/>
              <w:bottom w:w="85" w:type="dxa"/>
              <w:end w:w="90" w:type="dxa"/>
            </w:tcMar>
            <w:vAlign w:val="top"/>
          </w:tcPr>
          <w:p>
            <w:pPr>
              <w:spacing w:after="20" w:line="240" w:lineRule="auto"/>
            </w:pPr>
            <w:r>
              <w:rPr>
                <w:sz w:val="14"/>
              </w:rPr>
              <w:t>Top-1, Top-3, MRR; optionally NDCG@k if multiple causes are explicitly labelled.</w:t>
            </w:r>
          </w:p>
        </w:tc>
        <w:tc>
          <w:tcPr>
            <w:tcW w:type="dxa" w:w="3240"/>
            <w:tcMar>
              <w:top w:w="85" w:type="dxa"/>
              <w:start w:w="90" w:type="dxa"/>
              <w:bottom w:w="85" w:type="dxa"/>
              <w:end w:w="90" w:type="dxa"/>
            </w:tcMar>
            <w:vAlign w:val="top"/>
          </w:tcPr>
          <w:p>
            <w:pPr>
              <w:spacing w:after="20" w:line="240" w:lineRule="auto"/>
            </w:pPr>
            <w:r>
              <w:rPr>
                <w:sz w:val="14"/>
              </w:rPr>
              <w:t>Candidate ranker improves ranking on held-out episodes and does not collapse on later session/system holdout.</w:t>
            </w:r>
          </w:p>
        </w:tc>
      </w:tr>
      <w:tr>
        <w:tc>
          <w:tcPr>
            <w:tcW w:type="dxa" w:w="1800"/>
            <w:tcMar>
              <w:top w:w="85" w:type="dxa"/>
              <w:start w:w="90" w:type="dxa"/>
              <w:bottom w:w="85" w:type="dxa"/>
              <w:end w:w="90" w:type="dxa"/>
            </w:tcMar>
            <w:vAlign w:val="top"/>
            <w:shd w:fill="F3F6FA"/>
          </w:tcPr>
          <w:p>
            <w:pPr>
              <w:spacing w:after="20" w:line="240" w:lineRule="auto"/>
            </w:pPr>
            <w:r>
              <w:rPr>
                <w:sz w:val="14"/>
              </w:rPr>
              <w:t>D. Multimodal ablation</w:t>
            </w:r>
          </w:p>
        </w:tc>
        <w:tc>
          <w:tcPr>
            <w:tcW w:type="dxa" w:w="3240"/>
            <w:tcMar>
              <w:top w:w="85" w:type="dxa"/>
              <w:start w:w="90" w:type="dxa"/>
              <w:bottom w:w="85" w:type="dxa"/>
              <w:end w:w="90" w:type="dxa"/>
            </w:tcMar>
            <w:vAlign w:val="top"/>
            <w:shd w:fill="F3F6FA"/>
          </w:tcPr>
          <w:p>
            <w:pPr>
              <w:spacing w:after="20" w:line="240" w:lineRule="auto"/>
            </w:pPr>
            <w:r>
              <w:rPr>
                <w:sz w:val="14"/>
              </w:rPr>
              <w:t>Metrics-only; +logs; +traces; +dependency graph; all modalities.</w:t>
            </w:r>
          </w:p>
        </w:tc>
        <w:tc>
          <w:tcPr>
            <w:tcW w:type="dxa" w:w="3168"/>
            <w:tcMar>
              <w:top w:w="85" w:type="dxa"/>
              <w:start w:w="90" w:type="dxa"/>
              <w:bottom w:w="85" w:type="dxa"/>
              <w:end w:w="90" w:type="dxa"/>
            </w:tcMar>
            <w:vAlign w:val="top"/>
            <w:shd w:fill="F3F6FA"/>
          </w:tcPr>
          <w:p>
            <w:pPr>
              <w:spacing w:after="20" w:line="240" w:lineRule="auto"/>
            </w:pPr>
            <w:r>
              <w:rPr>
                <w:sz w:val="14"/>
              </w:rPr>
              <w:t>Top-1/Top-3/MRR; diagnostic latency and missing-modality robustness.</w:t>
            </w:r>
          </w:p>
        </w:tc>
        <w:tc>
          <w:tcPr>
            <w:tcW w:type="dxa" w:w="3240"/>
            <w:tcMar>
              <w:top w:w="85" w:type="dxa"/>
              <w:start w:w="90" w:type="dxa"/>
              <w:bottom w:w="85" w:type="dxa"/>
              <w:end w:w="90" w:type="dxa"/>
            </w:tcMar>
            <w:vAlign w:val="top"/>
            <w:shd w:fill="F3F6FA"/>
          </w:tcPr>
          <w:p>
            <w:pPr>
              <w:spacing w:after="20" w:line="240" w:lineRule="auto"/>
            </w:pPr>
            <w:r>
              <w:rPr>
                <w:sz w:val="14"/>
              </w:rPr>
              <w:t>Each added modality improves results consistently enough to justify its complexity.</w:t>
            </w:r>
          </w:p>
        </w:tc>
      </w:tr>
      <w:tr>
        <w:tc>
          <w:tcPr>
            <w:tcW w:type="dxa" w:w="1800"/>
            <w:tcMar>
              <w:top w:w="85" w:type="dxa"/>
              <w:start w:w="90" w:type="dxa"/>
              <w:bottom w:w="85" w:type="dxa"/>
              <w:end w:w="90" w:type="dxa"/>
            </w:tcMar>
            <w:vAlign w:val="top"/>
          </w:tcPr>
          <w:p>
            <w:pPr>
              <w:spacing w:after="20" w:line="240" w:lineRule="auto"/>
            </w:pPr>
            <w:r>
              <w:rPr>
                <w:sz w:val="14"/>
              </w:rPr>
              <w:t>E. Recovery loop</w:t>
            </w:r>
          </w:p>
        </w:tc>
        <w:tc>
          <w:tcPr>
            <w:tcW w:type="dxa" w:w="3240"/>
            <w:tcMar>
              <w:top w:w="85" w:type="dxa"/>
              <w:start w:w="90" w:type="dxa"/>
              <w:bottom w:w="85" w:type="dxa"/>
              <w:end w:w="90" w:type="dxa"/>
            </w:tcMar>
            <w:vAlign w:val="top"/>
          </w:tcPr>
          <w:p>
            <w:pPr>
              <w:spacing w:after="20" w:line="240" w:lineRule="auto"/>
            </w:pPr>
            <w:r>
              <w:rPr>
                <w:sz w:val="14"/>
              </w:rPr>
              <w:t>Manual/assisted vs rule-based vs proposed diagnosis + policy controller.</w:t>
            </w:r>
          </w:p>
        </w:tc>
        <w:tc>
          <w:tcPr>
            <w:tcW w:type="dxa" w:w="3168"/>
            <w:tcMar>
              <w:top w:w="85" w:type="dxa"/>
              <w:start w:w="90" w:type="dxa"/>
              <w:bottom w:w="85" w:type="dxa"/>
              <w:end w:w="90" w:type="dxa"/>
            </w:tcMar>
            <w:vAlign w:val="top"/>
          </w:tcPr>
          <w:p>
            <w:pPr>
              <w:spacing w:after="20" w:line="240" w:lineRule="auto"/>
            </w:pPr>
            <w:r>
              <w:rPr>
                <w:sz w:val="14"/>
              </w:rPr>
              <w:t>MTTD, MTTR, success rate, intervention count, retry count.</w:t>
            </w:r>
          </w:p>
        </w:tc>
        <w:tc>
          <w:tcPr>
            <w:tcW w:type="dxa" w:w="3240"/>
            <w:tcMar>
              <w:top w:w="85" w:type="dxa"/>
              <w:start w:w="90" w:type="dxa"/>
              <w:bottom w:w="85" w:type="dxa"/>
              <w:end w:w="90" w:type="dxa"/>
            </w:tcMar>
            <w:vAlign w:val="top"/>
          </w:tcPr>
          <w:p>
            <w:pPr>
              <w:spacing w:after="20" w:line="240" w:lineRule="auto"/>
            </w:pPr>
            <w:r>
              <w:rPr>
                <w:sz w:val="14"/>
              </w:rPr>
              <w:t>End-to-end controller recovers faster or with fewer interventions without unsafe actions.</w:t>
            </w:r>
          </w:p>
        </w:tc>
      </w:tr>
      <w:tr>
        <w:tc>
          <w:tcPr>
            <w:tcW w:type="dxa" w:w="1800"/>
            <w:tcMar>
              <w:top w:w="85" w:type="dxa"/>
              <w:start w:w="90" w:type="dxa"/>
              <w:bottom w:w="85" w:type="dxa"/>
              <w:end w:w="90" w:type="dxa"/>
            </w:tcMar>
            <w:vAlign w:val="top"/>
            <w:shd w:fill="F3F6FA"/>
          </w:tcPr>
          <w:p>
            <w:pPr>
              <w:spacing w:after="20" w:line="240" w:lineRule="auto"/>
            </w:pPr>
            <w:r>
              <w:rPr>
                <w:sz w:val="14"/>
              </w:rPr>
              <w:t>F. Safety/abstention</w:t>
            </w:r>
          </w:p>
        </w:tc>
        <w:tc>
          <w:tcPr>
            <w:tcW w:type="dxa" w:w="3240"/>
            <w:tcMar>
              <w:top w:w="85" w:type="dxa"/>
              <w:start w:w="90" w:type="dxa"/>
              <w:bottom w:w="85" w:type="dxa"/>
              <w:end w:w="90" w:type="dxa"/>
            </w:tcMar>
            <w:vAlign w:val="top"/>
            <w:shd w:fill="F3F6FA"/>
          </w:tcPr>
          <w:p>
            <w:pPr>
              <w:spacing w:after="20" w:line="240" w:lineRule="auto"/>
            </w:pPr>
            <w:r>
              <w:rPr>
                <w:sz w:val="14"/>
              </w:rPr>
              <w:t>No abstention vs abstention + safety gate in a controlled simulator.</w:t>
            </w:r>
          </w:p>
        </w:tc>
        <w:tc>
          <w:tcPr>
            <w:tcW w:type="dxa" w:w="3168"/>
            <w:tcMar>
              <w:top w:w="85" w:type="dxa"/>
              <w:start w:w="90" w:type="dxa"/>
              <w:bottom w:w="85" w:type="dxa"/>
              <w:end w:w="90" w:type="dxa"/>
            </w:tcMar>
            <w:vAlign w:val="top"/>
            <w:shd w:fill="F3F6FA"/>
          </w:tcPr>
          <w:p>
            <w:pPr>
              <w:spacing w:after="20" w:line="240" w:lineRule="auto"/>
            </w:pPr>
            <w:r>
              <w:rPr>
                <w:sz w:val="14"/>
              </w:rPr>
              <w:t>Incorrect autonomous action rate, escalation rate, safe successful recovery rate, false action count.</w:t>
            </w:r>
          </w:p>
        </w:tc>
        <w:tc>
          <w:tcPr>
            <w:tcW w:type="dxa" w:w="3240"/>
            <w:tcMar>
              <w:top w:w="85" w:type="dxa"/>
              <w:start w:w="90" w:type="dxa"/>
              <w:bottom w:w="85" w:type="dxa"/>
              <w:end w:w="90" w:type="dxa"/>
            </w:tcMar>
            <w:vAlign w:val="top"/>
            <w:shd w:fill="F3F6FA"/>
          </w:tcPr>
          <w:p>
            <w:pPr>
              <w:spacing w:after="20" w:line="240" w:lineRule="auto"/>
            </w:pPr>
            <w:r>
              <w:rPr>
                <w:sz w:val="14"/>
              </w:rPr>
              <w:t>Safety gate blocks ambiguous/high-risk actions while retaining acceptable recovery coverage.</w:t>
            </w:r>
          </w:p>
        </w:tc>
      </w:tr>
    </w:tbl>
    <w:p>
      <w:pPr>
        <w:spacing w:after="0"/>
      </w:pPr>
    </w:p>
    <w:p>
      <w:pPr>
        <w:pStyle w:val="Heading2"/>
      </w:pPr>
      <w:r>
        <w:t>16.1 End-to-end metrics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592"/>
            <w:shd w:fill="17365D"/>
            <w:tcMar>
              <w:top w:w="85" w:type="dxa"/>
              <w:start w:w="90" w:type="dxa"/>
              <w:bottom w:w="85" w:type="dxa"/>
              <w:end w:w="90" w:type="dxa"/>
            </w:tcMar>
            <w:vAlign w:val="center"/>
          </w:tcPr>
          <w:p>
            <w:pPr>
              <w:spacing w:after="0"/>
            </w:pPr>
            <w:r>
              <w:rPr>
                <w:b/>
                <w:color w:val="FFFFFF"/>
                <w:sz w:val="16"/>
              </w:rPr>
              <w:t>Metric</w:t>
            </w:r>
          </w:p>
        </w:tc>
        <w:tc>
          <w:tcPr>
            <w:tcW w:type="dxa" w:w="8496"/>
            <w:shd w:fill="17365D"/>
            <w:tcMar>
              <w:top w:w="85" w:type="dxa"/>
              <w:start w:w="90" w:type="dxa"/>
              <w:bottom w:w="85" w:type="dxa"/>
              <w:end w:w="90" w:type="dxa"/>
            </w:tcMar>
            <w:vAlign w:val="center"/>
          </w:tcPr>
          <w:p>
            <w:pPr>
              <w:spacing w:after="0"/>
            </w:pPr>
            <w:r>
              <w:rPr>
                <w:b/>
                <w:color w:val="FFFFFF"/>
                <w:sz w:val="16"/>
              </w:rPr>
              <w:t>Definition / measurement</w:t>
            </w:r>
          </w:p>
        </w:tc>
      </w:tr>
      <w:tr>
        <w:tc>
          <w:tcPr>
            <w:tcW w:type="dxa" w:w="2592"/>
            <w:tcMar>
              <w:top w:w="85" w:type="dxa"/>
              <w:start w:w="90" w:type="dxa"/>
              <w:bottom w:w="85" w:type="dxa"/>
              <w:end w:w="90" w:type="dxa"/>
            </w:tcMar>
            <w:vAlign w:val="top"/>
          </w:tcPr>
          <w:p>
            <w:pPr>
              <w:spacing w:after="20" w:line="240" w:lineRule="auto"/>
            </w:pPr>
            <w:r>
              <w:rPr>
                <w:sz w:val="16"/>
              </w:rPr>
              <w:t>MTTD</w:t>
            </w:r>
          </w:p>
        </w:tc>
        <w:tc>
          <w:tcPr>
            <w:tcW w:type="dxa" w:w="8496"/>
            <w:tcMar>
              <w:top w:w="85" w:type="dxa"/>
              <w:start w:w="90" w:type="dxa"/>
              <w:bottom w:w="85" w:type="dxa"/>
              <w:end w:w="90" w:type="dxa"/>
            </w:tcMar>
            <w:vAlign w:val="top"/>
          </w:tcPr>
          <w:p>
            <w:pPr>
              <w:spacing w:after="20" w:line="240" w:lineRule="auto"/>
            </w:pPr>
            <w:r>
              <w:rPr>
                <w:sz w:val="16"/>
              </w:rPr>
              <w:t>Fault onset to first alert/detection. Measure using injector ground truth for offline experiments only; the model must not see this label.</w:t>
            </w:r>
          </w:p>
        </w:tc>
      </w:tr>
      <w:tr>
        <w:tc>
          <w:tcPr>
            <w:tcW w:type="dxa" w:w="2592"/>
            <w:tcMar>
              <w:top w:w="85" w:type="dxa"/>
              <w:start w:w="90" w:type="dxa"/>
              <w:bottom w:w="85" w:type="dxa"/>
              <w:end w:w="90" w:type="dxa"/>
            </w:tcMar>
            <w:vAlign w:val="top"/>
            <w:shd w:fill="F3F6FA"/>
          </w:tcPr>
          <w:p>
            <w:pPr>
              <w:spacing w:after="20" w:line="240" w:lineRule="auto"/>
            </w:pPr>
            <w:r>
              <w:rPr>
                <w:sz w:val="16"/>
              </w:rPr>
              <w:t>MTTR</w:t>
            </w:r>
          </w:p>
        </w:tc>
        <w:tc>
          <w:tcPr>
            <w:tcW w:type="dxa" w:w="8496"/>
            <w:tcMar>
              <w:top w:w="85" w:type="dxa"/>
              <w:start w:w="90" w:type="dxa"/>
              <w:bottom w:w="85" w:type="dxa"/>
              <w:end w:w="90" w:type="dxa"/>
            </w:tcMar>
            <w:vAlign w:val="top"/>
            <w:shd w:fill="F3F6FA"/>
          </w:tcPr>
          <w:p>
            <w:pPr>
              <w:spacing w:after="20" w:line="240" w:lineRule="auto"/>
            </w:pPr>
            <w:r>
              <w:rPr>
                <w:sz w:val="16"/>
              </w:rPr>
              <w:t>Fault onset to verified recovery, not just action command completion.</w:t>
            </w:r>
          </w:p>
        </w:tc>
      </w:tr>
      <w:tr>
        <w:tc>
          <w:tcPr>
            <w:tcW w:type="dxa" w:w="2592"/>
            <w:tcMar>
              <w:top w:w="85" w:type="dxa"/>
              <w:start w:w="90" w:type="dxa"/>
              <w:bottom w:w="85" w:type="dxa"/>
              <w:end w:w="90" w:type="dxa"/>
            </w:tcMar>
            <w:vAlign w:val="top"/>
          </w:tcPr>
          <w:p>
            <w:pPr>
              <w:spacing w:after="20" w:line="240" w:lineRule="auto"/>
            </w:pPr>
            <w:r>
              <w:rPr>
                <w:sz w:val="16"/>
              </w:rPr>
              <w:t>Recovery success rate</w:t>
            </w:r>
          </w:p>
        </w:tc>
        <w:tc>
          <w:tcPr>
            <w:tcW w:type="dxa" w:w="8496"/>
            <w:tcMar>
              <w:top w:w="85" w:type="dxa"/>
              <w:start w:w="90" w:type="dxa"/>
              <w:bottom w:w="85" w:type="dxa"/>
              <w:end w:w="90" w:type="dxa"/>
            </w:tcMar>
            <w:vAlign w:val="top"/>
          </w:tcPr>
          <w:p>
            <w:pPr>
              <w:spacing w:after="20" w:line="240" w:lineRule="auto"/>
            </w:pPr>
            <w:r>
              <w:rPr>
                <w:sz w:val="16"/>
              </w:rPr>
              <w:t>Incidents returning to defined healthy state within the recovery window / incidents where a recovery was attempted.</w:t>
            </w:r>
          </w:p>
        </w:tc>
      </w:tr>
      <w:tr>
        <w:tc>
          <w:tcPr>
            <w:tcW w:type="dxa" w:w="2592"/>
            <w:tcMar>
              <w:top w:w="85" w:type="dxa"/>
              <w:start w:w="90" w:type="dxa"/>
              <w:bottom w:w="85" w:type="dxa"/>
              <w:end w:w="90" w:type="dxa"/>
            </w:tcMar>
            <w:vAlign w:val="top"/>
            <w:shd w:fill="F3F6FA"/>
          </w:tcPr>
          <w:p>
            <w:pPr>
              <w:spacing w:after="20" w:line="240" w:lineRule="auto"/>
            </w:pPr>
            <w:r>
              <w:rPr>
                <w:sz w:val="16"/>
              </w:rPr>
              <w:t>Unsafe action rate</w:t>
            </w:r>
          </w:p>
        </w:tc>
        <w:tc>
          <w:tcPr>
            <w:tcW w:type="dxa" w:w="8496"/>
            <w:tcMar>
              <w:top w:w="85" w:type="dxa"/>
              <w:start w:w="90" w:type="dxa"/>
              <w:bottom w:w="85" w:type="dxa"/>
              <w:end w:w="90" w:type="dxa"/>
            </w:tcMar>
            <w:vAlign w:val="top"/>
            <w:shd w:fill="F3F6FA"/>
          </w:tcPr>
          <w:p>
            <w:pPr>
              <w:spacing w:after="20" w:line="240" w:lineRule="auto"/>
            </w:pPr>
            <w:r>
              <w:rPr>
                <w:sz w:val="16"/>
              </w:rPr>
              <w:t>Actions executed when policy/ground-truth safety rules say action was unsafe or inappropriate / total autonomous actions.</w:t>
            </w:r>
          </w:p>
        </w:tc>
      </w:tr>
      <w:tr>
        <w:tc>
          <w:tcPr>
            <w:tcW w:type="dxa" w:w="2592"/>
            <w:tcMar>
              <w:top w:w="85" w:type="dxa"/>
              <w:start w:w="90" w:type="dxa"/>
              <w:bottom w:w="85" w:type="dxa"/>
              <w:end w:w="90" w:type="dxa"/>
            </w:tcMar>
            <w:vAlign w:val="top"/>
          </w:tcPr>
          <w:p>
            <w:pPr>
              <w:spacing w:after="20" w:line="240" w:lineRule="auto"/>
            </w:pPr>
            <w:r>
              <w:rPr>
                <w:sz w:val="16"/>
              </w:rPr>
              <w:t>Escalation rate</w:t>
            </w:r>
          </w:p>
        </w:tc>
        <w:tc>
          <w:tcPr>
            <w:tcW w:type="dxa" w:w="8496"/>
            <w:tcMar>
              <w:top w:w="85" w:type="dxa"/>
              <w:start w:w="90" w:type="dxa"/>
              <w:bottom w:w="85" w:type="dxa"/>
              <w:end w:w="90" w:type="dxa"/>
            </w:tcMar>
            <w:vAlign w:val="top"/>
          </w:tcPr>
          <w:p>
            <w:pPr>
              <w:spacing w:after="20" w:line="240" w:lineRule="auto"/>
            </w:pPr>
            <w:r>
              <w:rPr>
                <w:sz w:val="16"/>
              </w:rPr>
              <w:t>Incidents intentionally sent to human review / incidents considered by the controller.</w:t>
            </w:r>
          </w:p>
        </w:tc>
      </w:tr>
      <w:tr>
        <w:tc>
          <w:tcPr>
            <w:tcW w:type="dxa" w:w="2592"/>
            <w:tcMar>
              <w:top w:w="85" w:type="dxa"/>
              <w:start w:w="90" w:type="dxa"/>
              <w:bottom w:w="85" w:type="dxa"/>
              <w:end w:w="90" w:type="dxa"/>
            </w:tcMar>
            <w:vAlign w:val="top"/>
            <w:shd w:fill="F3F6FA"/>
          </w:tcPr>
          <w:p>
            <w:pPr>
              <w:spacing w:after="20" w:line="240" w:lineRule="auto"/>
            </w:pPr>
            <w:r>
              <w:rPr>
                <w:sz w:val="16"/>
              </w:rPr>
              <w:t>Operational overhead</w:t>
            </w:r>
          </w:p>
        </w:tc>
        <w:tc>
          <w:tcPr>
            <w:tcW w:type="dxa" w:w="8496"/>
            <w:tcMar>
              <w:top w:w="85" w:type="dxa"/>
              <w:start w:w="90" w:type="dxa"/>
              <w:bottom w:w="85" w:type="dxa"/>
              <w:end w:w="90" w:type="dxa"/>
            </w:tcMar>
            <w:vAlign w:val="top"/>
            <w:shd w:fill="F3F6FA"/>
          </w:tcPr>
          <w:p>
            <w:pPr>
              <w:spacing w:after="20" w:line="240" w:lineRule="auto"/>
            </w:pPr>
            <w:r>
              <w:rPr>
                <w:sz w:val="16"/>
              </w:rPr>
              <w:t>CPU/RAM of model service, inference p50/p95 latency, telemetry ingestion overhead and model cold-start time.</w:t>
            </w:r>
          </w:p>
        </w:tc>
      </w:tr>
    </w:tbl>
    <w:p>
      <w:pPr>
        <w:spacing w:after="0"/>
      </w:pPr>
    </w:p>
    <w:p>
      <w:pPr>
        <w:pStyle w:val="Heading2"/>
      </w:pPr>
      <w:r>
        <w:t>16.2 Statistical reporting</w:t>
      </w:r>
    </w:p>
    <w:p>
      <w:pPr>
        <w:pStyle w:val="ListBullet"/>
        <w:spacing w:after="40"/>
      </w:pPr>
      <w:r>
        <w:t>Report results across repeated episodes and provide mean/median plus 95% confidence intervals, preferably using bootstrap resampling at the incident level.</w:t>
      </w:r>
    </w:p>
    <w:p>
      <w:pPr>
        <w:pStyle w:val="ListBullet"/>
        <w:spacing w:after="40"/>
      </w:pPr>
      <w:r>
        <w:t>Use paired comparisons when the same fault scenarios are run under baseline and proposed policies; test a pre-defined primary outcome (e.g. MTTR) and report effect sizes, not only p-values.</w:t>
      </w:r>
    </w:p>
    <w:p>
      <w:pPr>
        <w:pStyle w:val="ListBullet"/>
        <w:spacing w:after="40"/>
      </w:pPr>
      <w:r>
        <w:t>Use the same workload, fault schedule and recovery verification rules for all systems under comparison.</w:t>
      </w:r>
    </w:p>
    <w:p>
      <w:pPr>
        <w:pStyle w:val="ListBullet"/>
        <w:spacing w:after="40"/>
      </w:pPr>
      <w:r>
        <w:t>Report failure cases and confusion pairs. Do not report only an aggregate accuracy or a best run.</w:t>
      </w:r>
    </w:p>
    <w:p>
      <w:pPr>
        <w:pStyle w:val="ListBullet"/>
        <w:spacing w:after="40"/>
      </w:pPr>
      <w:r>
        <w:t>Synthetic smoke-test metrics are purely plumbing checks and must be excluded from research results.</w:t>
      </w:r>
    </w:p>
    <w:p>
      <w:pPr>
        <w:pStyle w:val="Heading1"/>
      </w:pPr>
      <w:r>
        <w:t>17. Exact model implementation phases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72"/>
            <w:shd w:fill="17365D"/>
            <w:tcMar>
              <w:top w:w="85" w:type="dxa"/>
              <w:start w:w="90" w:type="dxa"/>
              <w:bottom w:w="85" w:type="dxa"/>
              <w:end w:w="90" w:type="dxa"/>
            </w:tcMar>
            <w:vAlign w:val="center"/>
          </w:tcPr>
          <w:p>
            <w:pPr>
              <w:spacing w:after="0"/>
            </w:pPr>
            <w:r>
              <w:rPr>
                <w:b/>
                <w:color w:val="FFFFFF"/>
                <w:sz w:val="15"/>
              </w:rPr>
              <w:t>Phase</w:t>
            </w:r>
          </w:p>
        </w:tc>
        <w:tc>
          <w:tcPr>
            <w:tcW w:type="dxa" w:w="5112"/>
            <w:shd w:fill="17365D"/>
            <w:tcMar>
              <w:top w:w="85" w:type="dxa"/>
              <w:start w:w="90" w:type="dxa"/>
              <w:bottom w:w="85" w:type="dxa"/>
              <w:end w:w="90" w:type="dxa"/>
            </w:tcMar>
            <w:vAlign w:val="center"/>
          </w:tcPr>
          <w:p>
            <w:pPr>
              <w:spacing w:after="0"/>
            </w:pPr>
            <w:r>
              <w:rPr>
                <w:b/>
                <w:color w:val="FFFFFF"/>
                <w:sz w:val="15"/>
              </w:rPr>
              <w:t>Work to develop</w:t>
            </w:r>
          </w:p>
        </w:tc>
        <w:tc>
          <w:tcPr>
            <w:tcW w:type="dxa" w:w="4104"/>
            <w:shd w:fill="17365D"/>
            <w:tcMar>
              <w:top w:w="85" w:type="dxa"/>
              <w:start w:w="90" w:type="dxa"/>
              <w:bottom w:w="85" w:type="dxa"/>
              <w:end w:w="90" w:type="dxa"/>
            </w:tcMar>
            <w:vAlign w:val="center"/>
          </w:tcPr>
          <w:p>
            <w:pPr>
              <w:spacing w:after="0"/>
            </w:pPr>
            <w:r>
              <w:rPr>
                <w:b/>
                <w:color w:val="FFFFFF"/>
                <w:sz w:val="15"/>
              </w:rPr>
              <w:t>Deliverable / exit criteria</w:t>
            </w:r>
          </w:p>
        </w:tc>
      </w:tr>
      <w:tr>
        <w:tc>
          <w:tcPr>
            <w:tcW w:type="dxa" w:w="1872"/>
            <w:tcMar>
              <w:top w:w="85" w:type="dxa"/>
              <w:start w:w="90" w:type="dxa"/>
              <w:bottom w:w="85" w:type="dxa"/>
              <w:end w:w="90" w:type="dxa"/>
            </w:tcMar>
            <w:vAlign w:val="top"/>
          </w:tcPr>
          <w:p>
            <w:pPr>
              <w:spacing w:after="20" w:line="240" w:lineRule="auto"/>
            </w:pPr>
            <w:r>
              <w:rPr>
                <w:sz w:val="15"/>
              </w:rPr>
              <w:t>M0. Lock the data contract</w:t>
            </w:r>
          </w:p>
        </w:tc>
        <w:tc>
          <w:tcPr>
            <w:tcW w:type="dxa" w:w="5112"/>
            <w:tcMar>
              <w:top w:w="85" w:type="dxa"/>
              <w:start w:w="90" w:type="dxa"/>
              <w:bottom w:w="85" w:type="dxa"/>
              <w:end w:w="90" w:type="dxa"/>
            </w:tcMar>
            <w:vAlign w:val="top"/>
          </w:tcPr>
          <w:p>
            <w:pPr>
              <w:spacing w:after="20" w:line="240" w:lineRule="auto"/>
            </w:pPr>
            <w:r>
              <w:rPr>
                <w:sz w:val="15"/>
              </w:rPr>
              <w:t>Define eight fault labels, `incident_id` group semantics, diagnosis cutoff, `windows.csv` / `root_candidates.csv`, unit conventions, feature formulas and schema version.</w:t>
            </w:r>
          </w:p>
        </w:tc>
        <w:tc>
          <w:tcPr>
            <w:tcW w:type="dxa" w:w="4104"/>
            <w:tcMar>
              <w:top w:w="85" w:type="dxa"/>
              <w:start w:w="90" w:type="dxa"/>
              <w:bottom w:w="85" w:type="dxa"/>
              <w:end w:w="90" w:type="dxa"/>
            </w:tcMar>
            <w:vAlign w:val="top"/>
          </w:tcPr>
          <w:p>
            <w:pPr>
              <w:spacing w:after="20" w:line="240" w:lineRule="auto"/>
            </w:pPr>
            <w:r>
              <w:rPr>
                <w:sz w:val="15"/>
              </w:rPr>
              <w:t>Data dictionary approved; no label/injector fields occur in feature lists.</w:t>
            </w:r>
          </w:p>
        </w:tc>
      </w:tr>
      <w:tr>
        <w:tc>
          <w:tcPr>
            <w:tcW w:type="dxa" w:w="1872"/>
            <w:tcMar>
              <w:top w:w="85" w:type="dxa"/>
              <w:start w:w="90" w:type="dxa"/>
              <w:bottom w:w="85" w:type="dxa"/>
              <w:end w:w="90" w:type="dxa"/>
            </w:tcMar>
            <w:vAlign w:val="top"/>
            <w:shd w:fill="F3F6FA"/>
          </w:tcPr>
          <w:p>
            <w:pPr>
              <w:spacing w:after="20" w:line="240" w:lineRule="auto"/>
            </w:pPr>
            <w:r>
              <w:rPr>
                <w:sz w:val="15"/>
              </w:rPr>
              <w:t>M1. Instrument app</w:t>
            </w:r>
          </w:p>
        </w:tc>
        <w:tc>
          <w:tcPr>
            <w:tcW w:type="dxa" w:w="5112"/>
            <w:tcMar>
              <w:top w:w="85" w:type="dxa"/>
              <w:start w:w="90" w:type="dxa"/>
              <w:bottom w:w="85" w:type="dxa"/>
              <w:end w:w="90" w:type="dxa"/>
            </w:tcMar>
            <w:vAlign w:val="top"/>
            <w:shd w:fill="F3F6FA"/>
          </w:tcPr>
          <w:p>
            <w:pPr>
              <w:spacing w:after="20" w:line="240" w:lineRule="auto"/>
            </w:pPr>
            <w:r>
              <w:rPr>
                <w:sz w:val="15"/>
              </w:rPr>
              <w:t>Add HTTP metrics, request histograms, health probes, structured JSON logs, OTel tracing and deployment version tags.</w:t>
            </w:r>
          </w:p>
        </w:tc>
        <w:tc>
          <w:tcPr>
            <w:tcW w:type="dxa" w:w="4104"/>
            <w:tcMar>
              <w:top w:w="85" w:type="dxa"/>
              <w:start w:w="90" w:type="dxa"/>
              <w:bottom w:w="85" w:type="dxa"/>
              <w:end w:w="90" w:type="dxa"/>
            </w:tcMar>
            <w:vAlign w:val="top"/>
            <w:shd w:fill="F3F6FA"/>
          </w:tcPr>
          <w:p>
            <w:pPr>
              <w:spacing w:after="20" w:line="240" w:lineRule="auto"/>
            </w:pPr>
            <w:r>
              <w:rPr>
                <w:sz w:val="15"/>
              </w:rPr>
              <w:t>A known failed request can be traced across gateway and services; service names correlate across metrics/logs/traces.</w:t>
            </w:r>
          </w:p>
        </w:tc>
      </w:tr>
      <w:tr>
        <w:tc>
          <w:tcPr>
            <w:tcW w:type="dxa" w:w="1872"/>
            <w:tcMar>
              <w:top w:w="85" w:type="dxa"/>
              <w:start w:w="90" w:type="dxa"/>
              <w:bottom w:w="85" w:type="dxa"/>
              <w:end w:w="90" w:type="dxa"/>
            </w:tcMar>
            <w:vAlign w:val="top"/>
          </w:tcPr>
          <w:p>
            <w:pPr>
              <w:spacing w:after="20" w:line="240" w:lineRule="auto"/>
            </w:pPr>
            <w:r>
              <w:rPr>
                <w:sz w:val="15"/>
              </w:rPr>
              <w:t>M2. Controlled data collection</w:t>
            </w:r>
          </w:p>
        </w:tc>
        <w:tc>
          <w:tcPr>
            <w:tcW w:type="dxa" w:w="5112"/>
            <w:tcMar>
              <w:top w:w="85" w:type="dxa"/>
              <w:start w:w="90" w:type="dxa"/>
              <w:bottom w:w="85" w:type="dxa"/>
              <w:end w:w="90" w:type="dxa"/>
            </w:tcMar>
            <w:vAlign w:val="top"/>
          </w:tcPr>
          <w:p>
            <w:pPr>
              <w:spacing w:after="20" w:line="240" w:lineRule="auto"/>
            </w:pPr>
            <w:r>
              <w:rPr>
                <w:sz w:val="15"/>
              </w:rPr>
              <w:t>Fault injector writes immutable manifest; experiment runner drives fixed load; collector captures baseline/injection/recovery/cooldown.</w:t>
            </w:r>
          </w:p>
        </w:tc>
        <w:tc>
          <w:tcPr>
            <w:tcW w:type="dxa" w:w="4104"/>
            <w:tcMar>
              <w:top w:w="85" w:type="dxa"/>
              <w:start w:w="90" w:type="dxa"/>
              <w:bottom w:w="85" w:type="dxa"/>
              <w:end w:w="90" w:type="dxa"/>
            </w:tcMar>
            <w:vAlign w:val="top"/>
          </w:tcPr>
          <w:p>
            <w:pPr>
              <w:spacing w:after="20" w:line="240" w:lineRule="auto"/>
            </w:pPr>
            <w:r>
              <w:rPr>
                <w:sz w:val="15"/>
              </w:rPr>
              <w:t>Pilot with 10 repeats per fault-target combination; manual review confirms labels and timestamps.</w:t>
            </w:r>
          </w:p>
        </w:tc>
      </w:tr>
      <w:tr>
        <w:tc>
          <w:tcPr>
            <w:tcW w:type="dxa" w:w="1872"/>
            <w:tcMar>
              <w:top w:w="85" w:type="dxa"/>
              <w:start w:w="90" w:type="dxa"/>
              <w:bottom w:w="85" w:type="dxa"/>
              <w:end w:w="90" w:type="dxa"/>
            </w:tcMar>
            <w:vAlign w:val="top"/>
            <w:shd w:fill="F3F6FA"/>
          </w:tcPr>
          <w:p>
            <w:pPr>
              <w:spacing w:after="20" w:line="240" w:lineRule="auto"/>
            </w:pPr>
            <w:r>
              <w:rPr>
                <w:sz w:val="15"/>
              </w:rPr>
              <w:t>M3. Build feature builder</w:t>
            </w:r>
          </w:p>
        </w:tc>
        <w:tc>
          <w:tcPr>
            <w:tcW w:type="dxa" w:w="5112"/>
            <w:tcMar>
              <w:top w:w="85" w:type="dxa"/>
              <w:start w:w="90" w:type="dxa"/>
              <w:bottom w:w="85" w:type="dxa"/>
              <w:end w:w="90" w:type="dxa"/>
            </w:tcMar>
            <w:vAlign w:val="top"/>
            <w:shd w:fill="F3F6FA"/>
          </w:tcPr>
          <w:p>
            <w:pPr>
              <w:spacing w:after="20" w:line="240" w:lineRule="auto"/>
            </w:pPr>
            <w:r>
              <w:rPr>
                <w:sz w:val="15"/>
              </w:rPr>
              <w:t>Aggregate windows, create service graph, calculate robust baselines, compute global and per-candidate features; validate missing data.</w:t>
            </w:r>
          </w:p>
        </w:tc>
        <w:tc>
          <w:tcPr>
            <w:tcW w:type="dxa" w:w="4104"/>
            <w:tcMar>
              <w:top w:w="85" w:type="dxa"/>
              <w:start w:w="90" w:type="dxa"/>
              <w:bottom w:w="85" w:type="dxa"/>
              <w:end w:w="90" w:type="dxa"/>
            </w:tcMar>
            <w:vAlign w:val="top"/>
            <w:shd w:fill="F3F6FA"/>
          </w:tcPr>
          <w:p>
            <w:pPr>
              <w:spacing w:after="20" w:line="240" w:lineRule="auto"/>
            </w:pPr>
            <w:r>
              <w:rPr>
                <w:sz w:val="15"/>
              </w:rPr>
              <w:t>Normalized CSVs comply exactly with feature contract; unit tests pass for time windows and label boundary.</w:t>
            </w:r>
          </w:p>
        </w:tc>
      </w:tr>
      <w:tr>
        <w:tc>
          <w:tcPr>
            <w:tcW w:type="dxa" w:w="1872"/>
            <w:tcMar>
              <w:top w:w="85" w:type="dxa"/>
              <w:start w:w="90" w:type="dxa"/>
              <w:bottom w:w="85" w:type="dxa"/>
              <w:end w:w="90" w:type="dxa"/>
            </w:tcMar>
            <w:vAlign w:val="top"/>
          </w:tcPr>
          <w:p>
            <w:pPr>
              <w:spacing w:after="20" w:line="240" w:lineRule="auto"/>
            </w:pPr>
            <w:r>
              <w:rPr>
                <w:sz w:val="15"/>
              </w:rPr>
              <w:t>M4. Establish threshold baseline</w:t>
            </w:r>
          </w:p>
        </w:tc>
        <w:tc>
          <w:tcPr>
            <w:tcW w:type="dxa" w:w="5112"/>
            <w:tcMar>
              <w:top w:w="85" w:type="dxa"/>
              <w:start w:w="90" w:type="dxa"/>
              <w:bottom w:w="85" w:type="dxa"/>
              <w:end w:w="90" w:type="dxa"/>
            </w:tcMar>
            <w:vAlign w:val="top"/>
          </w:tcPr>
          <w:p>
            <w:pPr>
              <w:spacing w:after="20" w:line="240" w:lineRule="auto"/>
            </w:pPr>
            <w:r>
              <w:rPr>
                <w:sz w:val="15"/>
              </w:rPr>
              <w:t>Implement SLO/threshold alerts and a simple diagnosis rules table.</w:t>
            </w:r>
          </w:p>
        </w:tc>
        <w:tc>
          <w:tcPr>
            <w:tcW w:type="dxa" w:w="4104"/>
            <w:tcMar>
              <w:top w:w="85" w:type="dxa"/>
              <w:start w:w="90" w:type="dxa"/>
              <w:bottom w:w="85" w:type="dxa"/>
              <w:end w:w="90" w:type="dxa"/>
            </w:tcMar>
            <w:vAlign w:val="top"/>
          </w:tcPr>
          <w:p>
            <w:pPr>
              <w:spacing w:after="20" w:line="240" w:lineRule="auto"/>
            </w:pPr>
            <w:r>
              <w:rPr>
                <w:sz w:val="15"/>
              </w:rPr>
              <w:t>Baseline precision/recall and false-alarm rate recorded; keep it as control group.</w:t>
            </w:r>
          </w:p>
        </w:tc>
      </w:tr>
      <w:tr>
        <w:tc>
          <w:tcPr>
            <w:tcW w:type="dxa" w:w="1872"/>
            <w:tcMar>
              <w:top w:w="85" w:type="dxa"/>
              <w:start w:w="90" w:type="dxa"/>
              <w:bottom w:w="85" w:type="dxa"/>
              <w:end w:w="90" w:type="dxa"/>
            </w:tcMar>
            <w:vAlign w:val="top"/>
            <w:shd w:fill="F3F6FA"/>
          </w:tcPr>
          <w:p>
            <w:pPr>
              <w:spacing w:after="20" w:line="240" w:lineRule="auto"/>
            </w:pPr>
            <w:r>
              <w:rPr>
                <w:sz w:val="15"/>
              </w:rPr>
              <w:t>M5. Train anomaly detector</w:t>
            </w:r>
          </w:p>
        </w:tc>
        <w:tc>
          <w:tcPr>
            <w:tcW w:type="dxa" w:w="5112"/>
            <w:tcMar>
              <w:top w:w="85" w:type="dxa"/>
              <w:start w:w="90" w:type="dxa"/>
              <w:bottom w:w="85" w:type="dxa"/>
              <w:end w:w="90" w:type="dxa"/>
            </w:tcMar>
            <w:vAlign w:val="top"/>
            <w:shd w:fill="F3F6FA"/>
          </w:tcPr>
          <w:p>
            <w:pPr>
              <w:spacing w:after="20" w:line="240" w:lineRule="auto"/>
            </w:pPr>
            <w:r>
              <w:rPr>
                <w:sz w:val="15"/>
              </w:rPr>
              <w:t>Fit Isolation Forest on train-normal windows; set score threshold from validation-normal rows.</w:t>
            </w:r>
          </w:p>
        </w:tc>
        <w:tc>
          <w:tcPr>
            <w:tcW w:type="dxa" w:w="4104"/>
            <w:tcMar>
              <w:top w:w="85" w:type="dxa"/>
              <w:start w:w="90" w:type="dxa"/>
              <w:bottom w:w="85" w:type="dxa"/>
              <w:end w:w="90" w:type="dxa"/>
            </w:tcMar>
            <w:vAlign w:val="top"/>
            <w:shd w:fill="F3F6FA"/>
          </w:tcPr>
          <w:p>
            <w:pPr>
              <w:spacing w:after="20" w:line="240" w:lineRule="auto"/>
            </w:pPr>
            <w:r>
              <w:rPr>
                <w:sz w:val="15"/>
              </w:rPr>
              <w:t>Held-out episode evaluation reports fault recall and normal false-alert rate by load tier.</w:t>
            </w:r>
          </w:p>
        </w:tc>
      </w:tr>
      <w:tr>
        <w:tc>
          <w:tcPr>
            <w:tcW w:type="dxa" w:w="1872"/>
            <w:tcMar>
              <w:top w:w="85" w:type="dxa"/>
              <w:start w:w="90" w:type="dxa"/>
              <w:bottom w:w="85" w:type="dxa"/>
              <w:end w:w="90" w:type="dxa"/>
            </w:tcMar>
            <w:vAlign w:val="top"/>
          </w:tcPr>
          <w:p>
            <w:pPr>
              <w:spacing w:after="20" w:line="240" w:lineRule="auto"/>
            </w:pPr>
            <w:r>
              <w:rPr>
                <w:sz w:val="15"/>
              </w:rPr>
              <w:t>M6. Train fault classifier</w:t>
            </w:r>
          </w:p>
        </w:tc>
        <w:tc>
          <w:tcPr>
            <w:tcW w:type="dxa" w:w="5112"/>
            <w:tcMar>
              <w:top w:w="85" w:type="dxa"/>
              <w:start w:w="90" w:type="dxa"/>
              <w:bottom w:w="85" w:type="dxa"/>
              <w:end w:w="90" w:type="dxa"/>
            </w:tcMar>
            <w:vAlign w:val="top"/>
          </w:tcPr>
          <w:p>
            <w:pPr>
              <w:spacing w:after="20" w:line="240" w:lineRule="auto"/>
            </w:pPr>
            <w:r>
              <w:rPr>
                <w:sz w:val="15"/>
              </w:rPr>
              <w:t>Train Random Forest baseline and XGBoost model; apply class weights; inspect per-class reports.</w:t>
            </w:r>
          </w:p>
        </w:tc>
        <w:tc>
          <w:tcPr>
            <w:tcW w:type="dxa" w:w="4104"/>
            <w:tcMar>
              <w:top w:w="85" w:type="dxa"/>
              <w:start w:w="90" w:type="dxa"/>
              <w:bottom w:w="85" w:type="dxa"/>
              <w:end w:w="90" w:type="dxa"/>
            </w:tcMar>
            <w:vAlign w:val="top"/>
          </w:tcPr>
          <w:p>
            <w:pPr>
              <w:spacing w:after="20" w:line="240" w:lineRule="auto"/>
            </w:pPr>
            <w:r>
              <w:rPr>
                <w:sz w:val="15"/>
              </w:rPr>
              <w:t>Frozen model artifact and test report; each class present in all splits or reported as untestable.</w:t>
            </w:r>
          </w:p>
        </w:tc>
      </w:tr>
      <w:tr>
        <w:tc>
          <w:tcPr>
            <w:tcW w:type="dxa" w:w="1872"/>
            <w:tcMar>
              <w:top w:w="85" w:type="dxa"/>
              <w:start w:w="90" w:type="dxa"/>
              <w:bottom w:w="85" w:type="dxa"/>
              <w:end w:w="90" w:type="dxa"/>
            </w:tcMar>
            <w:vAlign w:val="top"/>
            <w:shd w:fill="F3F6FA"/>
          </w:tcPr>
          <w:p>
            <w:pPr>
              <w:spacing w:after="20" w:line="240" w:lineRule="auto"/>
            </w:pPr>
            <w:r>
              <w:rPr>
                <w:sz w:val="15"/>
              </w:rPr>
              <w:t>M7. Train root-cause ranker</w:t>
            </w:r>
          </w:p>
        </w:tc>
        <w:tc>
          <w:tcPr>
            <w:tcW w:type="dxa" w:w="5112"/>
            <w:tcMar>
              <w:top w:w="85" w:type="dxa"/>
              <w:start w:w="90" w:type="dxa"/>
              <w:bottom w:w="85" w:type="dxa"/>
              <w:end w:w="90" w:type="dxa"/>
            </w:tcMar>
            <w:vAlign w:val="top"/>
            <w:shd w:fill="F3F6FA"/>
          </w:tcPr>
          <w:p>
            <w:pPr>
              <w:spacing w:after="20" w:line="240" w:lineRule="auto"/>
            </w:pPr>
            <w:r>
              <w:rPr>
                <w:sz w:val="15"/>
              </w:rPr>
              <w:t>Generate candidate-service rows; train XGBoost binary scorer; compute Top-1/Top-3/MRR.</w:t>
            </w:r>
          </w:p>
        </w:tc>
        <w:tc>
          <w:tcPr>
            <w:tcW w:type="dxa" w:w="4104"/>
            <w:tcMar>
              <w:top w:w="85" w:type="dxa"/>
              <w:start w:w="90" w:type="dxa"/>
              <w:bottom w:w="85" w:type="dxa"/>
              <w:end w:w="90" w:type="dxa"/>
            </w:tcMar>
            <w:vAlign w:val="top"/>
            <w:shd w:fill="F3F6FA"/>
          </w:tcPr>
          <w:p>
            <w:pPr>
              <w:spacing w:after="20" w:line="240" w:lineRule="auto"/>
            </w:pPr>
            <w:r>
              <w:rPr>
                <w:sz w:val="15"/>
              </w:rPr>
              <w:t>For each test incident exactly one true root candidate; ranking report saved.</w:t>
            </w:r>
          </w:p>
        </w:tc>
      </w:tr>
      <w:tr>
        <w:tc>
          <w:tcPr>
            <w:tcW w:type="dxa" w:w="1872"/>
            <w:tcMar>
              <w:top w:w="85" w:type="dxa"/>
              <w:start w:w="90" w:type="dxa"/>
              <w:bottom w:w="85" w:type="dxa"/>
              <w:end w:w="90" w:type="dxa"/>
            </w:tcMar>
            <w:vAlign w:val="top"/>
          </w:tcPr>
          <w:p>
            <w:pPr>
              <w:spacing w:after="20" w:line="240" w:lineRule="auto"/>
            </w:pPr>
            <w:r>
              <w:rPr>
                <w:sz w:val="15"/>
              </w:rPr>
              <w:t>M8. Calibrate / abstain</w:t>
            </w:r>
          </w:p>
        </w:tc>
        <w:tc>
          <w:tcPr>
            <w:tcW w:type="dxa" w:w="5112"/>
            <w:tcMar>
              <w:top w:w="85" w:type="dxa"/>
              <w:start w:w="90" w:type="dxa"/>
              <w:bottom w:w="85" w:type="dxa"/>
              <w:end w:w="90" w:type="dxa"/>
            </w:tcMar>
            <w:vAlign w:val="top"/>
          </w:tcPr>
          <w:p>
            <w:pPr>
              <w:spacing w:after="20" w:line="240" w:lineRule="auto"/>
            </w:pPr>
            <w:r>
              <w:rPr>
                <w:sz w:val="15"/>
              </w:rPr>
              <w:t>Calibrate class scores on separate held-out calibration episodes; select thresholds and margins on validation; add unknown path.</w:t>
            </w:r>
          </w:p>
        </w:tc>
        <w:tc>
          <w:tcPr>
            <w:tcW w:type="dxa" w:w="4104"/>
            <w:tcMar>
              <w:top w:w="85" w:type="dxa"/>
              <w:start w:w="90" w:type="dxa"/>
              <w:bottom w:w="85" w:type="dxa"/>
              <w:end w:w="90" w:type="dxa"/>
            </w:tcMar>
            <w:vAlign w:val="top"/>
          </w:tcPr>
          <w:p>
            <w:pPr>
              <w:spacing w:after="20" w:line="240" w:lineRule="auto"/>
            </w:pPr>
            <w:r>
              <w:rPr>
                <w:sz w:val="15"/>
              </w:rPr>
              <w:t>Calibration curve/Brier score documented; low-confidence output abstains instead of acting.</w:t>
            </w:r>
          </w:p>
        </w:tc>
      </w:tr>
      <w:tr>
        <w:tc>
          <w:tcPr>
            <w:tcW w:type="dxa" w:w="1872"/>
            <w:tcMar>
              <w:top w:w="85" w:type="dxa"/>
              <w:start w:w="90" w:type="dxa"/>
              <w:bottom w:w="85" w:type="dxa"/>
              <w:end w:w="90" w:type="dxa"/>
            </w:tcMar>
            <w:vAlign w:val="top"/>
            <w:shd w:fill="F3F6FA"/>
          </w:tcPr>
          <w:p>
            <w:pPr>
              <w:spacing w:after="20" w:line="240" w:lineRule="auto"/>
            </w:pPr>
            <w:r>
              <w:rPr>
                <w:sz w:val="15"/>
              </w:rPr>
              <w:t>M9. Publish model API</w:t>
            </w:r>
          </w:p>
        </w:tc>
        <w:tc>
          <w:tcPr>
            <w:tcW w:type="dxa" w:w="5112"/>
            <w:tcMar>
              <w:top w:w="85" w:type="dxa"/>
              <w:start w:w="90" w:type="dxa"/>
              <w:bottom w:w="85" w:type="dxa"/>
              <w:end w:w="90" w:type="dxa"/>
            </w:tcMar>
            <w:vAlign w:val="top"/>
            <w:shd w:fill="F3F6FA"/>
          </w:tcPr>
          <w:p>
            <w:pPr>
              <w:spacing w:after="20" w:line="240" w:lineRule="auto"/>
            </w:pPr>
            <w:r>
              <w:rPr>
                <w:sz w:val="15"/>
              </w:rPr>
              <w:t>Implement `/health` and `/v1/diagnose`; validate schema and model version; add latency/error logging.</w:t>
            </w:r>
          </w:p>
        </w:tc>
        <w:tc>
          <w:tcPr>
            <w:tcW w:type="dxa" w:w="4104"/>
            <w:tcMar>
              <w:top w:w="85" w:type="dxa"/>
              <w:start w:w="90" w:type="dxa"/>
              <w:bottom w:w="85" w:type="dxa"/>
              <w:end w:w="90" w:type="dxa"/>
            </w:tcMar>
            <w:vAlign w:val="top"/>
            <w:shd w:fill="F3F6FA"/>
          </w:tcPr>
          <w:p>
            <w:pPr>
              <w:spacing w:after="20" w:line="240" w:lineRule="auto"/>
            </w:pPr>
            <w:r>
              <w:rPr>
                <w:sz w:val="15"/>
              </w:rPr>
              <w:t>Request/response contract test passes; API cannot call remediation tools.</w:t>
            </w:r>
          </w:p>
        </w:tc>
      </w:tr>
      <w:tr>
        <w:tc>
          <w:tcPr>
            <w:tcW w:type="dxa" w:w="1872"/>
            <w:tcMar>
              <w:top w:w="85" w:type="dxa"/>
              <w:start w:w="90" w:type="dxa"/>
              <w:bottom w:w="85" w:type="dxa"/>
              <w:end w:w="90" w:type="dxa"/>
            </w:tcMar>
            <w:vAlign w:val="top"/>
          </w:tcPr>
          <w:p>
            <w:pPr>
              <w:spacing w:after="20" w:line="240" w:lineRule="auto"/>
            </w:pPr>
            <w:r>
              <w:rPr>
                <w:sz w:val="15"/>
              </w:rPr>
              <w:t>M10. Integrate controller</w:t>
            </w:r>
          </w:p>
        </w:tc>
        <w:tc>
          <w:tcPr>
            <w:tcW w:type="dxa" w:w="5112"/>
            <w:tcMar>
              <w:top w:w="85" w:type="dxa"/>
              <w:start w:w="90" w:type="dxa"/>
              <w:bottom w:w="85" w:type="dxa"/>
              <w:end w:w="90" w:type="dxa"/>
            </w:tcMar>
            <w:vAlign w:val="top"/>
          </w:tcPr>
          <w:p>
            <w:pPr>
              <w:spacing w:after="20" w:line="240" w:lineRule="auto"/>
            </w:pPr>
            <w:r>
              <w:rPr>
                <w:sz w:val="15"/>
              </w:rPr>
              <w:t>Spring Boot consumes diagnosis; deterministic action allow-list, cooldown, idempotency, permission checks, audit events.</w:t>
            </w:r>
          </w:p>
        </w:tc>
        <w:tc>
          <w:tcPr>
            <w:tcW w:type="dxa" w:w="4104"/>
            <w:tcMar>
              <w:top w:w="85" w:type="dxa"/>
              <w:start w:w="90" w:type="dxa"/>
              <w:bottom w:w="85" w:type="dxa"/>
              <w:end w:w="90" w:type="dxa"/>
            </w:tcMar>
            <w:vAlign w:val="top"/>
          </w:tcPr>
          <w:p>
            <w:pPr>
              <w:spacing w:after="20" w:line="240" w:lineRule="auto"/>
            </w:pPr>
            <w:r>
              <w:rPr>
                <w:sz w:val="15"/>
              </w:rPr>
              <w:t>Shadow mode agrees with expected safe policy; only low-risk test actions enabled.</w:t>
            </w:r>
          </w:p>
        </w:tc>
      </w:tr>
      <w:tr>
        <w:tc>
          <w:tcPr>
            <w:tcW w:type="dxa" w:w="1872"/>
            <w:tcMar>
              <w:top w:w="85" w:type="dxa"/>
              <w:start w:w="90" w:type="dxa"/>
              <w:bottom w:w="85" w:type="dxa"/>
              <w:end w:w="90" w:type="dxa"/>
            </w:tcMar>
            <w:vAlign w:val="top"/>
            <w:shd w:fill="F3F6FA"/>
          </w:tcPr>
          <w:p>
            <w:pPr>
              <w:spacing w:after="20" w:line="240" w:lineRule="auto"/>
            </w:pPr>
            <w:r>
              <w:rPr>
                <w:sz w:val="15"/>
              </w:rPr>
              <w:t>M11. Verify recovery</w:t>
            </w:r>
          </w:p>
        </w:tc>
        <w:tc>
          <w:tcPr>
            <w:tcW w:type="dxa" w:w="5112"/>
            <w:tcMar>
              <w:top w:w="85" w:type="dxa"/>
              <w:start w:w="90" w:type="dxa"/>
              <w:bottom w:w="85" w:type="dxa"/>
              <w:end w:w="90" w:type="dxa"/>
            </w:tcMar>
            <w:vAlign w:val="top"/>
            <w:shd w:fill="F3F6FA"/>
          </w:tcPr>
          <w:p>
            <w:pPr>
              <w:spacing w:after="20" w:line="240" w:lineRule="auto"/>
            </w:pPr>
            <w:r>
              <w:rPr>
                <w:sz w:val="15"/>
              </w:rPr>
              <w:t>Re-evaluate readiness, SLO metrics and dependency health over a defined verification window; store success/partial/fail.</w:t>
            </w:r>
          </w:p>
        </w:tc>
        <w:tc>
          <w:tcPr>
            <w:tcW w:type="dxa" w:w="4104"/>
            <w:tcMar>
              <w:top w:w="85" w:type="dxa"/>
              <w:start w:w="90" w:type="dxa"/>
              <w:bottom w:w="85" w:type="dxa"/>
              <w:end w:w="90" w:type="dxa"/>
            </w:tcMar>
            <w:vAlign w:val="top"/>
            <w:shd w:fill="F3F6FA"/>
          </w:tcPr>
          <w:p>
            <w:pPr>
              <w:spacing w:after="20" w:line="240" w:lineRule="auto"/>
            </w:pPr>
            <w:r>
              <w:rPr>
                <w:sz w:val="15"/>
              </w:rPr>
              <w:t>Automated end-to-end test proves success and failure paths; repeated failures escalate.</w:t>
            </w:r>
          </w:p>
        </w:tc>
      </w:tr>
      <w:tr>
        <w:tc>
          <w:tcPr>
            <w:tcW w:type="dxa" w:w="1872"/>
            <w:tcMar>
              <w:top w:w="85" w:type="dxa"/>
              <w:start w:w="90" w:type="dxa"/>
              <w:bottom w:w="85" w:type="dxa"/>
              <w:end w:w="90" w:type="dxa"/>
            </w:tcMar>
            <w:vAlign w:val="top"/>
          </w:tcPr>
          <w:p>
            <w:pPr>
              <w:spacing w:after="20" w:line="240" w:lineRule="auto"/>
            </w:pPr>
            <w:r>
              <w:rPr>
                <w:sz w:val="15"/>
              </w:rPr>
              <w:t>M12. Benchmark and report</w:t>
            </w:r>
          </w:p>
        </w:tc>
        <w:tc>
          <w:tcPr>
            <w:tcW w:type="dxa" w:w="5112"/>
            <w:tcMar>
              <w:top w:w="85" w:type="dxa"/>
              <w:start w:w="90" w:type="dxa"/>
              <w:bottom w:w="85" w:type="dxa"/>
              <w:end w:w="90" w:type="dxa"/>
            </w:tcMar>
            <w:vAlign w:val="top"/>
          </w:tcPr>
          <w:p>
            <w:pPr>
              <w:spacing w:after="20" w:line="240" w:lineRule="auto"/>
            </w:pPr>
            <w:r>
              <w:rPr>
                <w:sz w:val="15"/>
              </w:rPr>
              <w:t>Run RCAEval baseline separately, custom data experiments, ablations, statistical analysis and error analysis.</w:t>
            </w:r>
          </w:p>
        </w:tc>
        <w:tc>
          <w:tcPr>
            <w:tcW w:type="dxa" w:w="4104"/>
            <w:tcMar>
              <w:top w:w="85" w:type="dxa"/>
              <w:start w:w="90" w:type="dxa"/>
              <w:bottom w:w="85" w:type="dxa"/>
              <w:end w:w="90" w:type="dxa"/>
            </w:tcMar>
            <w:vAlign w:val="top"/>
          </w:tcPr>
          <w:p>
            <w:pPr>
              <w:spacing w:after="20" w:line="240" w:lineRule="auto"/>
            </w:pPr>
            <w:r>
              <w:rPr>
                <w:sz w:val="15"/>
              </w:rPr>
              <w:t>Reproducible model/data/split manifests and honest research report.</w:t>
            </w:r>
          </w:p>
        </w:tc>
      </w:tr>
    </w:tbl>
    <w:p>
      <w:pPr>
        <w:spacing w:after="0"/>
      </w:pPr>
    </w:p>
    <w:p>
      <w:pPr>
        <w:pStyle w:val="Heading1"/>
      </w:pPr>
      <w:r>
        <w:t>18. Repository structure for the model subsystem</w:t>
      </w:r>
    </w:p>
    <w:tbl>
      <w:tblPr>
        <w:tblW w:type="auto" w:w="0"/>
        <w:jc w:val="center"/>
        <w:tblLook w:firstColumn="1" w:firstRow="1" w:lastColumn="0" w:lastRow="0" w:noHBand="0" w:noVBand="1" w:val="04A0"/>
      </w:tblPr>
      <w:tblGrid>
        <w:gridCol w:w="10080"/>
      </w:tblGrid>
      <w:tr>
        <w:tc>
          <w:tcPr>
            <w:tcW w:type="dxa" w:w="10080"/>
            <w:shd w:fill="F2F5F8"/>
            <w:tcMar>
              <w:top w:w="120" w:type="dxa"/>
              <w:start w:w="140" w:type="dxa"/>
              <w:bottom w:w="120" w:type="dxa"/>
              <w:end w:w="140" w:type="dxa"/>
            </w:tcMar>
          </w:tcPr>
          <w:p>
            <w:pPr>
              <w:spacing w:after="0" w:line="240" w:lineRule="auto"/>
            </w:pPr>
            <w:r>
              <w:rPr>
                <w:rFonts w:ascii="Consolas" w:hAnsi="Consolas" w:eastAsia="Consolas"/>
                <w:sz w:val="16"/>
              </w:rPr>
              <w:t>AutoHeal-AI/</w:t>
              <w:br/>
              <w:t xml:space="preserve">  diagnosis-service/</w:t>
              <w:br/>
              <w:t xml:space="preserve">    src/</w:t>
              <w:br/>
              <w:t xml:space="preserve">      features.py              # shared numeric feature contract</w:t>
              <w:br/>
              <w:t xml:space="preserve">      train_models.py          # Isolation Forest + two XGBoost models</w:t>
              <w:br/>
              <w:t xml:space="preserve">      api.py                   # inference only; no recovery credentials</w:t>
              <w:br/>
              <w:t xml:space="preserve">    scripts/</w:t>
              <w:br/>
              <w:t xml:space="preserve">      download_rcaeval.py      # selective public benchmark download</w:t>
              <w:br/>
              <w:t xml:space="preserve">      build_features.py        # implement from Prometheus/OTel exports</w:t>
              <w:br/>
              <w:t xml:space="preserve">      generate_demo_data.py    # synthetic plumbing test only</w:t>
              <w:br/>
              <w:t xml:space="preserve">      smoke_test_api.py</w:t>
              <w:br/>
              <w:t xml:space="preserve">    data/</w:t>
              <w:br/>
              <w:t xml:space="preserve">      raw/                     # raw, permission-controlled telemetry</w:t>
              <w:br/>
              <w:t xml:space="preserve">      custom_v1/</w:t>
              <w:br/>
              <w:t xml:space="preserve">        windows.csv</w:t>
              <w:br/>
              <w:t xml:space="preserve">        root_candidates.csv</w:t>
              <w:br/>
              <w:t xml:space="preserve">      public/rcaeval/</w:t>
              <w:br/>
              <w:t xml:space="preserve">    artifacts/                 # versioned model outputs (not source-controlled blindly)</w:t>
              <w:br/>
              <w:t xml:space="preserve">    experiments/               # split manifests and evaluation reports</w:t>
              <w:br/>
              <w:t xml:space="preserve">    tests/</w:t>
              <w:br/>
              <w:t xml:space="preserve">    requirements.txt</w:t>
              <w:br/>
              <w:t xml:space="preserve">    README.md</w:t>
            </w:r>
          </w:p>
        </w:tc>
      </w:tr>
    </w:tbl>
    <w:p>
      <w:pPr>
        <w:spacing w:after="0"/>
      </w:pPr>
    </w:p>
    <w:p>
      <w:pPr>
        <w:pStyle w:val="Heading1"/>
      </w:pPr>
      <w:r>
        <w:t>19. How to integrate with Spring Boot recovery controller</w:t>
      </w:r>
    </w:p>
    <w:p>
      <w:pPr>
        <w:pStyle w:val="ListNumber"/>
        <w:spacing w:after="60"/>
      </w:pPr>
      <w:r>
        <w:t>Spring Boot recovery controller receives a telemetry incident event or polls an incident queue. It asks the feature service for a single immutable `incident_id` and diagnosis cutoff.</w:t>
      </w:r>
    </w:p>
    <w:p>
      <w:pPr>
        <w:pStyle w:val="ListNumber"/>
        <w:spacing w:after="60"/>
      </w:pPr>
      <w:r>
        <w:t>It calls the internal Python endpoint with only the feature record and candidate-service feature records. No privileged infrastructure credentials are included in this request.</w:t>
      </w:r>
    </w:p>
    <w:p>
      <w:pPr>
        <w:pStyle w:val="ListNumber"/>
        <w:spacing w:after="60"/>
      </w:pPr>
      <w:r>
        <w:t>The Python service returns anomaly detection, fault-family scores, root-cause ranking and evidence data. It sets `action_authorized` to false unconditionally.</w:t>
      </w:r>
    </w:p>
    <w:p>
      <w:pPr>
        <w:pStyle w:val="ListNumber"/>
        <w:spacing w:after="60"/>
      </w:pPr>
      <w:r>
        <w:t>Spring Boot validates schema/model version, checks that evidence is fresh, maps the diagnosed fault to candidate actions and runs the safety gate.</w:t>
      </w:r>
    </w:p>
    <w:p>
      <w:pPr>
        <w:pStyle w:val="ListNumber"/>
        <w:spacing w:after="60"/>
      </w:pPr>
      <w:r>
        <w:t>If allowed, Spring Boot calls a constrained executor with a named target and allow-listed action. The executor uses least privilege and only the test namespace/workload scope.</w:t>
      </w:r>
    </w:p>
    <w:p>
      <w:pPr>
        <w:pStyle w:val="ListNumber"/>
        <w:spacing w:after="60"/>
      </w:pPr>
      <w:r>
        <w:t>The verifier waits for stability, then classifies recovery as `SUCCESS`, `PARTIAL_SUCCESS`, `FAILURE` or `ESCALATED`. Save before/after metrics and timestamps.</w:t>
      </w:r>
    </w:p>
    <w:p>
      <w:pPr>
        <w:pStyle w:val="ListNumber"/>
        <w:spacing w:after="60"/>
      </w:pPr>
      <w:r>
        <w:t>The final result is written to PostgreSQL with the model version, split/data version where relevant, action, reason, result and audit timestamp.</w:t>
      </w:r>
    </w:p>
    <w:p>
      <w:pPr>
        <w:pStyle w:val="Heading1"/>
      </w:pPr>
      <w:r>
        <w:t>20. How to use the public sources rigorously</w:t>
      </w:r>
    </w:p>
    <w:p>
      <w:pPr>
        <w:pStyle w:val="Heading2"/>
      </w:pPr>
      <w:r>
        <w:t>20.1 RCAEval</w:t>
      </w:r>
    </w:p>
    <w:tbl>
      <w:tblPr>
        <w:tblW w:type="auto" w:w="0"/>
        <w:jc w:val="center"/>
        <w:tblLook w:firstColumn="1" w:firstRow="1" w:lastColumn="0" w:lastRow="0" w:noHBand="0" w:noVBand="1" w:val="04A0"/>
      </w:tblPr>
      <w:tblGrid>
        <w:gridCol w:w="10080"/>
      </w:tblGrid>
      <w:tr>
        <w:tc>
          <w:tcPr>
            <w:tcW w:type="dxa" w:w="10080"/>
            <w:shd w:fill="F2F5F8"/>
            <w:tcMar>
              <w:top w:w="120" w:type="dxa"/>
              <w:start w:w="140" w:type="dxa"/>
              <w:bottom w:w="120" w:type="dxa"/>
              <w:end w:w="140" w:type="dxa"/>
            </w:tcMar>
          </w:tcPr>
          <w:p>
            <w:pPr>
              <w:spacing w:after="0" w:line="240" w:lineRule="auto"/>
            </w:pPr>
            <w:r>
              <w:rPr>
                <w:rFonts w:ascii="Consolas" w:hAnsi="Consolas" w:eastAsia="Consolas"/>
                <w:sz w:val="16"/>
              </w:rPr>
              <w:t>git clone https://github.com/phamquiluan/RCAEval.git</w:t>
              <w:br/>
              <w:t>cd RCAEval</w:t>
              <w:br/>
              <w:t># create a separate Python 3.12 venv and follow current SETUP.md</w:t>
              <w:br/>
              <w:t>python main.py --help</w:t>
              <w:br/>
              <w:t># examples documented in the repository:</w:t>
              <w:br/>
              <w:t>python main.py --method baro --dataset re2-tt</w:t>
              <w:br/>
              <w:t>python main.py --method mmbaro --dataset re2-ob</w:t>
            </w:r>
          </w:p>
        </w:tc>
      </w:tr>
    </w:tbl>
    <w:p>
      <w:pPr>
        <w:spacing w:after="0"/>
      </w:pPr>
    </w:p>
    <w:p>
      <w:r>
        <w:t>The repository’s methods use specific input layouts, dependencies and split/evaluation conventions. Keep this benchmark environment isolated from the AutoHeal model-service virtual environment. Record commit/tag and dependency lockfile. [1]</w:t>
      </w:r>
    </w:p>
    <w:p>
      <w:pPr>
        <w:pStyle w:val="Heading2"/>
      </w:pPr>
      <w:r>
        <w:t>20.2 GAIA and Loghub</w:t>
      </w:r>
    </w:p>
    <w:p>
      <w:pPr>
        <w:pStyle w:val="ListBullet"/>
        <w:spacing w:after="40"/>
      </w:pPr>
      <w:r>
        <w:t>GAIA repository: https://github.com/CloudWise-OpenSource/GAIA-DataSet . Use a selected slice after inspecting metric/log/trace format and injection metadata. The data’s historical MicroSS QR-login scenario and old timestamps make it a robustness supplement, not the project’s primary training set. The repository currently labels itself GPL-2.0; review dataset-specific provenance and terms before redistribution. [3]</w:t>
      </w:r>
    </w:p>
    <w:p>
      <w:pPr>
        <w:pStyle w:val="ListBullet"/>
        <w:spacing w:after="40"/>
      </w:pPr>
      <w:r>
        <w:t>Loghub repository: https://github.com/logpai/loghub . Use a small labelled subset only for log-anomaly/template experiments. The repository requests academic citation and points to dataset downloads. Loghub log anomalies are not automatically equivalent to the eight service-fault labels; no direct training target mapping exists without a new annotation protocol. [5]</w:t>
      </w:r>
    </w:p>
    <w:p>
      <w:pPr>
        <w:pStyle w:val="ListBullet"/>
        <w:spacing w:after="40"/>
      </w:pPr>
      <w:r>
        <w:t>LatentScope repository: https://github.com/eBay/LatentScope . Treat it as an optional graph-RCA baseline; README requires Python &gt;=3.9 and &lt;3.11 for its implementation. Do not force its dependency stack into the main Python 3.12 model service. [4]</w:t>
      </w:r>
    </w:p>
    <w:p>
      <w:pPr>
        <w:pStyle w:val="Heading1"/>
      </w:pPr>
      <w:r>
        <w:t>21. Reproducibility, model cards and deployment checks</w:t>
      </w:r>
    </w:p>
    <w:p>
      <w:pPr>
        <w:pStyle w:val="ListBullet"/>
        <w:spacing w:after="40"/>
      </w:pPr>
      <w:r>
        <w:t>Use a versioned dataset ID (`custom_v1`, `custom_v2`), schema version, Git commit, dependency versions, random seed and episode-level split manifest.</w:t>
      </w:r>
    </w:p>
    <w:p>
      <w:pPr>
        <w:pStyle w:val="ListBullet"/>
        <w:spacing w:after="40"/>
      </w:pPr>
      <w:r>
        <w:t>Every artifact includes model family, feature list, fault labels, fitting timestamp, data version, training configuration, validation threshold and calibration method/version.</w:t>
      </w:r>
    </w:p>
    <w:p>
      <w:pPr>
        <w:pStyle w:val="ListBullet"/>
        <w:spacing w:after="40"/>
      </w:pPr>
      <w:r>
        <w:t>Load artifacts from a trusted directory only. Joblib/pickle artefacts can execute code during loading; never load model artefacts from arbitrary public/untrusted uploads.</w:t>
      </w:r>
    </w:p>
    <w:p>
      <w:pPr>
        <w:pStyle w:val="ListBullet"/>
        <w:spacing w:after="40"/>
      </w:pPr>
      <w:r>
        <w:t>At startup, fail readiness when expected models or feature schemas do not match. At inference, fail closed on missing or non-finite values. Do not silently treat an absent metric as zero.</w:t>
      </w:r>
    </w:p>
    <w:p>
      <w:pPr>
        <w:pStyle w:val="ListBullet"/>
        <w:spacing w:after="40"/>
      </w:pPr>
      <w:r>
        <w:t>Log inference latency and errors, but redact raw logs and request data. Use a safe retention policy and keep secrets out of telemetry.</w:t>
      </w:r>
    </w:p>
    <w:p>
      <w:pPr>
        <w:pStyle w:val="ListBullet"/>
        <w:spacing w:after="40"/>
      </w:pPr>
      <w:r>
        <w:t>Run drift checks on feature distributions and false-positive/abstention rates by workload and deployment version. Retrain only after reviewed dataset collection and evaluation; never auto-retrain directly from unlabeled production predictions.</w:t>
      </w:r>
    </w:p>
    <w:p>
      <w:pPr>
        <w:pStyle w:val="ListBullet"/>
        <w:spacing w:after="40"/>
      </w:pPr>
      <w:r>
        <w:t>Bundle the model service without Kubernetes permissions. The Spring Boot controller receives minimal, namespaced permissions in the test cluster only.</w:t>
      </w:r>
    </w:p>
    <w:p>
      <w:pPr>
        <w:pStyle w:val="Heading1"/>
      </w:pPr>
      <w:r>
        <w:t>22. Definition of done for the AI portion</w:t>
      </w:r>
    </w:p>
    <w:p>
      <w:pPr>
        <w:pStyle w:val="ListBullet"/>
        <w:spacing w:after="40"/>
      </w:pPr>
      <w:r>
        <w:t>All three models train from the normalized CSV schemas with deterministic episode-level splits.</w:t>
      </w:r>
    </w:p>
    <w:p>
      <w:pPr>
        <w:pStyle w:val="ListBullet"/>
        <w:spacing w:after="40"/>
      </w:pPr>
      <w:r>
        <w:t>Anomaly detector is fitted on normal training data only and threshold is selected on normal validation data.</w:t>
      </w:r>
    </w:p>
    <w:p>
      <w:pPr>
        <w:pStyle w:val="ListBullet"/>
        <w:spacing w:after="40"/>
      </w:pPr>
      <w:r>
        <w:t>Fault classifier has a per-class report, confusion matrix and a recorded validation/test episode split.</w:t>
      </w:r>
    </w:p>
    <w:p>
      <w:pPr>
        <w:pStyle w:val="ListBullet"/>
        <w:spacing w:after="40"/>
      </w:pPr>
      <w:r>
        <w:t>Root-cause ranker has one true positive candidate per v1 incident and reports Top-1, Top-3 and MRR.</w:t>
      </w:r>
    </w:p>
    <w:p>
      <w:pPr>
        <w:pStyle w:val="ListBullet"/>
        <w:spacing w:after="40"/>
      </w:pPr>
      <w:r>
        <w:t>RCAEval baseline results are recorded separately with repository version and dataset suite noted.</w:t>
      </w:r>
    </w:p>
    <w:p>
      <w:pPr>
        <w:pStyle w:val="ListBullet"/>
        <w:spacing w:after="40"/>
      </w:pPr>
      <w:r>
        <w:t>API endpoint returns scores/ranks but cannot execute actions; invalid or missing features lead to a clear error/abstention.</w:t>
      </w:r>
    </w:p>
    <w:p>
      <w:pPr>
        <w:pStyle w:val="ListBullet"/>
        <w:spacing w:after="40"/>
      </w:pPr>
      <w:r>
        <w:t>Spring Boot policy controller has allow-list, action rate limit, cooldown, target scope and audit record.</w:t>
      </w:r>
    </w:p>
    <w:p>
      <w:pPr>
        <w:pStyle w:val="ListBullet"/>
        <w:spacing w:after="40"/>
      </w:pPr>
      <w:r>
        <w:t>Recovery verifier confirms restored health over time; failed/uncertain recovery escalates.</w:t>
      </w:r>
    </w:p>
    <w:p>
      <w:pPr>
        <w:pStyle w:val="ListBullet"/>
        <w:spacing w:after="40"/>
      </w:pPr>
      <w:r>
        <w:t>End-to-end experiments report diagnosis, detection, MTTR and safety results on independent held-out episodes.</w:t>
      </w:r>
    </w:p>
    <w:p>
      <w:pPr>
        <w:pStyle w:val="ListBullet"/>
        <w:spacing w:after="40"/>
      </w:pPr>
      <w:r>
        <w:t>No synthetic demonstration results are presented as real measured accuracy or research findings.</w:t>
      </w:r>
    </w:p>
    <w:p>
      <w:pPr>
        <w:pStyle w:val="Heading1"/>
      </w:pPr>
      <w:r>
        <w:t>23. References and official resources</w:t>
      </w:r>
    </w:p>
    <w:p>
      <w:pPr>
        <w:pStyle w:val="ListNumber"/>
        <w:spacing w:after="80"/>
      </w:pPr>
      <w:r>
        <w:t>[1] Pham et al., RCAEval: A Benchmark for Root Cause Analysis of Microservice Systems. Repository, datasets, data formats and reproducible baselines. https://github.com/phamquiluan/RCAEval</w:t>
      </w:r>
    </w:p>
    <w:p>
      <w:pPr>
        <w:pStyle w:val="ListNumber"/>
        <w:spacing w:after="80"/>
      </w:pPr>
      <w:r>
        <w:t>[2] RCAEval dataset card (735 cases; 3 systems; 11 fault types; Parquet access and MIT metadata). https://huggingface.co/datasets/phamquiluan/RCAEval ; Zenodo DOI: https://doi.org/10.5281/zenodo.14590730</w:t>
      </w:r>
    </w:p>
    <w:p>
      <w:pPr>
        <w:pStyle w:val="ListNumber"/>
        <w:spacing w:after="80"/>
      </w:pPr>
      <w:r>
        <w:t>[3] CloudWise Open Source, GAIA / Generic AIOps Atlas dataset repository, MicroSS + companion data, anomaly injection notes and repository license. https://github.com/CloudWise-OpenSource/GAIA-DataSet</w:t>
      </w:r>
    </w:p>
    <w:p>
      <w:pPr>
        <w:pStyle w:val="ListNumber"/>
        <w:spacing w:after="80"/>
      </w:pPr>
      <w:r>
        <w:t>[4] eBay, LatentScope: Source Code and Dataset B for “Microservice Root Cause Analysis With Limited Observability Through Intervention Recognition in the Latent Space” (KDD 2024). https://github.com/eBay/LatentScope</w:t>
      </w:r>
    </w:p>
    <w:p>
      <w:pPr>
        <w:pStyle w:val="ListNumber"/>
        <w:spacing w:after="80"/>
      </w:pPr>
      <w:r>
        <w:t>[5] Zhu et al., Loghub: A Large Collection of System Log Datasets for AI-driven Log Analytics, ISSRE 2023; Loghub repository and dataset sizes. https://github.com/logpai/loghub ; https://arxiv.org/abs/2008.06448</w:t>
      </w:r>
    </w:p>
    <w:p>
      <w:pPr>
        <w:pStyle w:val="ListNumber"/>
        <w:spacing w:after="80"/>
      </w:pPr>
      <w:r>
        <w:t>[6] scikit-learn, Probability calibration and CalibratedClassifierCV documentation. https://scikit-learn.org/stable/modules/calibration.html</w:t>
      </w:r>
    </w:p>
    <w:p>
      <w:pPr>
        <w:pStyle w:val="ListNumber"/>
        <w:spacing w:after="80"/>
      </w:pPr>
      <w:r>
        <w:t>[7] Zhang et al., Robust Failure Diagnosis of Microservice System through Multimodal Data (DiagFusion), 2023. https://arxiv.org/abs/2302.10512</w:t>
      </w:r>
    </w:p>
    <w:p>
      <w:pPr>
        <w:pStyle w:val="ListNumber"/>
        <w:spacing w:after="80"/>
      </w:pPr>
      <w:r>
        <w:t>[8] OpenTelemetry Demo documentation: language instrumentation and distributed microservice example. https://opentelemetry.io/docs/demo/</w:t>
      </w:r>
    </w:p>
    <w:p>
      <w:pPr>
        <w:pStyle w:val="ListNumber"/>
        <w:spacing w:after="80"/>
      </w:pPr>
      <w:r>
        <w:t>[9] Prometheus documentation: metrics collection and alerting. https://prometheus.io/docs/</w:t>
      </w:r>
    </w:p>
    <w:p>
      <w:pPr>
        <w:pStyle w:val="ListNumber"/>
        <w:spacing w:after="80"/>
      </w:pPr>
      <w:r>
        <w:t>[10] Kubernetes documentation: self-healing, health checks and workload recovery. https://kubernetes.io/docs/concepts/architecture/self-healing/ ; https://kubernetes.io/docs/concepts/configuration/liveness-readiness-startup-probes/</w:t>
      </w:r>
    </w:p>
    <w:p>
      <w:pPr>
        <w:pStyle w:val="ListNumber"/>
        <w:spacing w:after="80"/>
      </w:pPr>
      <w:r>
        <w:t>[11] XGBoost documentation: classifier objectives and multiclass probabilities. https://xgboost.readthedocs.io/</w:t>
      </w:r>
    </w:p>
    <w:p>
      <w:pPr>
        <w:pStyle w:val="ListNumber"/>
        <w:spacing w:after="80"/>
      </w:pPr>
      <w:r>
        <w:t>[12] MicroRCA reference implementation and paper citation: Root Cause Localization of Performance Issues in Microservices, NOMS 2020. https://github.com/elastisys/MicroRCA</w:t>
      </w:r>
    </w:p>
    <w:p>
      <w:pPr>
        <w:pStyle w:val="Heading1"/>
      </w:pPr>
      <w:r>
        <w:t>24. Final recommendation</w:t>
      </w:r>
    </w:p>
    <w:tbl>
      <w:tblPr>
        <w:tblW w:type="auto" w:w="0"/>
        <w:tblLook w:firstColumn="1" w:firstRow="1" w:lastColumn="0" w:lastRow="0" w:noHBand="0" w:noVBand="1" w:val="04A0"/>
      </w:tblPr>
      <w:tblGrid>
        <w:gridCol w:w="10080"/>
      </w:tblGrid>
      <w:tr>
        <w:tc>
          <w:tcPr>
            <w:tcW w:type="dxa" w:w="10080"/>
            <w:shd w:fill="E2F0D9"/>
            <w:tcMar>
              <w:top w:w="130" w:type="dxa"/>
              <w:start w:w="150" w:type="dxa"/>
              <w:bottom w:w="130" w:type="dxa"/>
              <w:end w:w="150" w:type="dxa"/>
            </w:tcMar>
          </w:tcPr>
          <w:p>
            <w:pPr>
              <w:spacing w:after="60"/>
            </w:pPr>
            <w:r>
              <w:rPr>
                <w:b/>
                <w:color w:val="17365D"/>
                <w:sz w:val="20"/>
              </w:rPr>
              <w:t>The exact models to train first</w:t>
            </w:r>
          </w:p>
          <w:p>
            <w:pPr>
              <w:spacing w:after="0"/>
            </w:pPr>
            <w:r>
              <w:t>Train (1) Isolation Forest using only normal custom telemetry; (2) XGBoost multiclass classifier using labelled fault-active windows; and (3) XGBoost candidate-service scorer using one positive root-cause candidate per incident. Compare Random Forest as a baseline. Use RCAEval for external RCA evaluation, and GAIA/Loghub only as optional supplementary datasets. Keep recovery selection deterministic, reviewed and safety-gated.</w:t>
            </w:r>
          </w:p>
        </w:tc>
      </w:tr>
    </w:tbl>
    <w:p>
      <w:pPr>
        <w:spacing w:after="0"/>
      </w:pPr>
    </w:p>
    <w:p>
      <w:r>
        <w:t>This is the strongest feasible design for AutoHeal AI because each model has a clear task and label source, the public benchmark aligns with root-cause evaluation, the custom fault-injection dataset aligns with the actual application, and no model is given authority to perform an infrastructure action. Move to a GNN or language model only after a measured ablation proves that the added complexity improves the chosen outcomes.</w:t>
      </w:r>
    </w:p>
    <w:sectPr w:rsidR="00FC693F" w:rsidRPr="0006063C" w:rsidSect="00034616">
      <w:headerReference w:type="default" r:id="rId9"/>
      <w:footerReference w:type="default" r:id="rId10"/>
      <w:pgSz w:w="12240" w:h="15840"/>
      <w:pgMar w:top="979"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AutoHeal AI • Model &amp; Dataset Blueprint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0F6B68"/>
        <w:sz w:val="16"/>
      </w:rPr>
      <w:t>AUTOHEAL AI  |  AI MODEL PLACEMENT, DATASETS AND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22D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0F6B6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AutoHeal AI Model Training and Dataset Blueprint</dc:title>
  <dc:subject>AI model placement, datasets, training, evaluation and integration for autonomous web application recovery</dc:subject>
  <dc:creator>AutoHeal AI Project Documentation</dc:creator>
  <cp:keywords>AutoHeal AI, RCAEval, Isolation Forest, XGBoost, root cause analysis, fault diagnosis, dataset training</cp:keywords>
  <dc:description>generated by python-docx</dc:description>
  <cp:lastModifiedBy/>
  <cp:revision>1</cp:revision>
  <dcterms:created xsi:type="dcterms:W3CDTF">2013-12-23T23:15:00Z</dcterms:created>
  <dcterms:modified xsi:type="dcterms:W3CDTF">2013-12-23T23:15:00Z</dcterms:modified>
  <cp:category/>
</cp:coreProperties>
</file>