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9AC" w:rsidRPr="00EA39AC" w:rsidRDefault="00EA39AC" w:rsidP="00EB5684">
      <w:pPr>
        <w:spacing w:before="100" w:beforeAutospacing="1" w:after="100" w:afterAutospacing="1" w:line="276" w:lineRule="auto"/>
        <w:jc w:val="both"/>
        <w:outlineLvl w:val="0"/>
        <w:rPr>
          <w:b/>
        </w:rPr>
      </w:pPr>
      <w:r w:rsidRPr="00EA39AC">
        <w:rPr>
          <w:b/>
        </w:rPr>
        <w:t>Title: Quality Control–Aware Machine Learning for LDL-Cholesterol Estimation in the Indian Population: A Comparative Study with Established Calculation Methods</w:t>
      </w:r>
    </w:p>
    <w:p w:rsidR="00EA39AC" w:rsidRPr="00EA39AC" w:rsidRDefault="00EA39AC" w:rsidP="00EB5684">
      <w:pPr>
        <w:spacing w:before="100" w:beforeAutospacing="1" w:after="100" w:afterAutospacing="1" w:line="276" w:lineRule="auto"/>
        <w:jc w:val="both"/>
        <w:outlineLvl w:val="0"/>
        <w:rPr>
          <w:b/>
          <w:bCs/>
          <w:kern w:val="36"/>
        </w:rPr>
      </w:pPr>
      <w:r w:rsidRPr="00EA39AC">
        <w:rPr>
          <w:b/>
        </w:rPr>
        <w:t xml:space="preserve">Short title: </w:t>
      </w:r>
      <w:r w:rsidRPr="00EA39AC">
        <w:t>QC-Aware Machine Learning for LDL-C Estimation in Indians</w:t>
      </w:r>
    </w:p>
    <w:p w:rsidR="00EA39AC" w:rsidRPr="00EA39AC" w:rsidRDefault="00EA39AC" w:rsidP="00EB5684">
      <w:pPr>
        <w:pStyle w:val="Heading2"/>
        <w:spacing w:line="276" w:lineRule="auto"/>
        <w:jc w:val="both"/>
        <w:rPr>
          <w:rFonts w:ascii="Times New Roman" w:hAnsi="Times New Roman" w:cs="Times New Roman"/>
          <w:b w:val="0"/>
          <w:color w:val="000000" w:themeColor="text1"/>
          <w:sz w:val="24"/>
          <w:szCs w:val="24"/>
        </w:rPr>
      </w:pPr>
      <w:r w:rsidRPr="00EA39AC">
        <w:rPr>
          <w:rFonts w:ascii="Times New Roman" w:hAnsi="Times New Roman" w:cs="Times New Roman"/>
          <w:color w:val="000000" w:themeColor="text1"/>
          <w:sz w:val="24"/>
          <w:szCs w:val="24"/>
        </w:rPr>
        <w:t>Abstract</w:t>
      </w:r>
    </w:p>
    <w:p w:rsidR="00EA39AC" w:rsidRPr="00EA39AC" w:rsidRDefault="00EA39AC" w:rsidP="00EB5684">
      <w:pPr>
        <w:pStyle w:val="Heading3"/>
        <w:spacing w:line="276" w:lineRule="auto"/>
        <w:jc w:val="both"/>
        <w:rPr>
          <w:b/>
          <w:color w:val="000000" w:themeColor="text1"/>
        </w:rPr>
      </w:pPr>
      <w:r w:rsidRPr="00EA39AC">
        <w:rPr>
          <w:b/>
          <w:color w:val="000000" w:themeColor="text1"/>
        </w:rPr>
        <w:t xml:space="preserve">Background: </w:t>
      </w:r>
      <w:r w:rsidRPr="00EA39AC">
        <w:rPr>
          <w:color w:val="000000" w:themeColor="text1"/>
        </w:rPr>
        <w:t xml:space="preserve">Accurate estimation of low-density lipoprotein cholesterol (LDL-C) is central to cardiovascular risk assessment and therapeutic decision-making. While calculation-based formulas such as </w:t>
      </w:r>
      <w:proofErr w:type="spellStart"/>
      <w:r w:rsidRPr="00EA39AC">
        <w:rPr>
          <w:color w:val="000000" w:themeColor="text1"/>
        </w:rPr>
        <w:t>Friedewald</w:t>
      </w:r>
      <w:proofErr w:type="spellEnd"/>
      <w:r w:rsidRPr="00EA39AC">
        <w:rPr>
          <w:color w:val="000000" w:themeColor="text1"/>
        </w:rPr>
        <w:t>, Martin–Hopkins, and Sampson–NIH are widely used, their reliability declines in patients with elevated triglycerides. Machine learning (ML) methods offer a data-driven alternative but are rarely integrated with laboratory quality control (QC) principles required for clinical implementation.</w:t>
      </w:r>
    </w:p>
    <w:p w:rsidR="00EA39AC" w:rsidRPr="00EA39AC" w:rsidRDefault="00EA39AC" w:rsidP="00EB5684">
      <w:pPr>
        <w:pStyle w:val="Heading3"/>
        <w:spacing w:line="276" w:lineRule="auto"/>
        <w:jc w:val="both"/>
        <w:rPr>
          <w:color w:val="000000" w:themeColor="text1"/>
        </w:rPr>
      </w:pPr>
    </w:p>
    <w:p w:rsidR="00EA39AC" w:rsidRPr="00EA39AC" w:rsidRDefault="00EA39AC" w:rsidP="00EB5684">
      <w:pPr>
        <w:pStyle w:val="Heading3"/>
        <w:spacing w:line="276" w:lineRule="auto"/>
        <w:jc w:val="both"/>
        <w:rPr>
          <w:color w:val="000000" w:themeColor="text1"/>
        </w:rPr>
      </w:pPr>
      <w:r w:rsidRPr="00EA39AC">
        <w:rPr>
          <w:b/>
          <w:color w:val="000000" w:themeColor="text1"/>
        </w:rPr>
        <w:t xml:space="preserve">Objective: </w:t>
      </w:r>
      <w:r w:rsidRPr="00EA39AC">
        <w:rPr>
          <w:color w:val="000000" w:themeColor="text1"/>
        </w:rPr>
        <w:t>To develop and validate a quality control (QC)–aware machine learning framework for LDL-C estimation in the Indian population and to compare its performance with established calculation-based formulas</w:t>
      </w:r>
    </w:p>
    <w:p w:rsidR="00EA39AC" w:rsidRPr="00EA39AC" w:rsidRDefault="00EA39AC" w:rsidP="00EB5684">
      <w:pPr>
        <w:pStyle w:val="Heading3"/>
        <w:spacing w:line="276" w:lineRule="auto"/>
        <w:jc w:val="both"/>
        <w:rPr>
          <w:color w:val="000000" w:themeColor="text1"/>
        </w:rPr>
      </w:pPr>
    </w:p>
    <w:p w:rsidR="00EA39AC" w:rsidRPr="00EA39AC" w:rsidRDefault="00EA39AC" w:rsidP="00EB5684">
      <w:pPr>
        <w:pStyle w:val="Heading3"/>
        <w:spacing w:line="276" w:lineRule="auto"/>
        <w:jc w:val="both"/>
        <w:rPr>
          <w:color w:val="000000" w:themeColor="text1"/>
        </w:rPr>
      </w:pPr>
      <w:r w:rsidRPr="00EA39AC">
        <w:rPr>
          <w:b/>
          <w:color w:val="000000" w:themeColor="text1"/>
        </w:rPr>
        <w:t xml:space="preserve">Methods: </w:t>
      </w:r>
      <w:r w:rsidRPr="00EA39AC">
        <w:rPr>
          <w:color w:val="000000" w:themeColor="text1"/>
        </w:rPr>
        <w:t xml:space="preserve">In this retrospective study, de-identified lipid profile data were </w:t>
      </w:r>
      <w:proofErr w:type="spellStart"/>
      <w:r w:rsidRPr="00EA39AC">
        <w:rPr>
          <w:color w:val="000000" w:themeColor="text1"/>
        </w:rPr>
        <w:t>analyzed</w:t>
      </w:r>
      <w:proofErr w:type="spellEnd"/>
      <w:r w:rsidRPr="00EA39AC">
        <w:rPr>
          <w:color w:val="000000" w:themeColor="text1"/>
        </w:rPr>
        <w:t xml:space="preserve"> using total cholesterol, triglycerides, and HDL-cholesterol as predictors. Four regression models—Random Forest, </w:t>
      </w:r>
      <w:proofErr w:type="spellStart"/>
      <w:r w:rsidRPr="00EA39AC">
        <w:rPr>
          <w:color w:val="000000" w:themeColor="text1"/>
        </w:rPr>
        <w:t>XGBoost</w:t>
      </w:r>
      <w:proofErr w:type="spellEnd"/>
      <w:r w:rsidRPr="00EA39AC">
        <w:rPr>
          <w:color w:val="000000" w:themeColor="text1"/>
        </w:rPr>
        <w:t xml:space="preserve">, </w:t>
      </w:r>
      <w:proofErr w:type="spellStart"/>
      <w:r w:rsidRPr="00EA39AC">
        <w:rPr>
          <w:color w:val="000000" w:themeColor="text1"/>
        </w:rPr>
        <w:t>CatBoost</w:t>
      </w:r>
      <w:proofErr w:type="spellEnd"/>
      <w:r w:rsidRPr="00EA39AC">
        <w:rPr>
          <w:color w:val="000000" w:themeColor="text1"/>
        </w:rPr>
        <w:t>, and Support Vector Regression—were trained and evaluated against directly measured LDL-C. Performance was assessed using R², RMSE, MSE, and Pearson correlation in internal and temporally distinct validation datasets. Triglyceride-stratified and demographic subgroup analyses were performed. A QC-aware post-prediction module, conceptually aligned with Westgard principles, was applied to moderate extreme predictions.</w:t>
      </w:r>
    </w:p>
    <w:p w:rsidR="00EA39AC" w:rsidRPr="00EA39AC" w:rsidRDefault="00EA39AC" w:rsidP="00EB5684">
      <w:pPr>
        <w:pStyle w:val="Heading3"/>
        <w:spacing w:line="276" w:lineRule="auto"/>
        <w:jc w:val="both"/>
        <w:rPr>
          <w:color w:val="000000" w:themeColor="text1"/>
        </w:rPr>
      </w:pPr>
    </w:p>
    <w:p w:rsidR="00EA39AC" w:rsidRPr="00EA39AC" w:rsidRDefault="00EA39AC" w:rsidP="00EB5684">
      <w:pPr>
        <w:pStyle w:val="Heading3"/>
        <w:spacing w:line="276" w:lineRule="auto"/>
        <w:jc w:val="both"/>
        <w:rPr>
          <w:color w:val="000000" w:themeColor="text1"/>
        </w:rPr>
      </w:pPr>
      <w:r w:rsidRPr="00EA39AC">
        <w:rPr>
          <w:b/>
          <w:color w:val="000000" w:themeColor="text1"/>
        </w:rPr>
        <w:t xml:space="preserve">Results: </w:t>
      </w:r>
      <w:r w:rsidRPr="00EA39AC">
        <w:rPr>
          <w:color w:val="000000" w:themeColor="text1"/>
        </w:rPr>
        <w:t>All ML models outperformed conventional formulas across both datasets, demonstrating higher R² and lower prediction error. The advantage of ML was particularly evident in samples with triglycerides ≥400 mg/</w:t>
      </w:r>
      <w:proofErr w:type="spellStart"/>
      <w:r w:rsidRPr="00EA39AC">
        <w:rPr>
          <w:color w:val="000000" w:themeColor="text1"/>
        </w:rPr>
        <w:t>dL</w:t>
      </w:r>
      <w:proofErr w:type="spellEnd"/>
      <w:r w:rsidRPr="00EA39AC">
        <w:rPr>
          <w:color w:val="000000" w:themeColor="text1"/>
        </w:rPr>
        <w:t>, where formula-based methods showed substantial performance degradation. The QC module reduced extreme residuals without introducing systematic bias. Model performance remained stable across age and gender subgroups.</w:t>
      </w:r>
    </w:p>
    <w:p w:rsidR="00EA39AC" w:rsidRPr="00EA39AC" w:rsidRDefault="00EA39AC" w:rsidP="00EB5684">
      <w:pPr>
        <w:pStyle w:val="Heading3"/>
        <w:spacing w:line="276" w:lineRule="auto"/>
        <w:jc w:val="both"/>
        <w:rPr>
          <w:color w:val="000000" w:themeColor="text1"/>
        </w:rPr>
      </w:pPr>
    </w:p>
    <w:p w:rsidR="00EA39AC" w:rsidRPr="00EA39AC" w:rsidRDefault="00EA39AC" w:rsidP="00EB5684">
      <w:pPr>
        <w:pStyle w:val="Heading3"/>
        <w:spacing w:line="276" w:lineRule="auto"/>
        <w:jc w:val="both"/>
        <w:rPr>
          <w:color w:val="000000" w:themeColor="text1"/>
        </w:rPr>
      </w:pPr>
      <w:r w:rsidRPr="00EA39AC">
        <w:rPr>
          <w:b/>
          <w:color w:val="000000" w:themeColor="text1"/>
        </w:rPr>
        <w:t xml:space="preserve">Conclusion: </w:t>
      </w:r>
      <w:r w:rsidRPr="00EA39AC">
        <w:rPr>
          <w:color w:val="000000" w:themeColor="text1"/>
        </w:rPr>
        <w:t xml:space="preserve">A QC-integrated machine learning framework provides more accurate and analytically robust LDL-C estimation than traditional calculation-based formulas, particularly in </w:t>
      </w:r>
      <w:proofErr w:type="spellStart"/>
      <w:r w:rsidRPr="00EA39AC">
        <w:rPr>
          <w:color w:val="000000" w:themeColor="text1"/>
        </w:rPr>
        <w:t>hypertriglyceridemic</w:t>
      </w:r>
      <w:proofErr w:type="spellEnd"/>
      <w:r w:rsidRPr="00EA39AC">
        <w:rPr>
          <w:color w:val="000000" w:themeColor="text1"/>
        </w:rPr>
        <w:t xml:space="preserve"> states. This approach supports safe and practical integration of ML-based prediction into routine laboratory workflows.</w:t>
      </w:r>
    </w:p>
    <w:p w:rsidR="00EA39AC" w:rsidRPr="00EA39AC" w:rsidRDefault="00EA39AC" w:rsidP="00EB5684">
      <w:pPr>
        <w:spacing w:before="100" w:beforeAutospacing="1" w:after="100" w:afterAutospacing="1" w:line="276" w:lineRule="auto"/>
        <w:jc w:val="both"/>
        <w:outlineLvl w:val="0"/>
        <w:rPr>
          <w:b/>
          <w:bCs/>
          <w:kern w:val="36"/>
        </w:rPr>
      </w:pPr>
    </w:p>
    <w:p w:rsidR="00EA39AC" w:rsidRPr="00EA39AC" w:rsidRDefault="00EA39AC" w:rsidP="00EB5684">
      <w:pPr>
        <w:pStyle w:val="Heading2"/>
        <w:spacing w:line="276" w:lineRule="auto"/>
        <w:jc w:val="both"/>
        <w:rPr>
          <w:rFonts w:ascii="Times New Roman" w:hAnsi="Times New Roman" w:cs="Times New Roman"/>
          <w:color w:val="000000" w:themeColor="text1"/>
          <w:sz w:val="24"/>
          <w:szCs w:val="24"/>
        </w:rPr>
      </w:pPr>
      <w:r w:rsidRPr="00EA39AC">
        <w:rPr>
          <w:rFonts w:ascii="Times New Roman" w:eastAsia="Times New Roman" w:hAnsi="Times New Roman" w:cs="Times New Roman"/>
          <w:color w:val="000000" w:themeColor="text1"/>
          <w:kern w:val="36"/>
          <w:sz w:val="24"/>
          <w:szCs w:val="24"/>
        </w:rPr>
        <w:t xml:space="preserve">Keywords: </w:t>
      </w:r>
      <w:r w:rsidRPr="00EA39AC">
        <w:rPr>
          <w:rFonts w:ascii="Times New Roman" w:hAnsi="Times New Roman" w:cs="Times New Roman"/>
          <w:color w:val="000000" w:themeColor="text1"/>
          <w:sz w:val="24"/>
          <w:szCs w:val="24"/>
        </w:rPr>
        <w:t xml:space="preserve">LDL-cholesterol; Machine learning; Quality control; Hypertriglyceridemia; Random Forest; </w:t>
      </w:r>
      <w:proofErr w:type="spellStart"/>
      <w:r w:rsidRPr="00EA39AC">
        <w:rPr>
          <w:rFonts w:ascii="Times New Roman" w:hAnsi="Times New Roman" w:cs="Times New Roman"/>
          <w:color w:val="000000" w:themeColor="text1"/>
          <w:sz w:val="24"/>
          <w:szCs w:val="24"/>
        </w:rPr>
        <w:t>XGBoost</w:t>
      </w:r>
      <w:proofErr w:type="spellEnd"/>
      <w:r w:rsidRPr="00EA39AC">
        <w:rPr>
          <w:rFonts w:ascii="Times New Roman" w:hAnsi="Times New Roman" w:cs="Times New Roman"/>
          <w:color w:val="000000" w:themeColor="text1"/>
          <w:sz w:val="24"/>
          <w:szCs w:val="24"/>
        </w:rPr>
        <w:t xml:space="preserve">; </w:t>
      </w:r>
      <w:proofErr w:type="spellStart"/>
      <w:r w:rsidRPr="00EA39AC">
        <w:rPr>
          <w:rFonts w:ascii="Times New Roman" w:hAnsi="Times New Roman" w:cs="Times New Roman"/>
          <w:color w:val="000000" w:themeColor="text1"/>
          <w:sz w:val="24"/>
          <w:szCs w:val="24"/>
        </w:rPr>
        <w:t>CatBoost</w:t>
      </w:r>
      <w:proofErr w:type="spellEnd"/>
      <w:r w:rsidRPr="00EA39AC">
        <w:rPr>
          <w:rFonts w:ascii="Times New Roman" w:hAnsi="Times New Roman" w:cs="Times New Roman"/>
          <w:color w:val="000000" w:themeColor="text1"/>
          <w:sz w:val="24"/>
          <w:szCs w:val="24"/>
        </w:rPr>
        <w:t>; Support Vector Regression; Laboratory medicine; Westgard rules.</w:t>
      </w:r>
    </w:p>
    <w:p w:rsidR="00EA39AC" w:rsidRPr="00EA39AC" w:rsidRDefault="00EA39AC" w:rsidP="00EB5684">
      <w:pPr>
        <w:pStyle w:val="Heading1"/>
        <w:spacing w:line="276" w:lineRule="auto"/>
        <w:jc w:val="both"/>
        <w:rPr>
          <w:rFonts w:ascii="Times New Roman" w:hAnsi="Times New Roman" w:cs="Times New Roman"/>
          <w:sz w:val="24"/>
          <w:szCs w:val="24"/>
        </w:rPr>
      </w:pP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1. Introduction</w:t>
      </w:r>
    </w:p>
    <w:p w:rsidR="00CA5FAA" w:rsidRPr="00EA39AC" w:rsidRDefault="0054151D" w:rsidP="00EB5684">
      <w:pPr>
        <w:spacing w:after="180" w:line="276" w:lineRule="auto"/>
        <w:jc w:val="both"/>
      </w:pPr>
      <w:r w:rsidRPr="00EA39AC">
        <w:t xml:space="preserve">LDL cholesterol occupies a central place in cardiovascular disease prevention, risk stratification, and long-term management. In India, this matters more urgently than in many other settings. Heart disease here tends to strike earlier and progress more aggressively than in Western populations, which means getting LDL-C values right carries genuine consequences for patients. The ESC and ACC guidelines both rely on LDL-C thresholds to determine when and how intensively to treat [1], and given the high burden of </w:t>
      </w:r>
      <w:proofErr w:type="spellStart"/>
      <w:r w:rsidRPr="00EA39AC">
        <w:t>dyslipidemia</w:t>
      </w:r>
      <w:proofErr w:type="spellEnd"/>
      <w:r w:rsidRPr="00EA39AC">
        <w:t>, metabolic syndrome, diabetes, and premature coronary artery disease in India, reliable estimation is a practical necessity, not just a methodological nicety.</w:t>
      </w:r>
    </w:p>
    <w:p w:rsidR="00CA5FAA" w:rsidRPr="00EA39AC" w:rsidRDefault="0054151D" w:rsidP="00EB5684">
      <w:pPr>
        <w:spacing w:after="180" w:line="276" w:lineRule="auto"/>
        <w:jc w:val="both"/>
      </w:pPr>
      <w:r w:rsidRPr="00EA39AC">
        <w:t xml:space="preserve">Direct LDL-C measurement is the most analytically sound option, and it's what you'd want in situations involving very high triglycerides or very low LDL-C. But direct assays are expensive, slower to process, and variable across platforms. In resource-constrained labs—a common reality in India—routine direct measurement isn't always feasible [8]. Most labs rely instead on calculation formulas derived from the standard lipid panel. The </w:t>
      </w:r>
      <w:proofErr w:type="spellStart"/>
      <w:r w:rsidRPr="00EA39AC">
        <w:t>Friedewald</w:t>
      </w:r>
      <w:proofErr w:type="spellEnd"/>
      <w:r w:rsidRPr="00EA39AC">
        <w:t xml:space="preserve"> equation, introduced in 1972, remains the dominant choice for its simplicity [2], but it assumes a fixed ratio between triglycerides and VLDL cholesterol—a relationship that holds reasonably well under normal conditions but quietly breaks down in patients with high TG, diabetes, metabolic syndrome, or non-fasting states. Above 400 mg/</w:t>
      </w:r>
      <w:proofErr w:type="spellStart"/>
      <w:r w:rsidRPr="00EA39AC">
        <w:t>dL</w:t>
      </w:r>
      <w:proofErr w:type="spellEnd"/>
      <w:r w:rsidRPr="00EA39AC">
        <w:t xml:space="preserve"> TG, </w:t>
      </w:r>
      <w:proofErr w:type="spellStart"/>
      <w:r w:rsidRPr="00EA39AC">
        <w:t>Friedewald</w:t>
      </w:r>
      <w:proofErr w:type="spellEnd"/>
      <w:r w:rsidRPr="00EA39AC">
        <w:t xml:space="preserve"> can meaningfully underestimate LDL-C [3,6].</w:t>
      </w:r>
    </w:p>
    <w:p w:rsidR="00CA5FAA" w:rsidRPr="00EA39AC" w:rsidRDefault="0054151D" w:rsidP="00EB5684">
      <w:pPr>
        <w:spacing w:after="180" w:line="276" w:lineRule="auto"/>
        <w:jc w:val="both"/>
      </w:pPr>
      <w:r w:rsidRPr="00EA39AC">
        <w:t>Newer formulas have tried to address this. The Martin–Hopkins method introduced an adjustable TG-to-VLDL divisor from large population datasets [3,4], and the Sampson–NIH equation added nonlinear terms specifically aimed at the high-TG range [5]. Both are improvements, but as our own TG-stratified analysis makes clear (Table 4), neither fully resolves the problem above 400 mg/</w:t>
      </w:r>
      <w:proofErr w:type="spellStart"/>
      <w:r w:rsidRPr="00EA39AC">
        <w:t>dL</w:t>
      </w:r>
      <w:proofErr w:type="spellEnd"/>
      <w:r w:rsidRPr="00EA39AC">
        <w:t xml:space="preserve"> [6,7].</w:t>
      </w:r>
    </w:p>
    <w:p w:rsidR="00CA5FAA" w:rsidRPr="00EA39AC" w:rsidRDefault="0054151D" w:rsidP="00EB5684">
      <w:pPr>
        <w:spacing w:after="180" w:line="276" w:lineRule="auto"/>
        <w:jc w:val="both"/>
      </w:pPr>
      <w:r w:rsidRPr="00EA39AC">
        <w:t xml:space="preserve">Machine learning offers a fundamentally different path. Instead of encoding biochemical assumptions that may or may not hold for a given patient, ML models learn empirical relationships directly from data, capturing nonlinear interactions and edge-case patterns that no formula can anticipate. Prior work suggests ML can meaningfully outperform conventional equations in </w:t>
      </w:r>
      <w:proofErr w:type="spellStart"/>
      <w:r w:rsidRPr="00EA39AC">
        <w:t>hypertriglyceridemic</w:t>
      </w:r>
      <w:proofErr w:type="spellEnd"/>
      <w:r w:rsidRPr="00EA39AC">
        <w:t xml:space="preserve"> samples [9–11]. Ensemble approaches like Random Forest, </w:t>
      </w:r>
      <w:proofErr w:type="spellStart"/>
      <w:r w:rsidRPr="00EA39AC">
        <w:t>XGBoost</w:t>
      </w:r>
      <w:proofErr w:type="spellEnd"/>
      <w:r w:rsidRPr="00EA39AC">
        <w:t xml:space="preserve">, and </w:t>
      </w:r>
      <w:proofErr w:type="spellStart"/>
      <w:r w:rsidRPr="00EA39AC">
        <w:t>CatBoost</w:t>
      </w:r>
      <w:proofErr w:type="spellEnd"/>
      <w:r w:rsidRPr="00EA39AC">
        <w:t xml:space="preserve"> are particularly well-suited to structured biomedical datasets because they manage variance effectively and handle complex feature interactions [15–17].</w:t>
      </w:r>
    </w:p>
    <w:p w:rsidR="00CA5FAA" w:rsidRPr="00EA39AC" w:rsidRDefault="0054151D" w:rsidP="00EB5684">
      <w:pPr>
        <w:spacing w:after="180" w:line="276" w:lineRule="auto"/>
        <w:jc w:val="both"/>
      </w:pPr>
      <w:r w:rsidRPr="00EA39AC">
        <w:t xml:space="preserve">The gap in the existing literature, though, is that most ML studies stop at prediction accuracy. They don't seriously engage with the quality control requirements that clinical labs actually work under. Accredited laboratories validate results using structured QC systems—Westgard multi-rule procedures being the standard—precisely to ensure that the numbers released to clinicians are trustworthy [12,13]. A model that scores well on a benchmark but occasionally generates </w:t>
      </w:r>
      <w:r w:rsidRPr="00EA39AC">
        <w:lastRenderedPageBreak/>
        <w:t xml:space="preserve">implausible values is not ready for clinical deployment. Integrating QC principles into ML-based LDL-C prediction is, in our view, not optional—it's what responsible real-world implementation looks like. A QC-aware post-prediction layer can flag and moderate analytically extreme outputs while leaving the core model's </w:t>
      </w:r>
      <w:proofErr w:type="spellStart"/>
      <w:r w:rsidRPr="00EA39AC">
        <w:t>behavior</w:t>
      </w:r>
      <w:proofErr w:type="spellEnd"/>
      <w:r w:rsidRPr="00EA39AC">
        <w:t xml:space="preserve"> intact, and this aligns squarely with what ISO 15189 requires of accredited labs [14].</w:t>
      </w:r>
    </w:p>
    <w:p w:rsidR="00CA5FAA" w:rsidRPr="00EA39AC" w:rsidRDefault="0054151D" w:rsidP="00EB5684">
      <w:pPr>
        <w:spacing w:after="180" w:line="276" w:lineRule="auto"/>
        <w:jc w:val="both"/>
      </w:pPr>
      <w:r w:rsidRPr="00EA39AC">
        <w:t>This study was designed with all of that in mind. We developed and validated a QC-aware ML framework for LDL-C estimation in the Indian population, comparing four regression algorithms—</w:t>
      </w:r>
      <w:proofErr w:type="spellStart"/>
      <w:r w:rsidRPr="00EA39AC">
        <w:t>CatBoost</w:t>
      </w:r>
      <w:proofErr w:type="spellEnd"/>
      <w:r w:rsidRPr="00EA39AC">
        <w:t xml:space="preserve"> [17], </w:t>
      </w:r>
      <w:proofErr w:type="spellStart"/>
      <w:r w:rsidRPr="00EA39AC">
        <w:t>XGBoost</w:t>
      </w:r>
      <w:proofErr w:type="spellEnd"/>
      <w:r w:rsidRPr="00EA39AC">
        <w:t xml:space="preserve"> [16], Random Forest [15], and Support Vector Regression [18]—against the established formulas, with a particular focus on what happens at elevated triglyceride levels and across different patient demographics.</w:t>
      </w: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 Materials and Methods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2.1 Study Design, Data Source, and Dataset Partitioning</w:t>
      </w:r>
    </w:p>
    <w:p w:rsidR="00CA5FAA" w:rsidRPr="00EA39AC" w:rsidRDefault="0054151D" w:rsidP="00EB5684">
      <w:pPr>
        <w:spacing w:after="180" w:line="276" w:lineRule="auto"/>
        <w:jc w:val="both"/>
      </w:pPr>
      <w:r w:rsidRPr="00EA39AC">
        <w:t>This was a retrospective observational analysis of lipid panel data generated during routine care at a tertiary clinical laboratory, comprising 15,954 lipid profiles in total. All measurements were performed as part of standard patient workup. Data were extracted from the laboratory information system in fully anonymized form before any analysis began, and because this involved secondary use of de-identified routine data, the study was considered minimal risk with no requirement for formal informed consent. Records with missing values for TC, TG, HDL-C, or directly measured LDL-C, or with biologically implausible lipid values, were excluded prior to analysis.</w:t>
      </w:r>
    </w:p>
    <w:p w:rsidR="00CA5FAA" w:rsidRPr="00EA39AC" w:rsidRDefault="0054151D" w:rsidP="00EB5684">
      <w:pPr>
        <w:spacing w:after="180" w:line="276" w:lineRule="auto"/>
        <w:jc w:val="both"/>
      </w:pPr>
      <w:r w:rsidRPr="00EA39AC">
        <w:t>To reflect realistic deployment conditions and avoid any data leakage between training and evaluation, the dataset was divided chronologically into two non-overlapping groups. The development cohort comprised 12,763 samples collected from January through September 2024 and was used for all model training and initial performance assessment. The validation cohort comprised 3,191 samples from October through December 2024 and was kept entirely separate until training was complete, serving as a test of how the framework would perform under real laboratory conditions over time. Baseline characteristics of the full study population are summarized in Table 1.</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2.2 Laboratory Measurements and Reference Standard</w:t>
      </w:r>
    </w:p>
    <w:p w:rsidR="00CA5FAA" w:rsidRPr="00EA39AC" w:rsidRDefault="0054151D" w:rsidP="00EB5684">
      <w:pPr>
        <w:spacing w:after="180" w:line="276" w:lineRule="auto"/>
        <w:jc w:val="both"/>
      </w:pPr>
      <w:r w:rsidRPr="00EA39AC">
        <w:t xml:space="preserve">All lipid parameters—TC, TG, HDL-C, and LDL-C—were measured on Beckman Coulter AU5800 automated </w:t>
      </w:r>
      <w:proofErr w:type="spellStart"/>
      <w:r w:rsidRPr="00EA39AC">
        <w:t>analyzers</w:t>
      </w:r>
      <w:proofErr w:type="spellEnd"/>
      <w:r w:rsidRPr="00EA39AC">
        <w:t xml:space="preserve"> following manufacturer specifications and internal QA protocols. Directly measured LDL-C served as the reference standard for all comparisons. LDL-C was also estimated using three established formulas:</w:t>
      </w:r>
    </w:p>
    <w:p w:rsidR="00CA5FAA" w:rsidRPr="00EA39AC" w:rsidRDefault="0054151D" w:rsidP="00EB5684">
      <w:pPr>
        <w:spacing w:after="180" w:line="276" w:lineRule="auto"/>
        <w:jc w:val="both"/>
      </w:pPr>
      <w:r w:rsidRPr="00EA39AC">
        <w:rPr>
          <w:b/>
          <w:bCs/>
        </w:rPr>
        <w:t xml:space="preserve">1. </w:t>
      </w:r>
      <w:proofErr w:type="spellStart"/>
      <w:r w:rsidRPr="00EA39AC">
        <w:rPr>
          <w:b/>
          <w:bCs/>
        </w:rPr>
        <w:t>Friedewald</w:t>
      </w:r>
      <w:proofErr w:type="spellEnd"/>
      <w:r w:rsidRPr="00EA39AC">
        <w:rPr>
          <w:b/>
          <w:bCs/>
        </w:rPr>
        <w:t xml:space="preserve"> formula [2]: </w:t>
      </w:r>
      <w:r w:rsidRPr="00EA39AC">
        <w:t>LDL-C = TC − HDL-C − (TG/5)</w:t>
      </w:r>
    </w:p>
    <w:p w:rsidR="00CA5FAA" w:rsidRPr="00EA39AC" w:rsidRDefault="0054151D" w:rsidP="00EB5684">
      <w:pPr>
        <w:spacing w:after="180" w:line="276" w:lineRule="auto"/>
        <w:jc w:val="both"/>
      </w:pPr>
      <w:r w:rsidRPr="00EA39AC">
        <w:rPr>
          <w:b/>
          <w:bCs/>
        </w:rPr>
        <w:t xml:space="preserve">2. Martin–Hopkins method [3,4]: </w:t>
      </w:r>
      <w:r w:rsidRPr="00EA39AC">
        <w:t>LDL-C = TC − HDL-C − TG/ζ, where ζ is an adjustable TG divisor</w:t>
      </w:r>
    </w:p>
    <w:p w:rsidR="00CA5FAA" w:rsidRPr="00EA39AC" w:rsidRDefault="0054151D" w:rsidP="00EB5684">
      <w:pPr>
        <w:spacing w:after="180" w:line="276" w:lineRule="auto"/>
        <w:jc w:val="both"/>
      </w:pPr>
      <w:r w:rsidRPr="00EA39AC">
        <w:rPr>
          <w:b/>
          <w:bCs/>
        </w:rPr>
        <w:lastRenderedPageBreak/>
        <w:t xml:space="preserve">3. Sampson–NIH equation [5]: </w:t>
      </w:r>
      <w:r w:rsidRPr="00EA39AC">
        <w:t>LDL-C = 0.948TC − 0.971HDL-C − (8.56TG + 2140TG×(TC−HDL-C) − 16100TG²) − 9.44</w:t>
      </w:r>
    </w:p>
    <w:p w:rsidR="00CA5FAA" w:rsidRPr="00EA39AC" w:rsidRDefault="0054151D" w:rsidP="00EB5684">
      <w:pPr>
        <w:spacing w:after="180" w:line="276" w:lineRule="auto"/>
        <w:jc w:val="both"/>
      </w:pPr>
      <w:r w:rsidRPr="00EA39AC">
        <w:t>All formulas were implemented exactly as originally described, without modification.</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2.3 Feature Selection Strategy</w:t>
      </w:r>
    </w:p>
    <w:p w:rsidR="00CA5FAA" w:rsidRPr="00EA39AC" w:rsidRDefault="0054151D" w:rsidP="00EB5684">
      <w:pPr>
        <w:spacing w:after="180" w:line="276" w:lineRule="auto"/>
        <w:jc w:val="both"/>
      </w:pPr>
      <w:r w:rsidRPr="00EA39AC">
        <w:t>Models were trained on the three biochemical values in any standard lipid panel: total cholesterol, triglycerides, and HDL-cholesterol. Age and gender were deliberately excluded—LDL-C is reported based on lipid values alone in routine practice, and including demographic variables risks encoding population-specific biases that limit portability. Demographic performance was instead assessed through post hoc subgroup analyses (Supplementary Tables S3 and S4).</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2.4 Machine Learning Models</w:t>
      </w:r>
    </w:p>
    <w:p w:rsidR="00CA5FAA" w:rsidRPr="00EA39AC" w:rsidRDefault="0054151D" w:rsidP="00EB5684">
      <w:pPr>
        <w:spacing w:after="180" w:line="276" w:lineRule="auto"/>
        <w:jc w:val="both"/>
      </w:pPr>
      <w:r w:rsidRPr="00EA39AC">
        <w:t xml:space="preserve">Four supervised regression algorithms were included in this evaluation. </w:t>
      </w:r>
      <w:proofErr w:type="spellStart"/>
      <w:r w:rsidRPr="00EA39AC">
        <w:t>CatBoost</w:t>
      </w:r>
      <w:proofErr w:type="spellEnd"/>
      <w:r w:rsidRPr="00EA39AC">
        <w:t xml:space="preserve"> </w:t>
      </w:r>
      <w:proofErr w:type="spellStart"/>
      <w:r w:rsidRPr="00EA39AC">
        <w:t>Regressor</w:t>
      </w:r>
      <w:proofErr w:type="spellEnd"/>
      <w:r w:rsidRPr="00EA39AC">
        <w:t xml:space="preserve"> [17] was selected for its ability to minimize prediction bias through ordered boosting and symmetric tree structures; originally developed to handle categorical features, its gradient boosting foundation translates well to structured biomedical data. </w:t>
      </w:r>
      <w:proofErr w:type="spellStart"/>
      <w:r w:rsidRPr="00EA39AC">
        <w:t>XGBoost</w:t>
      </w:r>
      <w:proofErr w:type="spellEnd"/>
      <w:r w:rsidRPr="00EA39AC">
        <w:t xml:space="preserve"> </w:t>
      </w:r>
      <w:proofErr w:type="spellStart"/>
      <w:r w:rsidRPr="00EA39AC">
        <w:t>Regressor</w:t>
      </w:r>
      <w:proofErr w:type="spellEnd"/>
      <w:r w:rsidRPr="00EA39AC">
        <w:t xml:space="preserve"> [16] applies regularized gradient boosting with shrinkage and subsampling strategies that help the model generalize beyond its training examples. Random Forest </w:t>
      </w:r>
      <w:proofErr w:type="spellStart"/>
      <w:r w:rsidRPr="00EA39AC">
        <w:t>Regressor</w:t>
      </w:r>
      <w:proofErr w:type="spellEnd"/>
      <w:r w:rsidRPr="00EA39AC">
        <w:t xml:space="preserve"> [15] is a classical ensemble approach that builds many independent decision trees and averages their outputs, reducing variance without requiring complex tuning. Support Vector Regression (SVR) [18] with a radial basis function kernel was included as a margin-based approach capable of capturing nonlinear relationships in a different way from the tree-based ensemble methods.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2.5 Model Training and Validation Strategy</w:t>
      </w:r>
    </w:p>
    <w:p w:rsidR="00CA5FAA" w:rsidRPr="00EA39AC" w:rsidRDefault="0054151D" w:rsidP="00EB5684">
      <w:pPr>
        <w:spacing w:after="180" w:line="276" w:lineRule="auto"/>
        <w:jc w:val="both"/>
      </w:pPr>
      <w:r w:rsidRPr="00EA39AC">
        <w:t xml:space="preserve">All model training was performed exclusively on the development dataset, with </w:t>
      </w:r>
      <w:proofErr w:type="spellStart"/>
      <w:r w:rsidRPr="00EA39AC">
        <w:t>hyperparameters</w:t>
      </w:r>
      <w:proofErr w:type="spellEnd"/>
      <w:r w:rsidRPr="00EA39AC">
        <w:t xml:space="preserve"> selected through cross-validation within this set, balancing accuracy and stability in equal measure. Gradient boosting models were configured with shallower trees and conservative learning rates to avoid overfitting on a dataset that carries the inherent noise of biochemical measurements. Random Forest parameters were set to give the model enough flexibility to capture relevant patterns while maintaining ensemble stability. SVR was trained with moderate regularization to account for the same analytical variability. The validation dataset was not accessed at any point during training or tuning.</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2.6 Quality Control (QC)–Aware Post-Prediction Module</w:t>
      </w:r>
    </w:p>
    <w:p w:rsidR="00CA5FAA" w:rsidRPr="00EA39AC" w:rsidRDefault="0054151D" w:rsidP="00EB5684">
      <w:pPr>
        <w:spacing w:after="180" w:line="276" w:lineRule="auto"/>
        <w:jc w:val="both"/>
      </w:pPr>
      <w:r w:rsidRPr="00EA39AC">
        <w:t xml:space="preserve">After generating a predicted LDL-C value, the QC module compares it against reference thresholds derived from the distribution of directly measured LDL-C in the development dataset, following the logic of Westgard multi-rule quality control [12,13]. Predictions exceeding ±3 standard deviations from the reference mean are flagged as analytically implausible and capped at ±2 </w:t>
      </w:r>
      <w:r w:rsidRPr="00EA39AC">
        <w:lastRenderedPageBreak/>
        <w:t>standard deviations rather than discarded. This module operates strictly after prediction and has no influence on model training, keeping the two steps methodologically independent.</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2.7 Statistical Analysis</w:t>
      </w:r>
    </w:p>
    <w:p w:rsidR="00CA5FAA" w:rsidRPr="00EA39AC" w:rsidRDefault="0054151D" w:rsidP="00EB5684">
      <w:pPr>
        <w:spacing w:after="180" w:line="276" w:lineRule="auto"/>
        <w:jc w:val="both"/>
      </w:pPr>
      <w:r w:rsidRPr="00EA39AC">
        <w:t>Performance was assessed using R², MSE, and Pearson correlation coefficient, with agreement visualized through scatter plots, residual analyses, and Bland–Altman plots. Subgroup analyses were conducted across predefined TG strata and demographic categories using Python scientific computing libraries.</w:t>
      </w:r>
    </w:p>
    <w:p w:rsidR="00EA39AC" w:rsidRPr="00EA39AC" w:rsidRDefault="00EA39AC" w:rsidP="00EB5684">
      <w:pPr>
        <w:spacing w:after="180" w:line="276" w:lineRule="auto"/>
        <w:jc w:val="both"/>
      </w:pP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2.8 Ethical Considerations</w:t>
      </w:r>
    </w:p>
    <w:p w:rsidR="00CA5FAA" w:rsidRPr="00EA39AC" w:rsidRDefault="0054151D" w:rsidP="00EB5684">
      <w:pPr>
        <w:spacing w:after="180" w:line="276" w:lineRule="auto"/>
        <w:jc w:val="both"/>
      </w:pPr>
      <w:r w:rsidRPr="00EA39AC">
        <w:t>The study protocol was reviewed by the Institutional Ethics Committee and granted exemption from formal approval given its minimal-risk nature (IEC Reference No.: AIG/IEC-Post BH&amp;R 64/11.2024-02). The requirement for informed consent was waived.</w:t>
      </w: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 Results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3.1 Dataset Overview and Model Training Behaviour</w:t>
      </w:r>
    </w:p>
    <w:p w:rsidR="00CA5FAA" w:rsidRPr="00EA39AC" w:rsidRDefault="0054151D" w:rsidP="00EB5684">
      <w:pPr>
        <w:spacing w:after="180" w:line="276" w:lineRule="auto"/>
        <w:jc w:val="both"/>
      </w:pPr>
      <w:r w:rsidRPr="00EA39AC">
        <w:t xml:space="preserve">The dataset was split into development and validation cohorts as described (Figure 1). Learning curve analysis showed steady improvement in model generalization as training data grew (Figure 3). The ensemble-based models converged without any widening between training and validation performance—which is exactly what you want to see and argues against meaningful overfitting. Random Forest showed the most </w:t>
      </w:r>
      <w:proofErr w:type="spellStart"/>
      <w:r w:rsidRPr="00EA39AC">
        <w:t>favorable</w:t>
      </w:r>
      <w:proofErr w:type="spellEnd"/>
      <w:r w:rsidRPr="00EA39AC">
        <w:t xml:space="preserve"> bias–variance balance, with a training R² of 0.954 and a validation R² of 0.818, and a comparatively low MSE of 75.27 mg²/dL². </w:t>
      </w:r>
      <w:proofErr w:type="spellStart"/>
      <w:r w:rsidRPr="00EA39AC">
        <w:t>XGBoost</w:t>
      </w:r>
      <w:proofErr w:type="spellEnd"/>
      <w:r w:rsidRPr="00EA39AC">
        <w:t xml:space="preserve"> performed strongly as well (train R² 0.912; validation R² 0.794), and </w:t>
      </w:r>
      <w:proofErr w:type="spellStart"/>
      <w:r w:rsidRPr="00EA39AC">
        <w:t>CatBoost</w:t>
      </w:r>
      <w:proofErr w:type="spellEnd"/>
      <w:r w:rsidRPr="00EA39AC">
        <w:t xml:space="preserve"> demonstrated solid generalization (train R² 0.872; validation R² 0.822). SVR was the least consistent of the four, particularly at higher LDL-C values (Figure 3).</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3.2 Internal Validation: Direct vs. Predicted LDL-C</w:t>
      </w:r>
    </w:p>
    <w:p w:rsidR="00CA5FAA" w:rsidRPr="00EA39AC" w:rsidRDefault="0054151D" w:rsidP="00EB5684">
      <w:pPr>
        <w:spacing w:after="180" w:line="276" w:lineRule="auto"/>
        <w:jc w:val="both"/>
      </w:pPr>
      <w:r w:rsidRPr="00EA39AC">
        <w:t xml:space="preserve">Scatter plots are shown in Figure 4. Random Forest produced the strongest internal agreement (R² = 0.973; PCC = 0.987; MSE = 40.34), followed by </w:t>
      </w:r>
      <w:proofErr w:type="spellStart"/>
      <w:r w:rsidRPr="00EA39AC">
        <w:t>XGBoost</w:t>
      </w:r>
      <w:proofErr w:type="spellEnd"/>
      <w:r w:rsidRPr="00EA39AC">
        <w:t xml:space="preserve"> (R² = 0.900; PCC = 0.949; MSE = 153.89) and </w:t>
      </w:r>
      <w:proofErr w:type="spellStart"/>
      <w:r w:rsidRPr="00EA39AC">
        <w:t>CatBoost</w:t>
      </w:r>
      <w:proofErr w:type="spellEnd"/>
      <w:r w:rsidRPr="00EA39AC">
        <w:t xml:space="preserve"> (R² = 0.868; PCC = 0.932; MSE = 202.12). SVR trailed the ensemble methods (R² = 0.814; PCC = 0.904). Residual analysis (Figure 5) confirmed symmetric, near-zero error distribution for ensemble models with minimal systematic bias; SVR residuals spread progressively at higher LDL-C values. Full internal validation performance for all models and formula-based methods is presented in Table 2.</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3.3 Temporal Validation Cohort</w:t>
      </w:r>
    </w:p>
    <w:p w:rsidR="00CA5FAA" w:rsidRPr="00EA39AC" w:rsidRDefault="0054151D" w:rsidP="00EB5684">
      <w:pPr>
        <w:spacing w:after="180" w:line="276" w:lineRule="auto"/>
        <w:jc w:val="both"/>
      </w:pPr>
      <w:r w:rsidRPr="00EA39AC">
        <w:lastRenderedPageBreak/>
        <w:t xml:space="preserve">On the temporally distinct validation dataset (Figure 6), performance rankings remained consistent. Random Forest held its ground as the top performer (R² = 0.976; PCC = 0.989; MSE = 36.27), affirming that its accuracy was not an </w:t>
      </w:r>
      <w:proofErr w:type="spellStart"/>
      <w:r w:rsidRPr="00EA39AC">
        <w:t>artifact</w:t>
      </w:r>
      <w:proofErr w:type="spellEnd"/>
      <w:r w:rsidRPr="00EA39AC">
        <w:t xml:space="preserve"> of the training period. </w:t>
      </w:r>
      <w:proofErr w:type="spellStart"/>
      <w:r w:rsidRPr="00EA39AC">
        <w:t>XGBoost</w:t>
      </w:r>
      <w:proofErr w:type="spellEnd"/>
      <w:r w:rsidRPr="00EA39AC">
        <w:t xml:space="preserve"> followed closely (R² = 0.954), with </w:t>
      </w:r>
      <w:proofErr w:type="spellStart"/>
      <w:r w:rsidRPr="00EA39AC">
        <w:t>CatBoost</w:t>
      </w:r>
      <w:proofErr w:type="spellEnd"/>
      <w:r w:rsidRPr="00EA39AC">
        <w:t xml:space="preserve"> not far behind (R² = 0.893). SVR again showed relatively lower performance (R² = 0.858). The fact that all models performed comparably—or better—on the validation set as on the development set suggests none of them are tuned too tightly to any particular slice of time in the training data. Temporal validation results for all methods are shown in Table 3.</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3.4 Residual Patterns Across Triglyceride Levels</w:t>
      </w:r>
    </w:p>
    <w:p w:rsidR="00D81AED" w:rsidRPr="00EA39AC" w:rsidRDefault="0054151D" w:rsidP="00EB5684">
      <w:pPr>
        <w:spacing w:after="180" w:line="276" w:lineRule="auto"/>
        <w:jc w:val="both"/>
      </w:pPr>
      <w:r w:rsidRPr="00EA39AC">
        <w:t>TG-stratified residual analysis is shown in Figure 8. Formula-based methods deteriorated consistently as TG increased. At TG ≥400 mg/</w:t>
      </w:r>
      <w:proofErr w:type="spellStart"/>
      <w:r w:rsidRPr="00EA39AC">
        <w:t>dL</w:t>
      </w:r>
      <w:proofErr w:type="spellEnd"/>
      <w:r w:rsidRPr="00EA39AC">
        <w:t xml:space="preserve">, </w:t>
      </w:r>
      <w:proofErr w:type="spellStart"/>
      <w:r w:rsidRPr="00EA39AC">
        <w:t>Friedewald</w:t>
      </w:r>
      <w:proofErr w:type="spellEnd"/>
      <w:r w:rsidRPr="00EA39AC">
        <w:t xml:space="preserve"> and Martin both produced negative R² values (Figure 9; Table 4)—meaning they performed worse than simply predicting the dataset mean for every patient. Sampson–NIH showed even greater deterioration, with R² reaching −1.607 at TG ≥400 mg/</w:t>
      </w:r>
      <w:proofErr w:type="spellStart"/>
      <w:r w:rsidRPr="00EA39AC">
        <w:t>dL</w:t>
      </w:r>
      <w:proofErr w:type="spellEnd"/>
      <w:r w:rsidRPr="00EA39AC">
        <w:t>. ML models behaved very differently: Random Forest maintained stable performance across all TG strata (R² = 0.916 even at TG ≥400 mg/</w:t>
      </w:r>
      <w:proofErr w:type="spellStart"/>
      <w:r w:rsidRPr="00EA39AC">
        <w:t>dL</w:t>
      </w:r>
      <w:proofErr w:type="spellEnd"/>
      <w:r w:rsidRPr="00EA39AC">
        <w:t xml:space="preserve">), while </w:t>
      </w:r>
      <w:proofErr w:type="spellStart"/>
      <w:r w:rsidRPr="00EA39AC">
        <w:t>XGBoost</w:t>
      </w:r>
      <w:proofErr w:type="spellEnd"/>
      <w:r w:rsidRPr="00EA39AC">
        <w:t xml:space="preserve"> and </w:t>
      </w:r>
      <w:proofErr w:type="spellStart"/>
      <w:r w:rsidRPr="00EA39AC">
        <w:t>CatBoost</w:t>
      </w:r>
      <w:proofErr w:type="spellEnd"/>
      <w:r w:rsidRPr="00EA39AC">
        <w:t xml:space="preserve"> showed only mild attenuation at the most extreme concentrations—consistent with their freedom from fixed </w:t>
      </w:r>
      <w:proofErr w:type="gramStart"/>
      <w:r w:rsidRPr="00EA39AC">
        <w:t>TG:VLDL</w:t>
      </w:r>
      <w:proofErr w:type="gramEnd"/>
      <w:r w:rsidRPr="00EA39AC">
        <w:t xml:space="preserve"> assumptions. Detailed TG-stratified performance metrics are presented in Table 4.</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3.5 Effect of QC-Aware Module</w:t>
      </w:r>
    </w:p>
    <w:p w:rsidR="00CA5FAA" w:rsidRPr="00EA39AC" w:rsidRDefault="0054151D" w:rsidP="00EB5684">
      <w:pPr>
        <w:spacing w:after="180" w:line="276" w:lineRule="auto"/>
        <w:jc w:val="both"/>
      </w:pPr>
      <w:r w:rsidRPr="00EA39AC">
        <w:t>Figure S1 shows residual distributions before and after QC application. The module reduced extreme deviations without disturbing the central cluster of predictions. Overlay analysis (Figures 7 and S2) confirms outlier compression without altering overall distribution symmetry. Bland–Altman plots (Figure S3) showed minimal mean bias and narrower limits of agreement after QC integration. Impact was greatest in high-TG samples—precisely where model uncertainty and analytical variability are highest. The quantitative impact of QC integration on key performance metrics is summarized in the supplementary QC analysis table.</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3.6 Multi-Model Feature Importance</w:t>
      </w:r>
    </w:p>
    <w:p w:rsidR="00CA5FAA" w:rsidRPr="00EA39AC" w:rsidRDefault="0054151D" w:rsidP="00EB5684">
      <w:pPr>
        <w:spacing w:after="180" w:line="276" w:lineRule="auto"/>
        <w:jc w:val="both"/>
      </w:pPr>
      <w:r w:rsidRPr="00EA39AC">
        <w:t>Feature importance analysis, pooled across all four models, showed that total cholesterol accounted for approximately 80% of predictive weight, with triglycerides and HDL-C each contributing smaller but meaningful proportions (Figure 2). This distribution reflects what we know about LDL-C biochemistry—it is a direct derivative of total cholesterol fractions—and it gives us some confidence that the models are capturing real physiological signal rather than spurious patterns in the data.</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3.7 Age and Gender Subgroup Analysis</w:t>
      </w:r>
    </w:p>
    <w:p w:rsidR="00CA5FAA" w:rsidRPr="00EA39AC" w:rsidRDefault="0054151D" w:rsidP="00EB5684">
      <w:pPr>
        <w:spacing w:after="180" w:line="276" w:lineRule="auto"/>
        <w:jc w:val="both"/>
      </w:pPr>
      <w:r w:rsidRPr="00EA39AC">
        <w:t xml:space="preserve">Performance was stable across all demographic subgroups (Supplementary Table S3 and S4; Figure R² by Age Group and Gender). Random Forest achieved R² values of 0.968–0.978 across </w:t>
      </w:r>
      <w:r w:rsidRPr="00EA39AC">
        <w:lastRenderedPageBreak/>
        <w:t>age groups under 40, 40–60, and over 60, with similar consistency across genders—R² = 0.963 in females and R² = 0.978 in males. Excluding age and gender from model inputs did not compromise predictive accuracy, supporting the view that these models are both fair and portable across patient populations. Full gender- and age-stratified performance metrics are provided in Supplementary Tables S3 and S4, respectively.</w:t>
      </w: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4. Discussion</w:t>
      </w:r>
    </w:p>
    <w:p w:rsidR="00CA5FAA" w:rsidRPr="00EA39AC" w:rsidRDefault="0054151D" w:rsidP="00EB5684">
      <w:pPr>
        <w:spacing w:after="180" w:line="276" w:lineRule="auto"/>
        <w:jc w:val="both"/>
      </w:pPr>
      <w:r w:rsidRPr="00EA39AC">
        <w:t xml:space="preserve">This retrospective study set out to do two things: build a QC-aware machine learning framework for LDL-C estimation, and test it honestly against the calculation methods that clinical labs actually use. On both fronts, the results are encouraging. ML models consistently outperformed traditional formulas across the development and validation datasets (Tables 2 and 3). That performance advantage was most pronounced precisely where it matters most clinically—in </w:t>
      </w:r>
      <w:proofErr w:type="spellStart"/>
      <w:r w:rsidRPr="00EA39AC">
        <w:t>hypertriglyceridemic</w:t>
      </w:r>
      <w:proofErr w:type="spellEnd"/>
      <w:r w:rsidRPr="00EA39AC">
        <w:t xml:space="preserve"> samples, where formula-based methods showed clear analytical deterioration (Table 4; Figures 8 and 9). And the QC module did what it was designed to do: it moderated extreme predictions without compromising the overall accuracy of the framework (Figures S1–S3). Taken together, these findings suggest that ML-based LDL-C estimation, properly embedded within a laboratory QC framework, is a realistic and analytically sound alternative to conventional formula-based methods.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4.1 Reconsidering the Limitations of Formula-Based Estimation</w:t>
      </w:r>
    </w:p>
    <w:p w:rsidR="00CA5FAA" w:rsidRPr="00EA39AC" w:rsidRDefault="0054151D" w:rsidP="00EB5684">
      <w:pPr>
        <w:spacing w:after="180" w:line="276" w:lineRule="auto"/>
        <w:jc w:val="both"/>
      </w:pPr>
      <w:r w:rsidRPr="00EA39AC">
        <w:t xml:space="preserve">The </w:t>
      </w:r>
      <w:proofErr w:type="spellStart"/>
      <w:r w:rsidRPr="00EA39AC">
        <w:t>Friedewald</w:t>
      </w:r>
      <w:proofErr w:type="spellEnd"/>
      <w:r w:rsidRPr="00EA39AC">
        <w:t xml:space="preserve"> equation has delivered useful LDL-C estimates for over fifty years, and its simplicity is genuinely hard to argue with [2]. The issue isn't the simplicity—it's the assumption embedded in it. Fixing the </w:t>
      </w:r>
      <w:proofErr w:type="gramStart"/>
      <w:r w:rsidRPr="00EA39AC">
        <w:t>TG:VLDL</w:t>
      </w:r>
      <w:proofErr w:type="gramEnd"/>
      <w:r w:rsidRPr="00EA39AC">
        <w:t>-C ratio works reasonably under normal metabolic conditions, but in patients with diabetes, metabolic syndrome, obesity, or frank hypertriglyceridemia, that ratio shifts and estimates become systematically unreliable [3,6]. The Martin–Hopkins and Sampson–NIH methods genuinely help in the moderate TG range, but our analysis shows both still break down above 400 mg/</w:t>
      </w:r>
      <w:proofErr w:type="spellStart"/>
      <w:r w:rsidRPr="00EA39AC">
        <w:t>dL</w:t>
      </w:r>
      <w:proofErr w:type="spellEnd"/>
      <w:r w:rsidRPr="00EA39AC">
        <w:t xml:space="preserve"> (Table 4, Figure 9). Negative R² values at that level—as low as −1.607 for Sampson–NIH—mean these formulas are less useful than a naive population mean: a real clinical problem when the goal is individualizing risk. The widening residual scatter in Figure 8 illustrates the mechanism: as TG rises, ratio-based assumptions fail progressively and errors accumulate.</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4.2 Why Machine Learning Models Demonstrate Superior Stability</w:t>
      </w:r>
    </w:p>
    <w:p w:rsidR="00CA5FAA" w:rsidRPr="00EA39AC" w:rsidRDefault="0054151D" w:rsidP="00EB5684">
      <w:pPr>
        <w:spacing w:after="180" w:line="276" w:lineRule="auto"/>
        <w:jc w:val="both"/>
      </w:pPr>
      <w:r w:rsidRPr="00EA39AC">
        <w:t xml:space="preserve">ML doesn't start from biochemical assumptions—it reads the data and learns what the data shows. This means the model isn't constrained by a fixed </w:t>
      </w:r>
      <w:proofErr w:type="gramStart"/>
      <w:r w:rsidRPr="00EA39AC">
        <w:t>TG:VLDL</w:t>
      </w:r>
      <w:proofErr w:type="gramEnd"/>
      <w:r w:rsidRPr="00EA39AC">
        <w:t xml:space="preserve"> relationship that breaks down in certain patients; instead, it captures nonlinear interactions among TC, TG, and HDL-C wherever they exist in the actual data distribution. In internal validation (Table 2, Figure 4), Random Forest and </w:t>
      </w:r>
      <w:proofErr w:type="spellStart"/>
      <w:r w:rsidRPr="00EA39AC">
        <w:t>XGBoost</w:t>
      </w:r>
      <w:proofErr w:type="spellEnd"/>
      <w:r w:rsidRPr="00EA39AC">
        <w:t xml:space="preserve"> both showed substantially better agreement with directly measured LDL-C than either the conventional formulas or SVR. Random Forest achieved the highest internal R² (0.951) and lowest MSE (75.27), and those numbers held up—and even improved slightly—in the </w:t>
      </w:r>
      <w:r w:rsidRPr="00EA39AC">
        <w:lastRenderedPageBreak/>
        <w:t>temporal validation dataset (Table 3, Figure 6), where it maintained R² = 0.969. The learning curve analysis (Figure 3) strengthens this picture: no widening gap between training and test performance across increasing dataset sizes, which is a reassuring signal that what we built generalizes rather than memorizes. Feature importance confirming TC at ~80% adds biological plausibility, confirming the model is tracking signal that has a real physiological basis.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 xml:space="preserve">4.3 Clinical Relevance in </w:t>
      </w:r>
      <w:proofErr w:type="spellStart"/>
      <w:r w:rsidRPr="00EA39AC">
        <w:rPr>
          <w:rFonts w:ascii="Times New Roman" w:hAnsi="Times New Roman" w:cs="Times New Roman"/>
          <w:sz w:val="24"/>
          <w:szCs w:val="24"/>
        </w:rPr>
        <w:t>Hypertriglyceridemic</w:t>
      </w:r>
      <w:proofErr w:type="spellEnd"/>
      <w:r w:rsidRPr="00EA39AC">
        <w:rPr>
          <w:rFonts w:ascii="Times New Roman" w:hAnsi="Times New Roman" w:cs="Times New Roman"/>
          <w:sz w:val="24"/>
          <w:szCs w:val="24"/>
        </w:rPr>
        <w:t xml:space="preserve"> States</w:t>
      </w:r>
    </w:p>
    <w:p w:rsidR="00CA5FAA" w:rsidRPr="00EA39AC" w:rsidRDefault="0054151D" w:rsidP="00EB5684">
      <w:pPr>
        <w:spacing w:after="180" w:line="276" w:lineRule="auto"/>
        <w:jc w:val="both"/>
      </w:pPr>
      <w:r w:rsidRPr="00EA39AC">
        <w:t>High triglycerides represent one of the most analytically difficult scenarios for LDL-C estimation, and not by coincidence—elevated TG is associated with shifts in VLDL composition and increases in chylomicron remnants that directly undermine ratio-based calculations. Current guidelines already acknowledge this, recommending caution or direct measurement when TG exceeds 400 mg/</w:t>
      </w:r>
      <w:proofErr w:type="spellStart"/>
      <w:r w:rsidRPr="00EA39AC">
        <w:t>dL</w:t>
      </w:r>
      <w:proofErr w:type="spellEnd"/>
      <w:r w:rsidRPr="00EA39AC">
        <w:t xml:space="preserve"> [8]. Our stratified analysis (Table 4, Figure 9) shows that ML models maintain meaningful R² and MSE values even in the ≥400 mg/</w:t>
      </w:r>
      <w:proofErr w:type="spellStart"/>
      <w:r w:rsidRPr="00EA39AC">
        <w:t>dL</w:t>
      </w:r>
      <w:proofErr w:type="spellEnd"/>
      <w:r w:rsidRPr="00EA39AC">
        <w:t xml:space="preserve"> subgroup—a range where formula-based methods have already started deteriorating beyond 300 mg/</w:t>
      </w:r>
      <w:proofErr w:type="spellStart"/>
      <w:r w:rsidRPr="00EA39AC">
        <w:t>dL</w:t>
      </w:r>
      <w:proofErr w:type="spellEnd"/>
      <w:r w:rsidRPr="00EA39AC">
        <w:t>. The residual dispersion patterns in Figure 8 tell the same story in a different way. For laboratories where the cost or logistics of direct LDL-C measurement make routine use impractical, ML-based estimation may provide a far more dependable computational alternative than any of the established formulas.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4.4 Integration of QC: From Predictive Accuracy to Laboratory Governance</w:t>
      </w:r>
    </w:p>
    <w:p w:rsidR="00CA5FAA" w:rsidRPr="00EA39AC" w:rsidRDefault="0054151D" w:rsidP="00EB5684">
      <w:pPr>
        <w:spacing w:after="180" w:line="276" w:lineRule="auto"/>
        <w:jc w:val="both"/>
      </w:pPr>
      <w:r w:rsidRPr="00EA39AC">
        <w:t>Most ML papers focus almost exclusively on prediction accuracy—R², MSE, correlation coefficients. What they rarely engage with is the operational reality of clinical laboratories, which must validate outputs through structured QC frameworks: Westgard multi-rule procedures [12,13], ISO 15189 accreditation standards [14], and delta checks. A model that produces analytically implausible values in edge cases—values that would be flagged and rejected from a measurement platform—cannot be safely deployed.</w:t>
      </w:r>
    </w:p>
    <w:p w:rsidR="00CA5FAA" w:rsidRPr="00EA39AC" w:rsidRDefault="0054151D" w:rsidP="00EB5684">
      <w:pPr>
        <w:spacing w:after="180" w:line="276" w:lineRule="auto"/>
        <w:jc w:val="both"/>
      </w:pPr>
      <w:r w:rsidRPr="00EA39AC">
        <w:t>Our QC module was designed to address this gap. It acts as a post-prediction validation step, flagging extreme outputs and moderating them within defensible analytical bounds, mimicking the safeguards laboratory professionals routinely apply to instrument-derived results. Figures S1 and S2 show it achieves this without distorting central predictions, and Bland–Altman analysis (Figure S3) confirms tightening limits of agreement after QC integration. Impact was greatest in high-TG samples—exactly where prediction uncertainty is highest—and because the module operates entirely after prediction, it has no influence on model training.</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4.5 Demographic Robustness and Fairness</w:t>
      </w:r>
    </w:p>
    <w:p w:rsidR="00CA5FAA" w:rsidRPr="00EA39AC" w:rsidRDefault="0054151D" w:rsidP="00EB5684">
      <w:pPr>
        <w:spacing w:after="180" w:line="276" w:lineRule="auto"/>
        <w:jc w:val="both"/>
      </w:pPr>
      <w:r w:rsidRPr="00EA39AC">
        <w:t xml:space="preserve">Age and gender both influence lipid metabolism in ways that are well-documented, but LDL-C reporting in routine laboratory practice doesn't adjust for them—and we didn't either, at least not during training. The decision to exclude demographic variables from the model inputs was deliberate: it keeps the model analytically consistent with how labs actually work and avoids encoding population-specific patterns that might limit generalizability. What matters, then, is </w:t>
      </w:r>
      <w:r w:rsidRPr="00EA39AC">
        <w:lastRenderedPageBreak/>
        <w:t xml:space="preserve">whether the model works equally well across different demographic groups—and the subgroup analysis shows that it does (Supplementary Tables S3 and S4). Random Forest maintained R² above 0.96 across all three age categories and both genders, with </w:t>
      </w:r>
      <w:proofErr w:type="spellStart"/>
      <w:r w:rsidRPr="00EA39AC">
        <w:t>XGBoost</w:t>
      </w:r>
      <w:proofErr w:type="spellEnd"/>
      <w:r w:rsidRPr="00EA39AC">
        <w:t xml:space="preserve"> and </w:t>
      </w:r>
      <w:proofErr w:type="spellStart"/>
      <w:r w:rsidRPr="00EA39AC">
        <w:t>CatBoost</w:t>
      </w:r>
      <w:proofErr w:type="spellEnd"/>
      <w:r w:rsidRPr="00EA39AC">
        <w:t xml:space="preserve"> showing similar stability. The absence of meaningful performance gaps across demographic strata is important both from a fairness standpoint and as evidence that these models should transfer well to diverse patient populations.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4.6 Practical Implications for Laboratory Implementation</w:t>
      </w:r>
    </w:p>
    <w:p w:rsidR="00CA5FAA" w:rsidRPr="00EA39AC" w:rsidRDefault="0054151D" w:rsidP="00EB5684">
      <w:pPr>
        <w:spacing w:after="180" w:line="276" w:lineRule="auto"/>
        <w:jc w:val="both"/>
      </w:pPr>
      <w:r w:rsidRPr="00EA39AC">
        <w:t xml:space="preserve">The practical case for ML-based LDL-C estimation in laboratory settings rests on several converging advantages: meaningfully better reliability in </w:t>
      </w:r>
      <w:proofErr w:type="spellStart"/>
      <w:r w:rsidRPr="00EA39AC">
        <w:t>hypertriglyceridemic</w:t>
      </w:r>
      <w:proofErr w:type="spellEnd"/>
      <w:r w:rsidRPr="00EA39AC">
        <w:t xml:space="preserve"> samples (Table 4; Figures 8 and 9); no dependence on fixed </w:t>
      </w:r>
      <w:proofErr w:type="gramStart"/>
      <w:r w:rsidRPr="00EA39AC">
        <w:t>TG:VLDL</w:t>
      </w:r>
      <w:proofErr w:type="gramEnd"/>
      <w:r w:rsidRPr="00EA39AC">
        <w:t xml:space="preserve"> ratio assumptions that break down in specific metabolic states [2–5]; the ability to adapt to the lipid distribution of local patient populations; and a design that fits naturally within existing QC workflows (Figures S1–S3). To be clear, this is not an argument for replacing direct LDL-C measurement in situations where it's clinically indicated. It is an argument that, for the large majority of patients managed through routine lipid panels, ML-based estimation can offer substantially better computational accuracy than the formulas currently in use—particularly in the kinds of high-TG, metabolically complex patients that are so common in the Indian population.</w:t>
      </w: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5. Conclusion</w:t>
      </w:r>
    </w:p>
    <w:p w:rsidR="00CA5FAA" w:rsidRDefault="0054151D" w:rsidP="00EB5684">
      <w:pPr>
        <w:spacing w:after="180" w:line="276" w:lineRule="auto"/>
        <w:jc w:val="both"/>
      </w:pPr>
      <w:r w:rsidRPr="00EA39AC">
        <w:t xml:space="preserve">We developed and validated a machine learning framework for LDL-C estimation that incorporates a quality control–aware validation layer—an element that is often missing from ML studies in this field but is essential for real-world clinical deployment. Across both the development and temporally distinct validation datasets (Tables 2 and 3), every ML model we evaluated agreed more closely with directly measured LDL-C than the </w:t>
      </w:r>
      <w:proofErr w:type="spellStart"/>
      <w:r w:rsidRPr="00EA39AC">
        <w:t>Friedewald</w:t>
      </w:r>
      <w:proofErr w:type="spellEnd"/>
      <w:r w:rsidRPr="00EA39AC">
        <w:t>, Martin–Hopkins, and Sampson–NIH formulas did. The advantage was most pronounced at triglycerides of 400 mg/</w:t>
      </w:r>
      <w:proofErr w:type="spellStart"/>
      <w:r w:rsidRPr="00EA39AC">
        <w:t>dL</w:t>
      </w:r>
      <w:proofErr w:type="spellEnd"/>
      <w:r w:rsidRPr="00EA39AC">
        <w:t xml:space="preserve"> or above (Table 4), where the traditional equations showed clear signs of analytical failure. Among the algorithms tested, the ensemble methods—Random Forest, </w:t>
      </w:r>
      <w:proofErr w:type="spellStart"/>
      <w:r w:rsidRPr="00EA39AC">
        <w:t>XGBoost</w:t>
      </w:r>
      <w:proofErr w:type="spellEnd"/>
      <w:r w:rsidRPr="00EA39AC">
        <w:t xml:space="preserve">, and </w:t>
      </w:r>
      <w:proofErr w:type="spellStart"/>
      <w:r w:rsidRPr="00EA39AC">
        <w:t>CatBoost</w:t>
      </w:r>
      <w:proofErr w:type="spellEnd"/>
      <w:r w:rsidRPr="00EA39AC">
        <w:t>—were the most stable and reproducible. Their ability to model nonlinear relationships across TC, TG, and HDL-C without rigid biochemical assumptions appears to be what insulates them from the TG-related deterioration that undermines formula-based estimation. The QC module adds a layer of analytical safety that brings the framework closer to how real clinical laboratories are expected to operate. Taken together, these findings make a reasonable case that a QC-aware machine learning approach deserves serious consideration as an alternative to conventional calculation-based LDL-C estimation—especially where direct measurement isn't routinely available or where formula-based methods are known to be unreliable.</w:t>
      </w:r>
    </w:p>
    <w:p w:rsidR="00EB5684" w:rsidRDefault="00EB5684" w:rsidP="00EB5684">
      <w:pPr>
        <w:spacing w:after="180" w:line="276" w:lineRule="auto"/>
        <w:jc w:val="both"/>
      </w:pPr>
    </w:p>
    <w:p w:rsidR="00EB5684" w:rsidRPr="00EA39AC" w:rsidRDefault="00EB5684" w:rsidP="00EB5684">
      <w:pPr>
        <w:spacing w:after="180" w:line="276" w:lineRule="auto"/>
        <w:jc w:val="both"/>
      </w:pP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lastRenderedPageBreak/>
        <w:t>6. Limitations</w:t>
      </w:r>
    </w:p>
    <w:p w:rsidR="00CA5FAA" w:rsidRPr="00EA39AC" w:rsidRDefault="0054151D" w:rsidP="00EB5684">
      <w:pPr>
        <w:spacing w:after="180" w:line="276" w:lineRule="auto"/>
        <w:jc w:val="both"/>
      </w:pPr>
      <w:r w:rsidRPr="00EA39AC">
        <w:t>Several limitations should be kept in mind when interpreting these results. This was a retrospective, single-</w:t>
      </w:r>
      <w:proofErr w:type="spellStart"/>
      <w:r w:rsidRPr="00EA39AC">
        <w:t>center</w:t>
      </w:r>
      <w:proofErr w:type="spellEnd"/>
      <w:r w:rsidRPr="00EA39AC">
        <w:t xml:space="preserve"> study, and some degree of selection bias is inherent in that design. Data from a single institution may not transfer cleanly to other labs, populations, or analytical platforms—patient demographics, lipid distributions, and instrument characteristics that shaped this dataset may differ meaningfully from those elsewhere. Temporal validation was performed internally, but external multi-</w:t>
      </w:r>
      <w:proofErr w:type="spellStart"/>
      <w:r w:rsidRPr="00EA39AC">
        <w:t>center</w:t>
      </w:r>
      <w:proofErr w:type="spellEnd"/>
      <w:r w:rsidRPr="00EA39AC">
        <w:t xml:space="preserve"> validation has not yet been done, and differences in instrumentation, calibration, and patient mix across sites could alter model performance. The evaluation was also limited to agreement with directly measured LDL-C; downstream clinical outcomes such as cardiovascular events or changes in treatment decisions were not examined. Finally, while the QC module was designed to align with Westgard-based quality principles, it relied on statistical thresholds rather than </w:t>
      </w:r>
      <w:proofErr w:type="spellStart"/>
      <w:r w:rsidRPr="00EA39AC">
        <w:t>analyzer</w:t>
      </w:r>
      <w:proofErr w:type="spellEnd"/>
      <w:r w:rsidRPr="00EA39AC">
        <w:t>-specific rule sets. Adaptation to individual laboratory platforms would likely be necessary before this framework could be widely implemented.</w:t>
      </w: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7. Future Directions</w:t>
      </w:r>
    </w:p>
    <w:p w:rsidR="00CA5FAA" w:rsidRDefault="0054151D" w:rsidP="00EB5684">
      <w:pPr>
        <w:spacing w:after="180" w:line="276" w:lineRule="auto"/>
        <w:jc w:val="both"/>
      </w:pPr>
      <w:r w:rsidRPr="00EA39AC">
        <w:t xml:space="preserve">The logical next step is external validation across multiple </w:t>
      </w:r>
      <w:r w:rsidR="00EA39AC" w:rsidRPr="00EA39AC">
        <w:t>centres</w:t>
      </w:r>
      <w:r w:rsidRPr="00EA39AC">
        <w:t xml:space="preserve"> and analytical systems—this is the evidence needed to confirm whether the performance seen here holds up in genuinely different environments. Prospective integration into live laboratory information systems would also be valuable, since demonstrating retrospective accuracy is only part of the story; real-time feasibility and clinician acceptance are equally important. The QC module has room to become more sophisticated—incorporating platform-specific control limits, delta checks, and longitudinal patient-level trends could sharpen its ability to catch analytically problematic predictions. And the most important question of all—whether better ML-predicted LDL-C values actually lead to better clinical decisions and better cardiovascular outcomes—can only be answered through prospective studies designed with that endpoint in mind.</w:t>
      </w:r>
    </w:p>
    <w:p w:rsidR="00EA39AC" w:rsidRDefault="00EA39AC" w:rsidP="00EB5684">
      <w:pPr>
        <w:spacing w:after="180" w:line="276" w:lineRule="auto"/>
        <w:jc w:val="both"/>
      </w:pPr>
    </w:p>
    <w:p w:rsidR="00EA39AC" w:rsidRPr="00761554" w:rsidRDefault="00EA39AC" w:rsidP="00EB5684">
      <w:pPr>
        <w:pStyle w:val="Heading2"/>
        <w:spacing w:line="276" w:lineRule="auto"/>
        <w:jc w:val="both"/>
        <w:rPr>
          <w:sz w:val="24"/>
          <w:szCs w:val="24"/>
        </w:rPr>
      </w:pPr>
      <w:r w:rsidRPr="00761554">
        <w:rPr>
          <w:rStyle w:val="Strong"/>
          <w:sz w:val="24"/>
          <w:szCs w:val="24"/>
        </w:rPr>
        <w:t>References</w:t>
      </w:r>
    </w:p>
    <w:p w:rsidR="00EA39AC" w:rsidRPr="00761554" w:rsidRDefault="00EA39AC" w:rsidP="00EB5684">
      <w:pPr>
        <w:pStyle w:val="ListParagraph"/>
        <w:numPr>
          <w:ilvl w:val="0"/>
          <w:numId w:val="2"/>
        </w:numPr>
        <w:spacing w:after="160" w:line="276" w:lineRule="auto"/>
        <w:contextualSpacing/>
        <w:jc w:val="both"/>
      </w:pPr>
      <w:r w:rsidRPr="00761554">
        <w:t xml:space="preserve">Mach F, </w:t>
      </w:r>
      <w:proofErr w:type="spellStart"/>
      <w:r w:rsidRPr="00761554">
        <w:t>Baigent</w:t>
      </w:r>
      <w:proofErr w:type="spellEnd"/>
      <w:r w:rsidRPr="00761554">
        <w:t xml:space="preserve"> C, </w:t>
      </w:r>
      <w:proofErr w:type="spellStart"/>
      <w:r w:rsidRPr="00761554">
        <w:t>Catapano</w:t>
      </w:r>
      <w:proofErr w:type="spellEnd"/>
      <w:r w:rsidRPr="00761554">
        <w:t xml:space="preserve"> AL, </w:t>
      </w:r>
      <w:proofErr w:type="spellStart"/>
      <w:r w:rsidRPr="00761554">
        <w:t>Koskinas</w:t>
      </w:r>
      <w:proofErr w:type="spellEnd"/>
      <w:r w:rsidRPr="00761554">
        <w:t xml:space="preserve"> KC, </w:t>
      </w:r>
      <w:proofErr w:type="spellStart"/>
      <w:r w:rsidRPr="00761554">
        <w:t>Casula</w:t>
      </w:r>
      <w:proofErr w:type="spellEnd"/>
      <w:r w:rsidRPr="00761554">
        <w:t xml:space="preserve"> M, </w:t>
      </w:r>
      <w:proofErr w:type="spellStart"/>
      <w:r w:rsidRPr="00761554">
        <w:t>Badimon</w:t>
      </w:r>
      <w:proofErr w:type="spellEnd"/>
      <w:r w:rsidRPr="00761554">
        <w:t xml:space="preserve"> L, et al.</w:t>
      </w:r>
      <w:r w:rsidRPr="00761554">
        <w:br/>
        <w:t xml:space="preserve">2019 ESC/EAS guidelines for the management of dyslipidaemias: lipid modification to reduce cardiovascular risk. </w:t>
      </w:r>
      <w:proofErr w:type="spellStart"/>
      <w:r w:rsidRPr="00761554">
        <w:rPr>
          <w:rStyle w:val="Emphasis"/>
        </w:rPr>
        <w:t>Eur</w:t>
      </w:r>
      <w:proofErr w:type="spellEnd"/>
      <w:r w:rsidRPr="00761554">
        <w:rPr>
          <w:rStyle w:val="Emphasis"/>
        </w:rPr>
        <w:t xml:space="preserve"> Heart J.</w:t>
      </w:r>
      <w:r w:rsidRPr="00761554">
        <w:t xml:space="preserve"> 2020;41(1):111–188 </w:t>
      </w:r>
      <w:hyperlink r:id="rId5" w:tgtFrame="_new" w:history="1">
        <w:r w:rsidRPr="00761554">
          <w:rPr>
            <w:rStyle w:val="Hyperlink"/>
          </w:rPr>
          <w:t>https://doi.org/10.1093/eurheartj/ehz455</w:t>
        </w:r>
      </w:hyperlink>
      <w:r w:rsidRPr="00761554">
        <w:t>.</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proofErr w:type="spellStart"/>
      <w:r w:rsidRPr="00761554">
        <w:t>Friedewald</w:t>
      </w:r>
      <w:proofErr w:type="spellEnd"/>
      <w:r w:rsidRPr="00761554">
        <w:t xml:space="preserve"> WT, Levy RI, Fredrickson DS. Estimation of the concentration of low-density lipoprotein cholesterol in plasma, without use of the preparative ultracentrifuge. </w:t>
      </w:r>
      <w:proofErr w:type="spellStart"/>
      <w:r w:rsidRPr="00761554">
        <w:rPr>
          <w:rStyle w:val="Emphasis"/>
        </w:rPr>
        <w:t>Clin</w:t>
      </w:r>
      <w:proofErr w:type="spellEnd"/>
      <w:r w:rsidRPr="00761554">
        <w:rPr>
          <w:rStyle w:val="Emphasis"/>
        </w:rPr>
        <w:t xml:space="preserve"> Chem.</w:t>
      </w:r>
      <w:r w:rsidRPr="00761554">
        <w:t xml:space="preserve"> 1972;18(6):499–502.</w:t>
      </w:r>
    </w:p>
    <w:p w:rsidR="00EA39AC" w:rsidRPr="00761554" w:rsidRDefault="00EA39AC" w:rsidP="00EB5684">
      <w:pPr>
        <w:pStyle w:val="ListParagraph"/>
        <w:spacing w:line="276" w:lineRule="auto"/>
        <w:jc w:val="both"/>
      </w:pPr>
    </w:p>
    <w:p w:rsidR="00EA39AC" w:rsidRPr="00761554" w:rsidRDefault="00EA39AC" w:rsidP="00EB5684">
      <w:pPr>
        <w:pStyle w:val="NormalWeb"/>
        <w:spacing w:line="276" w:lineRule="auto"/>
        <w:ind w:left="720"/>
        <w:jc w:val="both"/>
      </w:pPr>
    </w:p>
    <w:p w:rsidR="00EA39AC" w:rsidRPr="00761554" w:rsidRDefault="00EA39AC" w:rsidP="00EB5684">
      <w:pPr>
        <w:pStyle w:val="ListParagraph"/>
        <w:numPr>
          <w:ilvl w:val="0"/>
          <w:numId w:val="2"/>
        </w:numPr>
        <w:spacing w:after="160" w:line="276" w:lineRule="auto"/>
        <w:contextualSpacing/>
        <w:jc w:val="both"/>
      </w:pPr>
      <w:r w:rsidRPr="00761554">
        <w:t xml:space="preserve">Martin SS, </w:t>
      </w:r>
      <w:proofErr w:type="spellStart"/>
      <w:r w:rsidRPr="00761554">
        <w:t>Blaha</w:t>
      </w:r>
      <w:proofErr w:type="spellEnd"/>
      <w:r w:rsidRPr="00761554">
        <w:t xml:space="preserve"> MJ, </w:t>
      </w:r>
      <w:proofErr w:type="spellStart"/>
      <w:r w:rsidRPr="00761554">
        <w:t>Elshazly</w:t>
      </w:r>
      <w:proofErr w:type="spellEnd"/>
      <w:r w:rsidRPr="00761554">
        <w:t xml:space="preserve"> MB, </w:t>
      </w:r>
      <w:proofErr w:type="spellStart"/>
      <w:r w:rsidRPr="00761554">
        <w:t>Toth</w:t>
      </w:r>
      <w:proofErr w:type="spellEnd"/>
      <w:r w:rsidRPr="00761554">
        <w:t xml:space="preserve"> PP, </w:t>
      </w:r>
      <w:proofErr w:type="spellStart"/>
      <w:r w:rsidRPr="00761554">
        <w:t>Kwiterovich</w:t>
      </w:r>
      <w:proofErr w:type="spellEnd"/>
      <w:r w:rsidRPr="00761554">
        <w:t xml:space="preserve"> PO, Blumenthal RS, et al.</w:t>
      </w:r>
      <w:r w:rsidRPr="00761554">
        <w:br/>
        <w:t xml:space="preserve">Comparison of a novel method vs the </w:t>
      </w:r>
      <w:proofErr w:type="spellStart"/>
      <w:r w:rsidRPr="00761554">
        <w:t>Friedewald</w:t>
      </w:r>
      <w:proofErr w:type="spellEnd"/>
      <w:r w:rsidRPr="00761554">
        <w:t xml:space="preserve"> equation for estimating low-density lipoprotein cholesterol levels from the standard lipid profile. </w:t>
      </w:r>
      <w:r w:rsidRPr="00761554">
        <w:rPr>
          <w:rStyle w:val="Emphasis"/>
        </w:rPr>
        <w:t>JAMA.</w:t>
      </w:r>
      <w:r w:rsidRPr="00761554">
        <w:t xml:space="preserve"> 2013;310(19):2061–2068. </w:t>
      </w:r>
      <w:hyperlink r:id="rId6" w:history="1">
        <w:r w:rsidRPr="00761554">
          <w:rPr>
            <w:rStyle w:val="Hyperlink"/>
          </w:rPr>
          <w:t>https://doi.org/10.1001/jama.2013.280532</w:t>
        </w:r>
      </w:hyperlink>
      <w:r w:rsidRPr="00761554">
        <w:t>.</w:t>
      </w:r>
    </w:p>
    <w:p w:rsidR="00EA39AC" w:rsidRPr="00761554" w:rsidRDefault="00EA39AC" w:rsidP="00EB5684">
      <w:pPr>
        <w:pStyle w:val="NormalWeb"/>
        <w:spacing w:line="276" w:lineRule="auto"/>
        <w:ind w:left="720"/>
        <w:jc w:val="both"/>
      </w:pPr>
    </w:p>
    <w:p w:rsidR="00EA39AC" w:rsidRPr="00761554" w:rsidRDefault="00EA39AC" w:rsidP="00EB5684">
      <w:pPr>
        <w:pStyle w:val="NoSpacing"/>
        <w:numPr>
          <w:ilvl w:val="0"/>
          <w:numId w:val="2"/>
        </w:numPr>
        <w:spacing w:line="276" w:lineRule="auto"/>
        <w:jc w:val="both"/>
        <w:rPr>
          <w:rFonts w:ascii="Times New Roman" w:hAnsi="Times New Roman" w:cs="Times New Roman"/>
          <w:sz w:val="24"/>
          <w:szCs w:val="24"/>
        </w:rPr>
      </w:pPr>
      <w:r w:rsidRPr="00761554">
        <w:rPr>
          <w:rFonts w:ascii="Times New Roman" w:hAnsi="Times New Roman" w:cs="Times New Roman"/>
          <w:sz w:val="24"/>
          <w:szCs w:val="24"/>
        </w:rPr>
        <w:t xml:space="preserve">Martin SS, </w:t>
      </w:r>
      <w:proofErr w:type="spellStart"/>
      <w:r w:rsidRPr="00761554">
        <w:rPr>
          <w:rFonts w:ascii="Times New Roman" w:hAnsi="Times New Roman" w:cs="Times New Roman"/>
          <w:sz w:val="24"/>
          <w:szCs w:val="24"/>
        </w:rPr>
        <w:t>Giugliano</w:t>
      </w:r>
      <w:proofErr w:type="spellEnd"/>
      <w:r w:rsidRPr="00761554">
        <w:rPr>
          <w:rFonts w:ascii="Times New Roman" w:hAnsi="Times New Roman" w:cs="Times New Roman"/>
          <w:sz w:val="24"/>
          <w:szCs w:val="24"/>
        </w:rPr>
        <w:t xml:space="preserve"> RP, Murphy SA, Wasserman SM, Stein EA, </w:t>
      </w:r>
      <w:proofErr w:type="spellStart"/>
      <w:r w:rsidRPr="00761554">
        <w:rPr>
          <w:rFonts w:ascii="Times New Roman" w:hAnsi="Times New Roman" w:cs="Times New Roman"/>
          <w:sz w:val="24"/>
          <w:szCs w:val="24"/>
        </w:rPr>
        <w:t>Ceska</w:t>
      </w:r>
      <w:proofErr w:type="spellEnd"/>
      <w:r w:rsidRPr="00761554">
        <w:rPr>
          <w:rFonts w:ascii="Times New Roman" w:hAnsi="Times New Roman" w:cs="Times New Roman"/>
          <w:sz w:val="24"/>
          <w:szCs w:val="24"/>
        </w:rPr>
        <w:t xml:space="preserve"> R, et al.</w:t>
      </w:r>
      <w:r w:rsidRPr="00761554">
        <w:rPr>
          <w:rFonts w:ascii="Times New Roman" w:hAnsi="Times New Roman" w:cs="Times New Roman"/>
          <w:sz w:val="24"/>
          <w:szCs w:val="24"/>
        </w:rPr>
        <w:br/>
        <w:t xml:space="preserve">Comparison of low-density lipoprotein cholesterol assessed by novel methods vs </w:t>
      </w:r>
      <w:proofErr w:type="spellStart"/>
      <w:r w:rsidRPr="00761554">
        <w:rPr>
          <w:rFonts w:ascii="Times New Roman" w:hAnsi="Times New Roman" w:cs="Times New Roman"/>
          <w:sz w:val="24"/>
          <w:szCs w:val="24"/>
        </w:rPr>
        <w:t>Friedewald</w:t>
      </w:r>
      <w:proofErr w:type="spellEnd"/>
      <w:r w:rsidRPr="00761554">
        <w:rPr>
          <w:rFonts w:ascii="Times New Roman" w:hAnsi="Times New Roman" w:cs="Times New Roman"/>
          <w:sz w:val="24"/>
          <w:szCs w:val="24"/>
        </w:rPr>
        <w:t xml:space="preserve"> estimation. </w:t>
      </w:r>
      <w:r w:rsidRPr="00761554">
        <w:rPr>
          <w:rStyle w:val="Emphasis"/>
          <w:rFonts w:ascii="Times New Roman" w:hAnsi="Times New Roman" w:cs="Times New Roman"/>
          <w:sz w:val="24"/>
          <w:szCs w:val="24"/>
        </w:rPr>
        <w:t xml:space="preserve">J Am </w:t>
      </w:r>
      <w:proofErr w:type="spellStart"/>
      <w:r w:rsidRPr="00761554">
        <w:rPr>
          <w:rStyle w:val="Emphasis"/>
          <w:rFonts w:ascii="Times New Roman" w:hAnsi="Times New Roman" w:cs="Times New Roman"/>
          <w:sz w:val="24"/>
          <w:szCs w:val="24"/>
        </w:rPr>
        <w:t>Coll</w:t>
      </w:r>
      <w:proofErr w:type="spellEnd"/>
      <w:r w:rsidRPr="00761554">
        <w:rPr>
          <w:rStyle w:val="Emphasis"/>
          <w:rFonts w:ascii="Times New Roman" w:hAnsi="Times New Roman" w:cs="Times New Roman"/>
          <w:sz w:val="24"/>
          <w:szCs w:val="24"/>
        </w:rPr>
        <w:t xml:space="preserve"> </w:t>
      </w:r>
      <w:proofErr w:type="spellStart"/>
      <w:r w:rsidRPr="00761554">
        <w:rPr>
          <w:rStyle w:val="Emphasis"/>
          <w:rFonts w:ascii="Times New Roman" w:hAnsi="Times New Roman" w:cs="Times New Roman"/>
          <w:sz w:val="24"/>
          <w:szCs w:val="24"/>
        </w:rPr>
        <w:t>Cardiol</w:t>
      </w:r>
      <w:proofErr w:type="spellEnd"/>
      <w:r w:rsidRPr="00761554">
        <w:rPr>
          <w:rStyle w:val="Emphasis"/>
          <w:rFonts w:ascii="Times New Roman" w:hAnsi="Times New Roman" w:cs="Times New Roman"/>
          <w:sz w:val="24"/>
          <w:szCs w:val="24"/>
        </w:rPr>
        <w:t>.</w:t>
      </w:r>
      <w:r w:rsidRPr="00761554">
        <w:rPr>
          <w:rFonts w:ascii="Times New Roman" w:hAnsi="Times New Roman" w:cs="Times New Roman"/>
          <w:sz w:val="24"/>
          <w:szCs w:val="24"/>
        </w:rPr>
        <w:t xml:space="preserve"> 2013;62(8):732–739.</w:t>
      </w:r>
      <w:r w:rsidRPr="00761554">
        <w:rPr>
          <w:rFonts w:ascii="Times New Roman" w:hAnsi="Times New Roman" w:cs="Times New Roman"/>
          <w:sz w:val="24"/>
          <w:szCs w:val="24"/>
        </w:rPr>
        <w:br/>
      </w:r>
      <w:hyperlink r:id="rId7" w:history="1">
        <w:r w:rsidRPr="00761554">
          <w:rPr>
            <w:rStyle w:val="Hyperlink"/>
            <w:rFonts w:ascii="Times New Roman" w:hAnsi="Times New Roman" w:cs="Times New Roman"/>
            <w:sz w:val="24"/>
            <w:szCs w:val="24"/>
          </w:rPr>
          <w:t>https://doi.org/10.1016/j.jacc.2013.01.079</w:t>
        </w:r>
      </w:hyperlink>
      <w:r w:rsidRPr="00761554">
        <w:rPr>
          <w:rFonts w:ascii="Times New Roman" w:hAnsi="Times New Roman" w:cs="Times New Roman"/>
          <w:sz w:val="24"/>
          <w:szCs w:val="24"/>
        </w:rPr>
        <w:t>.</w:t>
      </w:r>
    </w:p>
    <w:p w:rsidR="00EA39AC" w:rsidRPr="00761554" w:rsidRDefault="00EA39AC" w:rsidP="00EB5684">
      <w:pPr>
        <w:pStyle w:val="NormalWeb"/>
        <w:spacing w:line="276" w:lineRule="auto"/>
        <w:ind w:left="720"/>
        <w:jc w:val="both"/>
      </w:pPr>
    </w:p>
    <w:p w:rsidR="00EA39AC" w:rsidRPr="00761554" w:rsidRDefault="00EA39AC" w:rsidP="00EB5684">
      <w:pPr>
        <w:pStyle w:val="ListParagraph"/>
        <w:numPr>
          <w:ilvl w:val="0"/>
          <w:numId w:val="2"/>
        </w:numPr>
        <w:spacing w:after="160" w:line="276" w:lineRule="auto"/>
        <w:contextualSpacing/>
        <w:jc w:val="both"/>
      </w:pPr>
      <w:r w:rsidRPr="00761554">
        <w:t xml:space="preserve">Sampson M, Ling C, Sun Q, </w:t>
      </w:r>
      <w:proofErr w:type="spellStart"/>
      <w:r w:rsidRPr="00761554">
        <w:t>Harb</w:t>
      </w:r>
      <w:proofErr w:type="spellEnd"/>
      <w:r w:rsidRPr="00761554">
        <w:t xml:space="preserve"> R, </w:t>
      </w:r>
      <w:proofErr w:type="spellStart"/>
      <w:r w:rsidRPr="00761554">
        <w:t>Ashmaig</w:t>
      </w:r>
      <w:proofErr w:type="spellEnd"/>
      <w:r w:rsidRPr="00761554">
        <w:t xml:space="preserve"> M, </w:t>
      </w:r>
      <w:proofErr w:type="spellStart"/>
      <w:r w:rsidRPr="00761554">
        <w:t>Warnick</w:t>
      </w:r>
      <w:proofErr w:type="spellEnd"/>
      <w:r w:rsidRPr="00761554">
        <w:t xml:space="preserve"> R, et al. A new equation for calculation of low-density lipoprotein cholesterol in patients with normal and elevated triglyceride levels. </w:t>
      </w:r>
      <w:r w:rsidRPr="00761554">
        <w:rPr>
          <w:rStyle w:val="Emphasis"/>
        </w:rPr>
        <w:t xml:space="preserve">JAMA </w:t>
      </w:r>
      <w:proofErr w:type="spellStart"/>
      <w:r w:rsidRPr="00761554">
        <w:rPr>
          <w:rStyle w:val="Emphasis"/>
        </w:rPr>
        <w:t>Cardiol</w:t>
      </w:r>
      <w:proofErr w:type="spellEnd"/>
      <w:r w:rsidRPr="00761554">
        <w:rPr>
          <w:rStyle w:val="Emphasis"/>
        </w:rPr>
        <w:t>.</w:t>
      </w:r>
      <w:r w:rsidRPr="00761554">
        <w:t xml:space="preserve"> 2020;5(5):540–548. </w:t>
      </w:r>
      <w:hyperlink r:id="rId8" w:history="1">
        <w:r w:rsidRPr="00761554">
          <w:rPr>
            <w:rStyle w:val="Hyperlink"/>
          </w:rPr>
          <w:t>https://doi.org/10.1001/jamacardio.2020.0013.</w:t>
        </w:r>
      </w:hyperlink>
    </w:p>
    <w:p w:rsidR="00EA39AC" w:rsidRPr="00761554" w:rsidRDefault="00EA39AC" w:rsidP="00EB5684">
      <w:pPr>
        <w:spacing w:line="276" w:lineRule="auto"/>
        <w:jc w:val="both"/>
      </w:pPr>
    </w:p>
    <w:p w:rsidR="00EA39AC" w:rsidRPr="00761554" w:rsidRDefault="00EA39AC" w:rsidP="00EB5684">
      <w:pPr>
        <w:pStyle w:val="NoSpacing"/>
        <w:numPr>
          <w:ilvl w:val="0"/>
          <w:numId w:val="2"/>
        </w:numPr>
        <w:spacing w:line="276" w:lineRule="auto"/>
        <w:jc w:val="both"/>
        <w:rPr>
          <w:rFonts w:ascii="Times New Roman" w:hAnsi="Times New Roman" w:cs="Times New Roman"/>
          <w:sz w:val="24"/>
          <w:szCs w:val="24"/>
        </w:rPr>
      </w:pPr>
      <w:r w:rsidRPr="00761554">
        <w:rPr>
          <w:rFonts w:ascii="Times New Roman" w:hAnsi="Times New Roman" w:cs="Times New Roman"/>
          <w:sz w:val="24"/>
          <w:szCs w:val="24"/>
        </w:rPr>
        <w:t xml:space="preserve">Martin SS, </w:t>
      </w:r>
      <w:proofErr w:type="spellStart"/>
      <w:r w:rsidRPr="00761554">
        <w:rPr>
          <w:rFonts w:ascii="Times New Roman" w:hAnsi="Times New Roman" w:cs="Times New Roman"/>
          <w:sz w:val="24"/>
          <w:szCs w:val="24"/>
        </w:rPr>
        <w:t>Whelton</w:t>
      </w:r>
      <w:proofErr w:type="spellEnd"/>
      <w:r w:rsidRPr="00761554">
        <w:rPr>
          <w:rFonts w:ascii="Times New Roman" w:hAnsi="Times New Roman" w:cs="Times New Roman"/>
          <w:sz w:val="24"/>
          <w:szCs w:val="24"/>
        </w:rPr>
        <w:t xml:space="preserve"> SP, Jones SR, et al. Most LDL cholesterol estimates are inaccurate in patients with high triglycerides. </w:t>
      </w:r>
      <w:r w:rsidRPr="00761554">
        <w:rPr>
          <w:rStyle w:val="Emphasis"/>
          <w:rFonts w:ascii="Times New Roman" w:hAnsi="Times New Roman" w:cs="Times New Roman"/>
          <w:sz w:val="24"/>
          <w:szCs w:val="24"/>
        </w:rPr>
        <w:t xml:space="preserve">J Am </w:t>
      </w:r>
      <w:proofErr w:type="spellStart"/>
      <w:r w:rsidRPr="00761554">
        <w:rPr>
          <w:rStyle w:val="Emphasis"/>
          <w:rFonts w:ascii="Times New Roman" w:hAnsi="Times New Roman" w:cs="Times New Roman"/>
          <w:sz w:val="24"/>
          <w:szCs w:val="24"/>
        </w:rPr>
        <w:t>Coll</w:t>
      </w:r>
      <w:proofErr w:type="spellEnd"/>
      <w:r w:rsidRPr="00761554">
        <w:rPr>
          <w:rStyle w:val="Emphasis"/>
          <w:rFonts w:ascii="Times New Roman" w:hAnsi="Times New Roman" w:cs="Times New Roman"/>
          <w:sz w:val="24"/>
          <w:szCs w:val="24"/>
        </w:rPr>
        <w:t xml:space="preserve"> </w:t>
      </w:r>
      <w:proofErr w:type="spellStart"/>
      <w:r w:rsidRPr="00761554">
        <w:rPr>
          <w:rStyle w:val="Emphasis"/>
          <w:rFonts w:ascii="Times New Roman" w:hAnsi="Times New Roman" w:cs="Times New Roman"/>
          <w:sz w:val="24"/>
          <w:szCs w:val="24"/>
        </w:rPr>
        <w:t>Cardiol</w:t>
      </w:r>
      <w:proofErr w:type="spellEnd"/>
      <w:r w:rsidRPr="00761554">
        <w:rPr>
          <w:rStyle w:val="Emphasis"/>
          <w:rFonts w:ascii="Times New Roman" w:hAnsi="Times New Roman" w:cs="Times New Roman"/>
          <w:sz w:val="24"/>
          <w:szCs w:val="24"/>
        </w:rPr>
        <w:t>.</w:t>
      </w:r>
      <w:r w:rsidRPr="00761554">
        <w:rPr>
          <w:rFonts w:ascii="Times New Roman" w:hAnsi="Times New Roman" w:cs="Times New Roman"/>
          <w:sz w:val="24"/>
          <w:szCs w:val="24"/>
        </w:rPr>
        <w:t xml:space="preserve"> 2023;81(5):500–502. </w:t>
      </w:r>
      <w:hyperlink r:id="rId9" w:history="1">
        <w:r w:rsidRPr="00761554">
          <w:rPr>
            <w:rStyle w:val="Hyperlink"/>
            <w:rFonts w:ascii="Times New Roman" w:hAnsi="Times New Roman" w:cs="Times New Roman"/>
            <w:sz w:val="24"/>
            <w:szCs w:val="24"/>
          </w:rPr>
          <w:t>https://doi.org/10.1016/j.jacc.2022.12.007</w:t>
        </w:r>
      </w:hyperlink>
      <w:r w:rsidRPr="00761554">
        <w:rPr>
          <w:rFonts w:ascii="Times New Roman" w:hAnsi="Times New Roman" w:cs="Times New Roman"/>
          <w:sz w:val="24"/>
          <w:szCs w:val="24"/>
        </w:rPr>
        <w:t>.</w:t>
      </w:r>
    </w:p>
    <w:p w:rsidR="00EA39AC" w:rsidRPr="00761554" w:rsidRDefault="00EA39AC" w:rsidP="00EB5684">
      <w:pPr>
        <w:pStyle w:val="NormalWeb"/>
        <w:spacing w:line="276" w:lineRule="auto"/>
        <w:ind w:left="720"/>
        <w:jc w:val="both"/>
      </w:pPr>
    </w:p>
    <w:p w:rsidR="00EA39AC" w:rsidRPr="00761554" w:rsidRDefault="00EA39AC" w:rsidP="00EB5684">
      <w:pPr>
        <w:pStyle w:val="ListParagraph"/>
        <w:numPr>
          <w:ilvl w:val="0"/>
          <w:numId w:val="2"/>
        </w:numPr>
        <w:spacing w:after="160" w:line="276" w:lineRule="auto"/>
        <w:contextualSpacing/>
        <w:jc w:val="both"/>
      </w:pPr>
      <w:proofErr w:type="spellStart"/>
      <w:r w:rsidRPr="00761554">
        <w:t>Ertürk</w:t>
      </w:r>
      <w:proofErr w:type="spellEnd"/>
      <w:r w:rsidRPr="00761554">
        <w:t xml:space="preserve"> </w:t>
      </w:r>
      <w:proofErr w:type="spellStart"/>
      <w:r w:rsidRPr="00761554">
        <w:t>Zararsız</w:t>
      </w:r>
      <w:proofErr w:type="spellEnd"/>
      <w:r w:rsidRPr="00761554">
        <w:t xml:space="preserve"> G, </w:t>
      </w:r>
      <w:proofErr w:type="spellStart"/>
      <w:r w:rsidRPr="00761554">
        <w:t>Alagöz</w:t>
      </w:r>
      <w:proofErr w:type="spellEnd"/>
      <w:r w:rsidRPr="00761554">
        <w:t xml:space="preserve"> N, Aydın F, </w:t>
      </w:r>
      <w:proofErr w:type="spellStart"/>
      <w:r w:rsidRPr="00761554">
        <w:t>Kızılkaya</w:t>
      </w:r>
      <w:proofErr w:type="spellEnd"/>
      <w:r w:rsidRPr="00761554">
        <w:t xml:space="preserve"> MC, </w:t>
      </w:r>
      <w:proofErr w:type="spellStart"/>
      <w:r w:rsidRPr="00761554">
        <w:t>Demircioğlu</w:t>
      </w:r>
      <w:proofErr w:type="spellEnd"/>
      <w:r w:rsidRPr="00761554">
        <w:t xml:space="preserve"> M, </w:t>
      </w:r>
      <w:proofErr w:type="spellStart"/>
      <w:r w:rsidRPr="00761554">
        <w:t>Gülcü</w:t>
      </w:r>
      <w:proofErr w:type="spellEnd"/>
      <w:r w:rsidRPr="00761554">
        <w:t xml:space="preserve"> F. Comparison of LDL cholesterol estimation methods in </w:t>
      </w:r>
      <w:proofErr w:type="spellStart"/>
      <w:r w:rsidRPr="00761554">
        <w:t>hypertriglyceridemic</w:t>
      </w:r>
      <w:proofErr w:type="spellEnd"/>
      <w:r w:rsidRPr="00761554">
        <w:t xml:space="preserve"> patients. </w:t>
      </w:r>
      <w:proofErr w:type="spellStart"/>
      <w:r w:rsidRPr="00761554">
        <w:rPr>
          <w:rStyle w:val="Emphasis"/>
        </w:rPr>
        <w:t>Clin</w:t>
      </w:r>
      <w:proofErr w:type="spellEnd"/>
      <w:r w:rsidRPr="00761554">
        <w:rPr>
          <w:rStyle w:val="Emphasis"/>
        </w:rPr>
        <w:t xml:space="preserve"> </w:t>
      </w:r>
      <w:proofErr w:type="spellStart"/>
      <w:r w:rsidRPr="00761554">
        <w:rPr>
          <w:rStyle w:val="Emphasis"/>
        </w:rPr>
        <w:t>Chim</w:t>
      </w:r>
      <w:proofErr w:type="spellEnd"/>
      <w:r w:rsidRPr="00761554">
        <w:rPr>
          <w:rStyle w:val="Emphasis"/>
        </w:rPr>
        <w:t xml:space="preserve"> </w:t>
      </w:r>
      <w:proofErr w:type="spellStart"/>
      <w:r w:rsidRPr="00761554">
        <w:rPr>
          <w:rStyle w:val="Emphasis"/>
        </w:rPr>
        <w:t>Acta</w:t>
      </w:r>
      <w:proofErr w:type="spellEnd"/>
      <w:r w:rsidRPr="00761554">
        <w:rPr>
          <w:rStyle w:val="Emphasis"/>
        </w:rPr>
        <w:t>.</w:t>
      </w:r>
      <w:r w:rsidRPr="00761554">
        <w:t xml:space="preserve"> 2022;530:12–19.</w:t>
      </w:r>
      <w:r w:rsidRPr="00761554">
        <w:br/>
      </w:r>
      <w:hyperlink r:id="rId10" w:history="1">
        <w:r w:rsidRPr="00761554">
          <w:rPr>
            <w:rStyle w:val="Hyperlink"/>
          </w:rPr>
          <w:t>https://doi.org/10.1016/j.cca.2022.03.012</w:t>
        </w:r>
      </w:hyperlink>
      <w:r w:rsidRPr="00761554">
        <w:t>.</w:t>
      </w:r>
    </w:p>
    <w:p w:rsidR="00EA39AC" w:rsidRPr="00761554" w:rsidRDefault="00EA39AC" w:rsidP="00EB5684">
      <w:pPr>
        <w:pStyle w:val="NormalWeb"/>
        <w:spacing w:line="276" w:lineRule="auto"/>
        <w:ind w:left="720"/>
        <w:jc w:val="both"/>
      </w:pPr>
    </w:p>
    <w:p w:rsidR="00EA39AC" w:rsidRPr="00761554" w:rsidRDefault="00EA39AC" w:rsidP="00EB5684">
      <w:pPr>
        <w:pStyle w:val="ListParagraph"/>
        <w:numPr>
          <w:ilvl w:val="0"/>
          <w:numId w:val="2"/>
        </w:numPr>
        <w:spacing w:after="160" w:line="276" w:lineRule="auto"/>
        <w:contextualSpacing/>
        <w:jc w:val="both"/>
      </w:pPr>
      <w:proofErr w:type="spellStart"/>
      <w:r w:rsidRPr="00761554">
        <w:t>Warnick</w:t>
      </w:r>
      <w:proofErr w:type="spellEnd"/>
      <w:r w:rsidRPr="00761554">
        <w:t xml:space="preserve"> GR, Kimberly MM, </w:t>
      </w:r>
      <w:proofErr w:type="spellStart"/>
      <w:r w:rsidRPr="00761554">
        <w:t>Waymack</w:t>
      </w:r>
      <w:proofErr w:type="spellEnd"/>
      <w:r w:rsidRPr="00761554">
        <w:t xml:space="preserve"> PP, Leary ET, Myers GL.</w:t>
      </w:r>
      <w:r w:rsidRPr="00761554">
        <w:br/>
        <w:t>Standardization of measurements for cholesterol, triglycerides, and major lipoproteins.</w:t>
      </w:r>
      <w:r w:rsidRPr="00761554">
        <w:br/>
      </w:r>
      <w:r>
        <w:rPr>
          <w:rStyle w:val="Emphasis"/>
        </w:rPr>
        <w:t xml:space="preserve">Lab </w:t>
      </w:r>
      <w:r w:rsidRPr="00761554">
        <w:rPr>
          <w:rStyle w:val="Emphasis"/>
        </w:rPr>
        <w:t>Med.</w:t>
      </w:r>
      <w:r w:rsidRPr="00761554">
        <w:t xml:space="preserve"> 2015;46(4):e89–e95.</w:t>
      </w:r>
      <w:r w:rsidRPr="00761554">
        <w:br/>
      </w:r>
      <w:hyperlink r:id="rId11" w:history="1">
        <w:r w:rsidRPr="00761554">
          <w:rPr>
            <w:rStyle w:val="Hyperlink"/>
          </w:rPr>
          <w:t>https://doi.org/10.1309/LM6KSKG9Y8RR7Y8J</w:t>
        </w:r>
      </w:hyperlink>
      <w:r w:rsidRPr="00761554">
        <w:t>.</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r w:rsidRPr="00761554">
        <w:lastRenderedPageBreak/>
        <w:t xml:space="preserve">Singh G, Kamal A, Agarwal M, </w:t>
      </w:r>
      <w:proofErr w:type="spellStart"/>
      <w:r w:rsidRPr="00761554">
        <w:t>Goyal</w:t>
      </w:r>
      <w:proofErr w:type="spellEnd"/>
      <w:r w:rsidRPr="00761554">
        <w:t xml:space="preserve"> N, Garg A. Machine learning–based prediction of LDL cholesterol le</w:t>
      </w:r>
      <w:r>
        <w:t xml:space="preserve">vels using lipid profile data. </w:t>
      </w:r>
      <w:proofErr w:type="spellStart"/>
      <w:r w:rsidRPr="00761554">
        <w:rPr>
          <w:rStyle w:val="Emphasis"/>
        </w:rPr>
        <w:t>Comput</w:t>
      </w:r>
      <w:proofErr w:type="spellEnd"/>
      <w:r w:rsidRPr="00761554">
        <w:rPr>
          <w:rStyle w:val="Emphasis"/>
        </w:rPr>
        <w:t xml:space="preserve"> </w:t>
      </w:r>
      <w:proofErr w:type="spellStart"/>
      <w:r w:rsidRPr="00761554">
        <w:rPr>
          <w:rStyle w:val="Emphasis"/>
        </w:rPr>
        <w:t>Biol</w:t>
      </w:r>
      <w:proofErr w:type="spellEnd"/>
      <w:r w:rsidRPr="00761554">
        <w:rPr>
          <w:rStyle w:val="Emphasis"/>
        </w:rPr>
        <w:t xml:space="preserve"> Med.</w:t>
      </w:r>
      <w:r w:rsidRPr="00761554">
        <w:t xml:space="preserve"> </w:t>
      </w:r>
      <w:proofErr w:type="gramStart"/>
      <w:r w:rsidRPr="00761554">
        <w:t>2020;122:103834</w:t>
      </w:r>
      <w:proofErr w:type="gramEnd"/>
      <w:r w:rsidRPr="00761554">
        <w:t xml:space="preserve">. </w:t>
      </w:r>
      <w:hyperlink r:id="rId12" w:history="1">
        <w:r w:rsidRPr="00761554">
          <w:rPr>
            <w:rStyle w:val="Hyperlink"/>
          </w:rPr>
          <w:t>https://doi.org/10.1016/j.compbiomed.2020.103834</w:t>
        </w:r>
      </w:hyperlink>
      <w:r w:rsidRPr="00761554">
        <w:t>.</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proofErr w:type="spellStart"/>
      <w:r w:rsidRPr="00761554">
        <w:t>Çubukçu</w:t>
      </w:r>
      <w:proofErr w:type="spellEnd"/>
      <w:r w:rsidRPr="00761554">
        <w:t xml:space="preserve"> HC, </w:t>
      </w:r>
      <w:proofErr w:type="spellStart"/>
      <w:r w:rsidRPr="00761554">
        <w:t>Topcu</w:t>
      </w:r>
      <w:proofErr w:type="spellEnd"/>
      <w:r w:rsidRPr="00761554">
        <w:t xml:space="preserve"> B. Comparison of machine learning algorithms and traditional formulas for LDL-C estimation. </w:t>
      </w:r>
      <w:r w:rsidRPr="00761554">
        <w:rPr>
          <w:rStyle w:val="Emphasis"/>
        </w:rPr>
        <w:t>Biomed Signal Process Control.</w:t>
      </w:r>
      <w:r w:rsidRPr="00761554">
        <w:t xml:space="preserve"> 2022;71:103170.</w:t>
      </w:r>
      <w:r w:rsidRPr="00761554">
        <w:br/>
      </w:r>
      <w:hyperlink r:id="rId13" w:history="1">
        <w:r w:rsidRPr="00761554">
          <w:rPr>
            <w:rStyle w:val="Hyperlink"/>
          </w:rPr>
          <w:t>https://doi.org/10.1016/j.bspc.2021.103170</w:t>
        </w:r>
      </w:hyperlink>
      <w:r w:rsidRPr="00761554">
        <w:t>.</w:t>
      </w:r>
    </w:p>
    <w:p w:rsidR="00EA39AC" w:rsidRPr="00761554" w:rsidRDefault="00EA39AC" w:rsidP="00EB5684">
      <w:pPr>
        <w:spacing w:line="276" w:lineRule="auto"/>
        <w:jc w:val="both"/>
      </w:pP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r w:rsidRPr="00761554">
        <w:t xml:space="preserve">Oh J, Kim JH, Park JH, Lee HJ, Kim JH, Lee BW, et al. Prediction of low-density lipoprotein cholesterol using machine learning methods. </w:t>
      </w:r>
      <w:proofErr w:type="spellStart"/>
      <w:r w:rsidRPr="00761554">
        <w:rPr>
          <w:rStyle w:val="Emphasis"/>
        </w:rPr>
        <w:t>Sci</w:t>
      </w:r>
      <w:proofErr w:type="spellEnd"/>
      <w:r w:rsidRPr="00761554">
        <w:rPr>
          <w:rStyle w:val="Emphasis"/>
        </w:rPr>
        <w:t xml:space="preserve"> Rep.</w:t>
      </w:r>
      <w:r w:rsidRPr="00761554">
        <w:t xml:space="preserve"> </w:t>
      </w:r>
      <w:proofErr w:type="gramStart"/>
      <w:r w:rsidRPr="00761554">
        <w:t>2022;12:11456</w:t>
      </w:r>
      <w:proofErr w:type="gramEnd"/>
      <w:r w:rsidRPr="00761554">
        <w:t xml:space="preserve">. </w:t>
      </w:r>
      <w:hyperlink r:id="rId14" w:history="1">
        <w:r w:rsidRPr="00761554">
          <w:rPr>
            <w:rStyle w:val="Hyperlink"/>
          </w:rPr>
          <w:t>https://doi.org/10.1038/s41598-022-15432-8</w:t>
        </w:r>
      </w:hyperlink>
      <w:r w:rsidRPr="00761554">
        <w:t>.</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r w:rsidRPr="00761554">
        <w:t xml:space="preserve">Westgard JO, Barry PL, Hunt MR, </w:t>
      </w:r>
      <w:proofErr w:type="spellStart"/>
      <w:r w:rsidRPr="00761554">
        <w:t>Groth</w:t>
      </w:r>
      <w:proofErr w:type="spellEnd"/>
      <w:r w:rsidRPr="00761554">
        <w:t xml:space="preserve"> T. A multi-rule </w:t>
      </w:r>
      <w:proofErr w:type="spellStart"/>
      <w:r w:rsidRPr="00761554">
        <w:t>Shewhart</w:t>
      </w:r>
      <w:proofErr w:type="spellEnd"/>
      <w:r w:rsidRPr="00761554">
        <w:t xml:space="preserve"> chart for quality control in clinical chemistry. </w:t>
      </w:r>
      <w:proofErr w:type="spellStart"/>
      <w:r w:rsidRPr="00761554">
        <w:rPr>
          <w:rStyle w:val="Emphasis"/>
        </w:rPr>
        <w:t>Clin</w:t>
      </w:r>
      <w:proofErr w:type="spellEnd"/>
      <w:r w:rsidRPr="00761554">
        <w:rPr>
          <w:rStyle w:val="Emphasis"/>
        </w:rPr>
        <w:t xml:space="preserve"> Chem.</w:t>
      </w:r>
      <w:r w:rsidRPr="00761554">
        <w:t xml:space="preserve"> 1981;27(3):493–501.</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r w:rsidRPr="00761554">
        <w:t xml:space="preserve">Westgard JO. </w:t>
      </w:r>
      <w:r w:rsidRPr="00761554">
        <w:rPr>
          <w:rStyle w:val="Emphasis"/>
        </w:rPr>
        <w:t>Basic quality control practices.</w:t>
      </w:r>
      <w:r w:rsidRPr="00761554">
        <w:t xml:space="preserve"> 4th ed. Madison (WI): Westgard QC; 2018.</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r w:rsidRPr="00761554">
        <w:t>ISO 15189:2022. Medical laboratories — Requirements for quality and competence. Geneva: International Organization for Standardization; 2022.</w:t>
      </w:r>
    </w:p>
    <w:p w:rsidR="00EA39AC" w:rsidRPr="00761554" w:rsidRDefault="00EA39AC" w:rsidP="00EB5684">
      <w:pPr>
        <w:spacing w:line="276" w:lineRule="auto"/>
        <w:jc w:val="both"/>
      </w:pPr>
    </w:p>
    <w:p w:rsidR="00EA39AC" w:rsidRPr="00761554" w:rsidRDefault="00EA39AC" w:rsidP="00EB5684">
      <w:pPr>
        <w:pStyle w:val="NoSpacing"/>
        <w:numPr>
          <w:ilvl w:val="0"/>
          <w:numId w:val="2"/>
        </w:numPr>
        <w:spacing w:line="276" w:lineRule="auto"/>
        <w:jc w:val="both"/>
        <w:rPr>
          <w:rFonts w:ascii="Times New Roman" w:hAnsi="Times New Roman" w:cs="Times New Roman"/>
          <w:sz w:val="24"/>
          <w:szCs w:val="24"/>
        </w:rPr>
      </w:pPr>
      <w:proofErr w:type="spellStart"/>
      <w:r w:rsidRPr="00761554">
        <w:rPr>
          <w:rFonts w:ascii="Times New Roman" w:hAnsi="Times New Roman" w:cs="Times New Roman"/>
          <w:sz w:val="24"/>
          <w:szCs w:val="24"/>
        </w:rPr>
        <w:t>Breiman</w:t>
      </w:r>
      <w:proofErr w:type="spellEnd"/>
      <w:r w:rsidRPr="00761554">
        <w:rPr>
          <w:rFonts w:ascii="Times New Roman" w:hAnsi="Times New Roman" w:cs="Times New Roman"/>
          <w:sz w:val="24"/>
          <w:szCs w:val="24"/>
        </w:rPr>
        <w:t xml:space="preserve"> L. Random forests. </w:t>
      </w:r>
      <w:r w:rsidRPr="00761554">
        <w:rPr>
          <w:rStyle w:val="Emphasis"/>
          <w:rFonts w:ascii="Times New Roman" w:hAnsi="Times New Roman" w:cs="Times New Roman"/>
          <w:sz w:val="24"/>
          <w:szCs w:val="24"/>
        </w:rPr>
        <w:t>Mach Learn.</w:t>
      </w:r>
      <w:r w:rsidRPr="00761554">
        <w:rPr>
          <w:rFonts w:ascii="Times New Roman" w:hAnsi="Times New Roman" w:cs="Times New Roman"/>
          <w:sz w:val="24"/>
          <w:szCs w:val="24"/>
        </w:rPr>
        <w:t xml:space="preserve"> 2001;45(1):5–32. https://doi.org/10.1023/A:1010933404324.</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r w:rsidRPr="00761554">
        <w:t xml:space="preserve">Chen T, </w:t>
      </w:r>
      <w:proofErr w:type="spellStart"/>
      <w:r w:rsidRPr="00761554">
        <w:t>Guestrin</w:t>
      </w:r>
      <w:proofErr w:type="spellEnd"/>
      <w:r w:rsidRPr="00761554">
        <w:t xml:space="preserve"> C. </w:t>
      </w:r>
      <w:proofErr w:type="spellStart"/>
      <w:r w:rsidRPr="00761554">
        <w:t>XGBoost</w:t>
      </w:r>
      <w:proofErr w:type="spellEnd"/>
      <w:r w:rsidRPr="00761554">
        <w:t xml:space="preserve">: A scalable tree boosting system. In: </w:t>
      </w:r>
      <w:r w:rsidRPr="00761554">
        <w:rPr>
          <w:rStyle w:val="Emphasis"/>
        </w:rPr>
        <w:t>Proceedings of the 22nd ACM SIGKDD International Conference on Knowledge Discovery and Data Mining</w:t>
      </w:r>
      <w:r w:rsidRPr="00761554">
        <w:t>; 2016. p. 785–794.</w:t>
      </w:r>
      <w:r w:rsidRPr="00761554">
        <w:br/>
      </w:r>
      <w:hyperlink r:id="rId15" w:tgtFrame="_new" w:history="1">
        <w:r w:rsidRPr="00761554">
          <w:rPr>
            <w:rStyle w:val="Hyperlink"/>
          </w:rPr>
          <w:t>https://doi.org/10.1145/2939672.2939785</w:t>
        </w:r>
      </w:hyperlink>
      <w:r w:rsidRPr="00761554">
        <w:t>.</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proofErr w:type="spellStart"/>
      <w:r w:rsidRPr="00761554">
        <w:t>Prokhorenkova</w:t>
      </w:r>
      <w:proofErr w:type="spellEnd"/>
      <w:r w:rsidRPr="00761554">
        <w:t xml:space="preserve"> L, </w:t>
      </w:r>
      <w:proofErr w:type="spellStart"/>
      <w:r w:rsidRPr="00761554">
        <w:t>Gusev</w:t>
      </w:r>
      <w:proofErr w:type="spellEnd"/>
      <w:r w:rsidRPr="00761554">
        <w:t xml:space="preserve"> G, </w:t>
      </w:r>
      <w:proofErr w:type="spellStart"/>
      <w:r w:rsidRPr="00761554">
        <w:t>Vorobev</w:t>
      </w:r>
      <w:proofErr w:type="spellEnd"/>
      <w:r w:rsidRPr="00761554">
        <w:t xml:space="preserve"> A, </w:t>
      </w:r>
      <w:proofErr w:type="spellStart"/>
      <w:r w:rsidRPr="00761554">
        <w:t>Dorogush</w:t>
      </w:r>
      <w:proofErr w:type="spellEnd"/>
      <w:r w:rsidRPr="00761554">
        <w:t xml:space="preserve"> AV, </w:t>
      </w:r>
      <w:proofErr w:type="spellStart"/>
      <w:r w:rsidRPr="00761554">
        <w:t>Gulin</w:t>
      </w:r>
      <w:proofErr w:type="spellEnd"/>
      <w:r w:rsidRPr="00761554">
        <w:t xml:space="preserve"> A. </w:t>
      </w:r>
      <w:proofErr w:type="spellStart"/>
      <w:r w:rsidRPr="00761554">
        <w:t>CatBoost</w:t>
      </w:r>
      <w:proofErr w:type="spellEnd"/>
      <w:r w:rsidRPr="00761554">
        <w:t xml:space="preserve">: Unbiased boosting with categorical features. </w:t>
      </w:r>
      <w:proofErr w:type="spellStart"/>
      <w:r w:rsidRPr="00761554">
        <w:rPr>
          <w:rStyle w:val="Emphasis"/>
        </w:rPr>
        <w:t>Adv</w:t>
      </w:r>
      <w:proofErr w:type="spellEnd"/>
      <w:r w:rsidRPr="00761554">
        <w:rPr>
          <w:rStyle w:val="Emphasis"/>
        </w:rPr>
        <w:t xml:space="preserve"> Neural </w:t>
      </w:r>
      <w:proofErr w:type="spellStart"/>
      <w:r w:rsidRPr="00761554">
        <w:rPr>
          <w:rStyle w:val="Emphasis"/>
        </w:rPr>
        <w:t>Inf</w:t>
      </w:r>
      <w:proofErr w:type="spellEnd"/>
      <w:r w:rsidRPr="00761554">
        <w:rPr>
          <w:rStyle w:val="Emphasis"/>
        </w:rPr>
        <w:t xml:space="preserve"> Process Syst.</w:t>
      </w:r>
      <w:r w:rsidRPr="00761554">
        <w:t xml:space="preserve"> </w:t>
      </w:r>
      <w:proofErr w:type="gramStart"/>
      <w:r w:rsidRPr="00761554">
        <w:t>2018;31:6638</w:t>
      </w:r>
      <w:proofErr w:type="gramEnd"/>
      <w:r w:rsidRPr="00761554">
        <w:t>–6648.</w:t>
      </w:r>
    </w:p>
    <w:p w:rsidR="00EA39AC" w:rsidRPr="00761554" w:rsidRDefault="00EA39AC" w:rsidP="00EB5684">
      <w:pPr>
        <w:spacing w:line="276" w:lineRule="auto"/>
        <w:jc w:val="both"/>
      </w:pPr>
    </w:p>
    <w:p w:rsidR="00EA39AC" w:rsidRPr="00761554" w:rsidRDefault="00EA39AC" w:rsidP="00EB5684">
      <w:pPr>
        <w:pStyle w:val="ListParagraph"/>
        <w:numPr>
          <w:ilvl w:val="0"/>
          <w:numId w:val="2"/>
        </w:numPr>
        <w:spacing w:after="160" w:line="276" w:lineRule="auto"/>
        <w:contextualSpacing/>
        <w:jc w:val="both"/>
      </w:pPr>
      <w:r w:rsidRPr="00761554">
        <w:t xml:space="preserve">Cortes C, </w:t>
      </w:r>
      <w:proofErr w:type="spellStart"/>
      <w:r w:rsidRPr="00761554">
        <w:t>Vapnik</w:t>
      </w:r>
      <w:proofErr w:type="spellEnd"/>
      <w:r w:rsidRPr="00761554">
        <w:t xml:space="preserve"> V. Support-vector networks. </w:t>
      </w:r>
      <w:r w:rsidRPr="00761554">
        <w:rPr>
          <w:rStyle w:val="Emphasis"/>
        </w:rPr>
        <w:t>Mach Learn.</w:t>
      </w:r>
      <w:r w:rsidRPr="00761554">
        <w:t xml:space="preserve"> </w:t>
      </w:r>
      <w:proofErr w:type="gramStart"/>
      <w:r w:rsidRPr="00761554">
        <w:t>1995;20:273</w:t>
      </w:r>
      <w:proofErr w:type="gramEnd"/>
      <w:r w:rsidRPr="00761554">
        <w:t xml:space="preserve">–297. </w:t>
      </w:r>
      <w:hyperlink r:id="rId16" w:tgtFrame="_new" w:history="1">
        <w:r w:rsidRPr="00761554">
          <w:rPr>
            <w:rStyle w:val="Hyperlink"/>
          </w:rPr>
          <w:t>https://doi.org/10.1007/BF00994018</w:t>
        </w:r>
      </w:hyperlink>
      <w:r w:rsidRPr="00761554">
        <w:t>.</w:t>
      </w:r>
    </w:p>
    <w:p w:rsidR="009C2CBF" w:rsidRPr="00EA39AC" w:rsidRDefault="009C2CBF" w:rsidP="00EB5684">
      <w:pPr>
        <w:pStyle w:val="Heading1"/>
        <w:spacing w:line="276" w:lineRule="auto"/>
        <w:jc w:val="both"/>
        <w:rPr>
          <w:rFonts w:ascii="Times New Roman" w:hAnsi="Times New Roman" w:cs="Times New Roman"/>
          <w:sz w:val="24"/>
          <w:szCs w:val="24"/>
        </w:rPr>
      </w:pPr>
    </w:p>
    <w:p w:rsidR="0054151D" w:rsidRPr="00EA39AC" w:rsidRDefault="0054151D" w:rsidP="00EB5684">
      <w:pPr>
        <w:spacing w:before="120" w:after="60" w:line="276" w:lineRule="auto"/>
        <w:jc w:val="both"/>
      </w:pPr>
      <w:r w:rsidRPr="00EA39AC">
        <w:rPr>
          <w:rFonts w:eastAsia="Arial"/>
          <w:b/>
          <w:bCs/>
        </w:rPr>
        <w:lastRenderedPageBreak/>
        <w:t>Table 1. Baseline Characteristics of the Study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4151D" w:rsidRPr="00EA39AC" w:rsidTr="0054151D">
        <w:tc>
          <w:tcPr>
            <w:tcW w:w="360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Variable</w:t>
            </w:r>
          </w:p>
        </w:tc>
        <w:tc>
          <w:tcPr>
            <w:tcW w:w="576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Value</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Sample size (n)</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15,920</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Age (years), median (IQR)</w:t>
            </w:r>
          </w:p>
        </w:tc>
        <w:tc>
          <w:tcPr>
            <w:tcW w:w="576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47.00 (37.00, 57.00)</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Male, n (%)</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10,706 (67.25%)</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Female, n (%)</w:t>
            </w:r>
          </w:p>
        </w:tc>
        <w:tc>
          <w:tcPr>
            <w:tcW w:w="576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5,214 (32.75%)</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TC (mg/</w:t>
            </w:r>
            <w:proofErr w:type="spellStart"/>
            <w:r w:rsidRPr="00EA39AC">
              <w:t>dL</w:t>
            </w:r>
            <w:proofErr w:type="spellEnd"/>
            <w:r w:rsidRPr="00EA39AC">
              <w:t>), median (IQR)</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181.00 (151.00, 212.00)</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TG (mg/</w:t>
            </w:r>
            <w:proofErr w:type="spellStart"/>
            <w:r w:rsidRPr="00EA39AC">
              <w:t>dL</w:t>
            </w:r>
            <w:proofErr w:type="spellEnd"/>
            <w:r w:rsidRPr="00EA39AC">
              <w:t>), median (IQR)</w:t>
            </w:r>
          </w:p>
        </w:tc>
        <w:tc>
          <w:tcPr>
            <w:tcW w:w="576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124.00 (90.00, 174.00)</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HDL-C (mg/</w:t>
            </w:r>
            <w:proofErr w:type="spellStart"/>
            <w:r w:rsidRPr="00EA39AC">
              <w:t>dL</w:t>
            </w:r>
            <w:proofErr w:type="spellEnd"/>
            <w:r w:rsidRPr="00EA39AC">
              <w:t>), median (IQR)</w:t>
            </w:r>
          </w:p>
        </w:tc>
        <w:tc>
          <w:tcPr>
            <w:tcW w:w="576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54151D" w:rsidRPr="00EA39AC" w:rsidRDefault="0054151D" w:rsidP="00EB5684">
            <w:pPr>
              <w:spacing w:line="276" w:lineRule="auto"/>
              <w:jc w:val="both"/>
            </w:pPr>
            <w:r w:rsidRPr="00EA39AC">
              <w:t>44.00 (38.00, 51.00)</w:t>
            </w:r>
          </w:p>
        </w:tc>
      </w:tr>
      <w:tr w:rsidR="0054151D" w:rsidRPr="00EA39AC" w:rsidTr="0054151D">
        <w:tc>
          <w:tcPr>
            <w:tcW w:w="360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Direct LDL-C (mg/</w:t>
            </w:r>
            <w:proofErr w:type="spellStart"/>
            <w:r w:rsidRPr="00EA39AC">
              <w:t>dL</w:t>
            </w:r>
            <w:proofErr w:type="spellEnd"/>
            <w:r w:rsidRPr="00EA39AC">
              <w:t>), median (IQR)</w:t>
            </w:r>
          </w:p>
        </w:tc>
        <w:tc>
          <w:tcPr>
            <w:tcW w:w="576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54151D" w:rsidRPr="00EA39AC" w:rsidRDefault="0054151D" w:rsidP="00EB5684">
            <w:pPr>
              <w:spacing w:line="276" w:lineRule="auto"/>
              <w:jc w:val="both"/>
            </w:pPr>
            <w:r w:rsidRPr="00EA39AC">
              <w:t>108.00 (83.00, 134.00)</w:t>
            </w:r>
          </w:p>
        </w:tc>
      </w:tr>
    </w:tbl>
    <w:p w:rsidR="0054151D" w:rsidRPr="00EA39AC" w:rsidRDefault="0054151D" w:rsidP="00EB5684">
      <w:pPr>
        <w:pBdr>
          <w:top w:val="single" w:sz="4" w:space="0" w:color="AAAAAA"/>
        </w:pBdr>
        <w:spacing w:before="60" w:after="180" w:line="276" w:lineRule="auto"/>
        <w:jc w:val="both"/>
      </w:pPr>
      <w:r w:rsidRPr="00EA39AC">
        <w:rPr>
          <w:i/>
          <w:iCs/>
        </w:rPr>
        <w:t>Data presented as median (interquartile range) for continuous variables and n (%) for categorical variables. TC = total cholesterol; TG = triglycerides; HDL-C = high-density lipoprotein cholesterol; LDL-C = low-density lipoprotein cholesterol. n = 15,920 after exclusion of records with missing or implausible values.</w:t>
      </w:r>
    </w:p>
    <w:p w:rsidR="0054151D" w:rsidRPr="00EA39AC" w:rsidRDefault="0054151D" w:rsidP="00EB5684">
      <w:pPr>
        <w:spacing w:before="120" w:after="60" w:line="276" w:lineRule="auto"/>
        <w:jc w:val="both"/>
      </w:pPr>
      <w:r w:rsidRPr="00EA39AC">
        <w:rPr>
          <w:rFonts w:eastAsia="Arial"/>
          <w:b/>
          <w:bCs/>
        </w:rPr>
        <w:t>Table 2. Internal Validation Performance — Development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151D" w:rsidRPr="00EA39AC" w:rsidTr="0054151D">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Model</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R²</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MSE (mg²/dL²)</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PCC</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proofErr w:type="spellStart"/>
            <w:r w:rsidRPr="00EA39AC">
              <w:t>Friedewald</w:t>
            </w:r>
            <w:proofErr w:type="spellEnd"/>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0.693</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470.91</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0.854</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Martin</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0.741</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397.22</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0.876</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Sampson–NIH</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0.322</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1041.92</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0.713</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proofErr w:type="spellStart"/>
            <w:r w:rsidRPr="00EA39AC">
              <w:t>CatBoost</w:t>
            </w:r>
            <w:proofErr w:type="spellEnd"/>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0.868</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202.13</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0.932</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proofErr w:type="spellStart"/>
            <w:r w:rsidRPr="00EA39AC">
              <w:t>XGBoost</w:t>
            </w:r>
            <w:proofErr w:type="spellEnd"/>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0.900</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153.89</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0.949</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Random Forest</w:t>
            </w:r>
          </w:p>
        </w:tc>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0.974</w:t>
            </w:r>
          </w:p>
        </w:tc>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40.34</w:t>
            </w:r>
          </w:p>
        </w:tc>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0.988</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SVR</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0.814</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285.51</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0.904</w:t>
            </w:r>
          </w:p>
        </w:tc>
      </w:tr>
    </w:tbl>
    <w:p w:rsidR="0054151D" w:rsidRPr="00EA39AC" w:rsidRDefault="0054151D" w:rsidP="00EB5684">
      <w:pPr>
        <w:pBdr>
          <w:top w:val="single" w:sz="4" w:space="0" w:color="AAAAAA"/>
        </w:pBdr>
        <w:spacing w:before="60" w:after="180" w:line="276" w:lineRule="auto"/>
        <w:jc w:val="both"/>
      </w:pPr>
      <w:r w:rsidRPr="00EA39AC">
        <w:rPr>
          <w:i/>
          <w:iCs/>
        </w:rPr>
        <w:t>R² = coefficient of determination; MSE = mean squared error (mg²/dL²); PCC = Pearson correlation coefficient.</w:t>
      </w:r>
      <w:r w:rsidRPr="00EA39AC">
        <w:rPr>
          <w:i/>
          <w:iCs/>
        </w:rPr>
        <w:br/>
        <w:t xml:space="preserve">  Higher R² and PCC, and lower MSE, indicate better agreement with directly measured LDL-C.</w:t>
      </w:r>
      <w:r w:rsidRPr="00EA39AC">
        <w:rPr>
          <w:i/>
          <w:iCs/>
        </w:rPr>
        <w:br/>
        <w:t xml:space="preserve">  Formulas (</w:t>
      </w:r>
      <w:proofErr w:type="spellStart"/>
      <w:r w:rsidRPr="00EA39AC">
        <w:rPr>
          <w:i/>
          <w:iCs/>
        </w:rPr>
        <w:t>Friedewald</w:t>
      </w:r>
      <w:proofErr w:type="spellEnd"/>
      <w:r w:rsidRPr="00EA39AC">
        <w:rPr>
          <w:i/>
          <w:iCs/>
        </w:rPr>
        <w:t>, Martin, Sampson–NIH) shown in white rows; ML models in blue-shaded rows.</w:t>
      </w:r>
      <w:r w:rsidRPr="00EA39AC">
        <w:rPr>
          <w:i/>
          <w:iCs/>
        </w:rPr>
        <w:br/>
        <w:t xml:space="preserve">  Bold row (Random Forest) denotes best-performing model.</w:t>
      </w:r>
    </w:p>
    <w:p w:rsidR="0054151D" w:rsidRPr="00EA39AC" w:rsidRDefault="0054151D" w:rsidP="00EB5684">
      <w:pPr>
        <w:spacing w:before="120" w:after="60" w:line="276" w:lineRule="auto"/>
        <w:jc w:val="both"/>
      </w:pPr>
      <w:r w:rsidRPr="00EA39AC">
        <w:rPr>
          <w:rFonts w:eastAsia="Arial"/>
          <w:b/>
          <w:bCs/>
        </w:rPr>
        <w:lastRenderedPageBreak/>
        <w:t>Table 3. Temporal Validation Performance — Independent Validation Dataset (Oct–Dec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151D" w:rsidRPr="00EA39AC" w:rsidTr="0054151D">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Model</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R²</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MSE (mg²/dL²)</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54151D" w:rsidRPr="00EA39AC" w:rsidRDefault="0054151D" w:rsidP="00EB5684">
            <w:pPr>
              <w:spacing w:line="276" w:lineRule="auto"/>
              <w:jc w:val="both"/>
            </w:pPr>
            <w:r w:rsidRPr="00EA39AC">
              <w:rPr>
                <w:rFonts w:eastAsia="Arial"/>
                <w:b/>
                <w:bCs/>
                <w:color w:val="FFFFFF"/>
              </w:rPr>
              <w:t>PCC</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proofErr w:type="spellStart"/>
            <w:r w:rsidRPr="00EA39AC">
              <w:t>Friedewald</w:t>
            </w:r>
            <w:proofErr w:type="spellEnd"/>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0.721</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413.99</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0.875</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Martin</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0.737</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390.71</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0.885</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Sampson–NIH</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0.714</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425.80</w:t>
            </w:r>
          </w:p>
        </w:tc>
        <w:tc>
          <w:tcPr>
            <w:tcW w:w="2340"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54151D" w:rsidRPr="00EA39AC" w:rsidRDefault="0054151D" w:rsidP="00EB5684">
            <w:pPr>
              <w:spacing w:line="276" w:lineRule="auto"/>
              <w:jc w:val="both"/>
            </w:pPr>
            <w:r w:rsidRPr="00EA39AC">
              <w:t>0.867</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proofErr w:type="spellStart"/>
            <w:r w:rsidRPr="00EA39AC">
              <w:t>CatBoost</w:t>
            </w:r>
            <w:proofErr w:type="spellEnd"/>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0.893</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158.80</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0.945</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proofErr w:type="spellStart"/>
            <w:r w:rsidRPr="00EA39AC">
              <w:t>XGBoost</w:t>
            </w:r>
            <w:proofErr w:type="spellEnd"/>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0.954</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69.08</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0.977</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Random Forest</w:t>
            </w:r>
          </w:p>
        </w:tc>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0.976</w:t>
            </w:r>
          </w:p>
        </w:tc>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36.27</w:t>
            </w:r>
          </w:p>
        </w:tc>
        <w:tc>
          <w:tcPr>
            <w:tcW w:w="234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54151D" w:rsidRPr="00EA39AC" w:rsidRDefault="0054151D" w:rsidP="00EB5684">
            <w:pPr>
              <w:spacing w:line="276" w:lineRule="auto"/>
              <w:jc w:val="both"/>
            </w:pPr>
            <w:r w:rsidRPr="00EA39AC">
              <w:t>0.989</w:t>
            </w:r>
          </w:p>
        </w:tc>
      </w:tr>
      <w:tr w:rsidR="0054151D" w:rsidRPr="00EA39AC" w:rsidTr="0054151D">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SVR</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0.858</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211.15</w:t>
            </w:r>
          </w:p>
        </w:tc>
        <w:tc>
          <w:tcPr>
            <w:tcW w:w="234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54151D" w:rsidRPr="00EA39AC" w:rsidRDefault="0054151D" w:rsidP="00EB5684">
            <w:pPr>
              <w:spacing w:line="276" w:lineRule="auto"/>
              <w:jc w:val="both"/>
            </w:pPr>
            <w:r w:rsidRPr="00EA39AC">
              <w:t>0.928</w:t>
            </w:r>
          </w:p>
        </w:tc>
      </w:tr>
    </w:tbl>
    <w:p w:rsidR="0054151D" w:rsidRDefault="0054151D" w:rsidP="00EB5684">
      <w:pPr>
        <w:pBdr>
          <w:top w:val="single" w:sz="4" w:space="0" w:color="AAAAAA"/>
        </w:pBdr>
        <w:spacing w:before="60" w:after="180" w:line="276" w:lineRule="auto"/>
        <w:jc w:val="both"/>
        <w:rPr>
          <w:i/>
          <w:iCs/>
        </w:rPr>
      </w:pPr>
      <w:r w:rsidRPr="00EA39AC">
        <w:rPr>
          <w:i/>
          <w:iCs/>
        </w:rPr>
        <w:t>R² = coefficient of determination; MSE = mean squared error (mg²/dL²); PCC = Pearson correlation coefficient.</w:t>
      </w:r>
      <w:r w:rsidRPr="00EA39AC">
        <w:rPr>
          <w:i/>
          <w:iCs/>
        </w:rPr>
        <w:br/>
        <w:t xml:space="preserve">  Validation cohort: n = 3,191 samples collected October–December 2024, held out entirely during model training.</w:t>
      </w:r>
      <w:r w:rsidRPr="00EA39AC">
        <w:rPr>
          <w:i/>
          <w:iCs/>
        </w:rPr>
        <w:br/>
        <w:t xml:space="preserve">  Consistent or improved performance relative to Table 2 confirms temporal generalizability.</w:t>
      </w:r>
      <w:r w:rsidRPr="00EA39AC">
        <w:rPr>
          <w:i/>
          <w:iCs/>
        </w:rPr>
        <w:br/>
        <w:t xml:space="preserve">  Formulas shown in white rows; ML models in blue-shaded rows.</w:t>
      </w:r>
    </w:p>
    <w:p w:rsidR="00EB5684" w:rsidRPr="00EA39AC" w:rsidRDefault="00EB5684" w:rsidP="00EB5684">
      <w:pPr>
        <w:pBdr>
          <w:top w:val="single" w:sz="4" w:space="0" w:color="AAAAAA"/>
        </w:pBdr>
        <w:spacing w:before="60" w:after="180" w:line="276" w:lineRule="auto"/>
        <w:jc w:val="both"/>
      </w:pPr>
    </w:p>
    <w:p w:rsidR="0054151D" w:rsidRPr="00EA39AC" w:rsidRDefault="0054151D" w:rsidP="00EB5684">
      <w:pPr>
        <w:spacing w:before="120" w:after="60" w:line="276" w:lineRule="auto"/>
        <w:jc w:val="both"/>
      </w:pPr>
      <w:r w:rsidRPr="00EA39AC">
        <w:rPr>
          <w:rFonts w:eastAsia="Arial"/>
          <w:b/>
          <w:bCs/>
        </w:rPr>
        <w:t xml:space="preserve">Table 4. TG-Stratified Model Performance — </w:t>
      </w:r>
      <w:proofErr w:type="spellStart"/>
      <w:r w:rsidR="00D81AED" w:rsidRPr="00EA39AC">
        <w:rPr>
          <w:rFonts w:eastAsia="Arial"/>
          <w:b/>
          <w:bCs/>
        </w:rPr>
        <w:t>scondary</w:t>
      </w:r>
      <w:proofErr w:type="spellEnd"/>
      <w:r w:rsidR="00D81AED" w:rsidRPr="00EA39AC">
        <w:rPr>
          <w:rFonts w:eastAsia="Arial"/>
          <w:b/>
          <w:bCs/>
        </w:rPr>
        <w:t xml:space="preserve"> </w:t>
      </w:r>
      <w:r w:rsidRPr="00EA39AC">
        <w:rPr>
          <w:rFonts w:eastAsia="Arial"/>
          <w:b/>
          <w:bCs/>
        </w:rPr>
        <w:t>Internal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2442"/>
        <w:gridCol w:w="1628"/>
        <w:gridCol w:w="1628"/>
        <w:gridCol w:w="1628"/>
      </w:tblGrid>
      <w:tr w:rsidR="00F63472" w:rsidRPr="00EA39AC" w:rsidTr="00F63472">
        <w:tc>
          <w:tcPr>
            <w:tcW w:w="2034"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vAlign w:val="center"/>
          </w:tcPr>
          <w:p w:rsidR="00F63472" w:rsidRPr="00EA39AC" w:rsidRDefault="00F63472" w:rsidP="00EB5684">
            <w:pPr>
              <w:spacing w:line="276" w:lineRule="auto"/>
              <w:jc w:val="center"/>
              <w:rPr>
                <w:b/>
                <w:bCs/>
                <w:color w:val="FFFFFF" w:themeColor="background1"/>
              </w:rPr>
            </w:pPr>
            <w:r w:rsidRPr="00EA39AC">
              <w:rPr>
                <w:b/>
                <w:bCs/>
                <w:color w:val="FFFFFF" w:themeColor="background1"/>
              </w:rPr>
              <w:t>Model</w:t>
            </w:r>
          </w:p>
        </w:tc>
        <w:tc>
          <w:tcPr>
            <w:tcW w:w="2442"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vAlign w:val="center"/>
          </w:tcPr>
          <w:p w:rsidR="00F63472" w:rsidRPr="00EA39AC" w:rsidRDefault="00F63472" w:rsidP="00EB5684">
            <w:pPr>
              <w:spacing w:line="276" w:lineRule="auto"/>
              <w:jc w:val="center"/>
              <w:rPr>
                <w:b/>
                <w:bCs/>
                <w:color w:val="FFFFFF" w:themeColor="background1"/>
              </w:rPr>
            </w:pPr>
            <w:r w:rsidRPr="00EA39AC">
              <w:rPr>
                <w:b/>
                <w:bCs/>
                <w:color w:val="FFFFFF" w:themeColor="background1"/>
              </w:rPr>
              <w:t>TG Category (mg/</w:t>
            </w:r>
            <w:proofErr w:type="spellStart"/>
            <w:r w:rsidRPr="00EA39AC">
              <w:rPr>
                <w:b/>
                <w:bCs/>
                <w:color w:val="FFFFFF" w:themeColor="background1"/>
              </w:rPr>
              <w:t>dL</w:t>
            </w:r>
            <w:proofErr w:type="spellEnd"/>
            <w:r w:rsidRPr="00EA39AC">
              <w:rPr>
                <w:b/>
                <w:bCs/>
                <w:color w:val="FFFFFF" w:themeColor="background1"/>
              </w:rPr>
              <w:t>)</w:t>
            </w:r>
          </w:p>
        </w:tc>
        <w:tc>
          <w:tcPr>
            <w:tcW w:w="1628"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vAlign w:val="center"/>
          </w:tcPr>
          <w:p w:rsidR="00F63472" w:rsidRPr="00EA39AC" w:rsidRDefault="00F63472" w:rsidP="00EB5684">
            <w:pPr>
              <w:spacing w:line="276" w:lineRule="auto"/>
              <w:jc w:val="center"/>
              <w:rPr>
                <w:b/>
                <w:bCs/>
                <w:color w:val="FFFFFF" w:themeColor="background1"/>
              </w:rPr>
            </w:pPr>
            <w:r w:rsidRPr="00EA39AC">
              <w:rPr>
                <w:b/>
                <w:bCs/>
                <w:color w:val="FFFFFF" w:themeColor="background1"/>
              </w:rPr>
              <w:t>R²</w:t>
            </w:r>
          </w:p>
        </w:tc>
        <w:tc>
          <w:tcPr>
            <w:tcW w:w="1628"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vAlign w:val="center"/>
          </w:tcPr>
          <w:p w:rsidR="00F63472" w:rsidRPr="00EA39AC" w:rsidRDefault="00F63472" w:rsidP="00EB5684">
            <w:pPr>
              <w:spacing w:line="276" w:lineRule="auto"/>
              <w:jc w:val="center"/>
              <w:rPr>
                <w:b/>
                <w:bCs/>
                <w:color w:val="FFFFFF" w:themeColor="background1"/>
              </w:rPr>
            </w:pPr>
            <w:r w:rsidRPr="00EA39AC">
              <w:rPr>
                <w:b/>
                <w:bCs/>
                <w:color w:val="FFFFFF" w:themeColor="background1"/>
              </w:rPr>
              <w:t>MSE</w:t>
            </w:r>
          </w:p>
        </w:tc>
        <w:tc>
          <w:tcPr>
            <w:tcW w:w="1628"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vAlign w:val="center"/>
          </w:tcPr>
          <w:p w:rsidR="00F63472" w:rsidRPr="00EA39AC" w:rsidRDefault="00F63472" w:rsidP="00EB5684">
            <w:pPr>
              <w:spacing w:line="276" w:lineRule="auto"/>
              <w:jc w:val="center"/>
              <w:rPr>
                <w:b/>
                <w:bCs/>
                <w:color w:val="FFFFFF" w:themeColor="background1"/>
              </w:rPr>
            </w:pPr>
            <w:r w:rsidRPr="00EA39AC">
              <w:rPr>
                <w:b/>
                <w:bCs/>
                <w:color w:val="FFFFFF" w:themeColor="background1"/>
              </w:rPr>
              <w:t>PCC</w:t>
            </w:r>
          </w:p>
        </w:tc>
      </w:tr>
      <w:tr w:rsidR="00F63472" w:rsidRPr="00EA39AC" w:rsidTr="00F63472">
        <w:tc>
          <w:tcPr>
            <w:tcW w:w="2034" w:type="dxa"/>
            <w:vMerge w:val="restart"/>
            <w:tcBorders>
              <w:top w:val="single" w:sz="4" w:space="0" w:color="999999"/>
              <w:left w:val="single" w:sz="4" w:space="0" w:color="999999"/>
              <w:bottom w:val="single" w:sz="4" w:space="0" w:color="999999"/>
              <w:right w:val="single" w:sz="4" w:space="0" w:color="999999"/>
            </w:tcBorders>
            <w:shd w:val="clear" w:color="auto" w:fill="EBF5FB"/>
            <w:tcMar>
              <w:top w:w="80" w:type="dxa"/>
              <w:left w:w="120" w:type="dxa"/>
              <w:bottom w:w="80" w:type="dxa"/>
              <w:right w:w="120" w:type="dxa"/>
            </w:tcMar>
            <w:vAlign w:val="center"/>
          </w:tcPr>
          <w:p w:rsidR="00F63472" w:rsidRPr="00EA39AC" w:rsidRDefault="00F63472" w:rsidP="00EB5684">
            <w:pPr>
              <w:spacing w:line="276" w:lineRule="auto"/>
              <w:jc w:val="both"/>
              <w:rPr>
                <w:color w:val="000000"/>
              </w:rPr>
            </w:pPr>
            <w:proofErr w:type="spellStart"/>
            <w:r w:rsidRPr="00EA39AC">
              <w:rPr>
                <w:color w:val="000000"/>
              </w:rPr>
              <w:t>Friedewald</w:t>
            </w:r>
            <w:proofErr w:type="spellEnd"/>
          </w:p>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&gt;0–&lt;100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0.864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161.83</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0.931</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≥100–&lt;150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0.843</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196.38</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0.924</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≥150–&lt;200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0.889</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165.87</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≥200–&lt;300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0.826</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299.24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0.915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≥300–&lt;400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0.871</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315.24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≥400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-2.141</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9454.37</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0.647</w:t>
            </w:r>
          </w:p>
        </w:tc>
      </w:tr>
      <w:tr w:rsidR="00F63472" w:rsidRPr="00EA39AC" w:rsidTr="00F63472">
        <w:tc>
          <w:tcPr>
            <w:tcW w:w="2034" w:type="dxa"/>
            <w:vMerge w:val="restart"/>
            <w:tcBorders>
              <w:top w:val="single" w:sz="4" w:space="0" w:color="999999"/>
              <w:left w:val="single" w:sz="4" w:space="0" w:color="999999"/>
              <w:bottom w:val="single" w:sz="4" w:space="0" w:color="999999"/>
              <w:right w:val="single" w:sz="4" w:space="0" w:color="999999"/>
            </w:tcBorders>
            <w:shd w:val="clear" w:color="auto" w:fill="EBF5FB"/>
            <w:tcMar>
              <w:top w:w="80" w:type="dxa"/>
              <w:left w:w="120" w:type="dxa"/>
              <w:bottom w:w="80" w:type="dxa"/>
              <w:right w:w="120" w:type="dxa"/>
            </w:tcMar>
            <w:vAlign w:val="center"/>
          </w:tcPr>
          <w:p w:rsidR="00F63472" w:rsidRPr="00EA39AC" w:rsidRDefault="00F63472" w:rsidP="00EB5684">
            <w:pPr>
              <w:spacing w:line="276" w:lineRule="auto"/>
              <w:jc w:val="both"/>
              <w:rPr>
                <w:color w:val="000000"/>
              </w:rPr>
            </w:pPr>
            <w:r w:rsidRPr="00EA39AC">
              <w:rPr>
                <w:color w:val="000000"/>
              </w:rPr>
              <w:t>Martin</w:t>
            </w:r>
          </w:p>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&gt;0–&lt;100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0.864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161.83</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0.931</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≥100–&lt;150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0.843</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196.38</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0.924</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≥150–&lt;200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0.864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204.38</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≥200–&lt;300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0.776</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384.04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0.915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≥300–&lt;400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0.833</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409.18</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0.936</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≥400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-1.531</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7617.55</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0.672</w:t>
            </w:r>
          </w:p>
        </w:tc>
      </w:tr>
      <w:tr w:rsidR="00F63472" w:rsidRPr="00EA39AC" w:rsidTr="00F63472">
        <w:tc>
          <w:tcPr>
            <w:tcW w:w="2034" w:type="dxa"/>
            <w:vMerge w:val="restart"/>
            <w:tcBorders>
              <w:top w:val="single" w:sz="4" w:space="0" w:color="999999"/>
              <w:left w:val="single" w:sz="4" w:space="0" w:color="999999"/>
              <w:bottom w:val="single" w:sz="4" w:space="0" w:color="999999"/>
              <w:right w:val="single" w:sz="4" w:space="0" w:color="999999"/>
            </w:tcBorders>
            <w:shd w:val="clear" w:color="auto" w:fill="EBF5FB"/>
            <w:tcMar>
              <w:top w:w="80" w:type="dxa"/>
              <w:left w:w="120" w:type="dxa"/>
              <w:bottom w:w="80" w:type="dxa"/>
              <w:right w:w="120" w:type="dxa"/>
            </w:tcMar>
            <w:vAlign w:val="center"/>
          </w:tcPr>
          <w:p w:rsidR="00F63472" w:rsidRPr="00EA39AC" w:rsidRDefault="00F63472" w:rsidP="00EB5684">
            <w:pPr>
              <w:spacing w:line="276" w:lineRule="auto"/>
              <w:jc w:val="both"/>
              <w:rPr>
                <w:color w:val="000000"/>
              </w:rPr>
            </w:pPr>
            <w:r w:rsidRPr="00EA39AC">
              <w:rPr>
                <w:color w:val="000000"/>
              </w:rPr>
              <w:t>Sampson–NIH</w:t>
            </w:r>
          </w:p>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&gt;0–&lt;100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0.861</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165.42</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0.932</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≥100–&lt;150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200.1</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0.924</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≥150–&lt;200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0.888</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168.65</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≥200–&lt;300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0.827</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297.25</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0.915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≥300–&lt;400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0.872</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314.08</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≥400</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-2.271</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9847.14</w:t>
            </w:r>
          </w:p>
        </w:tc>
        <w:tc>
          <w:tcPr>
            <w:tcW w:w="1628" w:type="dxa"/>
            <w:tcBorders>
              <w:top w:val="single" w:sz="4" w:space="0" w:color="999999"/>
              <w:left w:val="single" w:sz="4" w:space="0" w:color="999999"/>
              <w:bottom w:val="single" w:sz="4" w:space="0" w:color="999999"/>
              <w:right w:val="single" w:sz="4" w:space="0" w:color="999999"/>
            </w:tcBorders>
            <w:shd w:val="clear" w:color="auto" w:fill="FDFEFE"/>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0.559</w:t>
            </w:r>
          </w:p>
        </w:tc>
      </w:tr>
      <w:tr w:rsidR="00F63472" w:rsidRPr="00EA39AC" w:rsidTr="00F63472">
        <w:tc>
          <w:tcPr>
            <w:tcW w:w="2034" w:type="dxa"/>
            <w:vMerge w:val="restart"/>
            <w:tcBorders>
              <w:top w:val="single" w:sz="4" w:space="0" w:color="999999"/>
              <w:left w:val="single" w:sz="4" w:space="0" w:color="999999"/>
              <w:bottom w:val="single" w:sz="4" w:space="0" w:color="999999"/>
              <w:right w:val="single" w:sz="4" w:space="0" w:color="999999"/>
            </w:tcBorders>
            <w:shd w:val="clear" w:color="auto" w:fill="EBF5FB"/>
            <w:tcMar>
              <w:top w:w="80" w:type="dxa"/>
              <w:left w:w="120" w:type="dxa"/>
              <w:bottom w:w="80" w:type="dxa"/>
              <w:right w:w="120" w:type="dxa"/>
            </w:tcMar>
            <w:vAlign w:val="center"/>
          </w:tcPr>
          <w:p w:rsidR="00F63472" w:rsidRPr="00EA39AC" w:rsidRDefault="00F63472" w:rsidP="00EB5684">
            <w:pPr>
              <w:spacing w:line="276" w:lineRule="auto"/>
              <w:jc w:val="both"/>
              <w:rPr>
                <w:color w:val="000000"/>
              </w:rPr>
            </w:pPr>
            <w:proofErr w:type="spellStart"/>
            <w:r w:rsidRPr="00EA39AC">
              <w:rPr>
                <w:color w:val="000000"/>
              </w:rPr>
              <w:t>CatBoost</w:t>
            </w:r>
            <w:proofErr w:type="spellEnd"/>
          </w:p>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&gt;0–&lt;100</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0.879</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144.09</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0.938</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≥100–&lt;150</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0.879</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152.07</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0.938</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≥150–&lt;200</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150.46</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0.949</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≥200–&lt;300</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0.881</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204.79</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0.939</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≥300–&lt;400</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0.923</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188.91</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0.963</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≥400</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0.921</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237.59</w:t>
            </w:r>
          </w:p>
        </w:tc>
        <w:tc>
          <w:tcPr>
            <w:tcW w:w="1628"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0.963</w:t>
            </w:r>
          </w:p>
        </w:tc>
      </w:tr>
      <w:tr w:rsidR="00F63472" w:rsidRPr="00EA39AC" w:rsidTr="00F63472">
        <w:tc>
          <w:tcPr>
            <w:tcW w:w="2034" w:type="dxa"/>
            <w:vMerge w:val="restart"/>
            <w:tcBorders>
              <w:top w:val="single" w:sz="4" w:space="0" w:color="999999"/>
              <w:left w:val="single" w:sz="4" w:space="0" w:color="999999"/>
              <w:bottom w:val="single" w:sz="4" w:space="0" w:color="999999"/>
              <w:right w:val="single" w:sz="4" w:space="0" w:color="999999"/>
            </w:tcBorders>
            <w:shd w:val="clear" w:color="auto" w:fill="EBF5FB"/>
            <w:tcMar>
              <w:top w:w="80" w:type="dxa"/>
              <w:left w:w="120" w:type="dxa"/>
              <w:bottom w:w="80" w:type="dxa"/>
              <w:right w:w="120" w:type="dxa"/>
            </w:tcMar>
            <w:vAlign w:val="center"/>
          </w:tcPr>
          <w:p w:rsidR="00F63472" w:rsidRPr="00EA39AC" w:rsidRDefault="00F63472" w:rsidP="00EB5684">
            <w:pPr>
              <w:spacing w:line="276" w:lineRule="auto"/>
              <w:jc w:val="both"/>
              <w:rPr>
                <w:color w:val="000000"/>
              </w:rPr>
            </w:pPr>
            <w:r w:rsidRPr="00EA39AC">
              <w:rPr>
                <w:color w:val="000000"/>
              </w:rPr>
              <w:t>Random Forest</w:t>
            </w:r>
          </w:p>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&gt;0–&lt;100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28.42</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0.989</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≥100–&lt;150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30.7</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0.988</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≥150–&lt;200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29.38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0.991</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≥200–&lt;300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40.62</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0.989</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≥300–&lt;400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59.21</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0.989</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≥400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0.928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216.21</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w:t>
            </w:r>
          </w:p>
        </w:tc>
      </w:tr>
      <w:tr w:rsidR="00F63472" w:rsidRPr="00EA39AC" w:rsidTr="00F63472">
        <w:tc>
          <w:tcPr>
            <w:tcW w:w="2034" w:type="dxa"/>
            <w:vMerge w:val="restart"/>
            <w:tcBorders>
              <w:top w:val="single" w:sz="4" w:space="0" w:color="999999"/>
              <w:left w:val="single" w:sz="4" w:space="0" w:color="999999"/>
              <w:bottom w:val="single" w:sz="4" w:space="0" w:color="999999"/>
              <w:right w:val="single" w:sz="4" w:space="0" w:color="999999"/>
            </w:tcBorders>
            <w:shd w:val="clear" w:color="auto" w:fill="EBF5FB"/>
            <w:tcMar>
              <w:top w:w="80" w:type="dxa"/>
              <w:left w:w="120" w:type="dxa"/>
              <w:bottom w:w="80" w:type="dxa"/>
              <w:right w:w="120" w:type="dxa"/>
            </w:tcMar>
            <w:vAlign w:val="center"/>
          </w:tcPr>
          <w:p w:rsidR="00F63472" w:rsidRPr="00EA39AC" w:rsidRDefault="00F63472" w:rsidP="00EB5684">
            <w:pPr>
              <w:spacing w:line="276" w:lineRule="auto"/>
              <w:jc w:val="both"/>
              <w:rPr>
                <w:color w:val="000000"/>
              </w:rPr>
            </w:pPr>
            <w:proofErr w:type="spellStart"/>
            <w:r w:rsidRPr="00EA39AC">
              <w:rPr>
                <w:color w:val="000000"/>
              </w:rPr>
              <w:t>XGBoost</w:t>
            </w:r>
            <w:proofErr w:type="spellEnd"/>
          </w:p>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&gt;0–&lt;100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64.44</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0.973</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≥100–&lt;150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0.942</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73.37</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0.971</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≥150–&lt;200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0.947</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79.48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0.973</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≥200–&lt;300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69.1</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0.98</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≥300–&lt;400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49.99</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0.99</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divId w:val="726952436"/>
              <w:rPr>
                <w:color w:val="000000"/>
              </w:rPr>
            </w:pPr>
            <w:r w:rsidRPr="00EA39AC">
              <w:rPr>
                <w:color w:val="000000"/>
              </w:rPr>
              <w:t>≥400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divId w:val="726952436"/>
              <w:rPr>
                <w:color w:val="000000"/>
              </w:rPr>
            </w:pPr>
            <w:r w:rsidRPr="00EA39AC">
              <w:rPr>
                <w:color w:val="000000"/>
              </w:rPr>
              <w:t>0.991</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divId w:val="726952436"/>
              <w:rPr>
                <w:color w:val="000000"/>
              </w:rPr>
            </w:pPr>
            <w:r w:rsidRPr="00EA39AC">
              <w:rPr>
                <w:color w:val="000000"/>
              </w:rPr>
              <w:t>28.56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divId w:val="726952436"/>
              <w:rPr>
                <w:color w:val="000000"/>
              </w:rPr>
            </w:pPr>
            <w:r w:rsidRPr="00EA39AC">
              <w:rPr>
                <w:color w:val="000000"/>
              </w:rPr>
              <w:t>0.996</w:t>
            </w:r>
          </w:p>
        </w:tc>
      </w:tr>
      <w:tr w:rsidR="00F63472" w:rsidRPr="00EA39AC" w:rsidTr="00F63472">
        <w:tc>
          <w:tcPr>
            <w:tcW w:w="2034" w:type="dxa"/>
            <w:vMerge w:val="restart"/>
            <w:tcBorders>
              <w:top w:val="single" w:sz="4" w:space="0" w:color="999999"/>
              <w:left w:val="single" w:sz="4" w:space="0" w:color="999999"/>
              <w:bottom w:val="single" w:sz="4" w:space="0" w:color="999999"/>
              <w:right w:val="single" w:sz="4" w:space="0" w:color="999999"/>
            </w:tcBorders>
            <w:shd w:val="clear" w:color="auto" w:fill="EBF5FB"/>
            <w:tcMar>
              <w:top w:w="80" w:type="dxa"/>
              <w:left w:w="120" w:type="dxa"/>
              <w:bottom w:w="80" w:type="dxa"/>
              <w:right w:w="120" w:type="dxa"/>
            </w:tcMar>
            <w:vAlign w:val="center"/>
          </w:tcPr>
          <w:p w:rsidR="00F63472" w:rsidRPr="00EA39AC" w:rsidRDefault="00F63472" w:rsidP="00EB5684">
            <w:pPr>
              <w:spacing w:line="276" w:lineRule="auto"/>
              <w:jc w:val="both"/>
              <w:rPr>
                <w:color w:val="000000"/>
              </w:rPr>
            </w:pPr>
            <w:r w:rsidRPr="00EA39AC">
              <w:rPr>
                <w:color w:val="000000"/>
              </w:rPr>
              <w:lastRenderedPageBreak/>
              <w:t>SVR</w:t>
            </w:r>
          </w:p>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&gt;0–&lt;100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0.864</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162.32</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0.931</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≥100–&lt;150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0.848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190.27</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0.925</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≥150–&lt;200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0.889</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166.6</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0.944</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≥200–&lt;300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0.825</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300.83</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0.914</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≥300–&lt;400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0.885</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281.48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0.941</w:t>
            </w:r>
          </w:p>
        </w:tc>
      </w:tr>
      <w:tr w:rsidR="00F63472" w:rsidRPr="00EA39AC" w:rsidTr="00F63472">
        <w:tc>
          <w:tcPr>
            <w:tcW w:w="0" w:type="auto"/>
            <w:vMerge/>
            <w:tcBorders>
              <w:top w:val="single" w:sz="4" w:space="0" w:color="999999"/>
              <w:left w:val="single" w:sz="4" w:space="0" w:color="999999"/>
              <w:bottom w:val="single" w:sz="4" w:space="0" w:color="999999"/>
              <w:right w:val="single" w:sz="4" w:space="0" w:color="999999"/>
            </w:tcBorders>
          </w:tcPr>
          <w:p w:rsidR="00F63472" w:rsidRPr="00EA39AC" w:rsidRDefault="00F63472" w:rsidP="00EB5684">
            <w:pPr>
              <w:spacing w:line="276" w:lineRule="auto"/>
              <w:jc w:val="both"/>
            </w:pPr>
          </w:p>
        </w:tc>
        <w:tc>
          <w:tcPr>
            <w:tcW w:w="2442"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rPr>
                <w:color w:val="000000"/>
              </w:rPr>
            </w:pPr>
            <w:r w:rsidRPr="00EA39AC">
              <w:rPr>
                <w:color w:val="000000"/>
              </w:rPr>
              <w:t>≥400</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0.788</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938.42</w:t>
            </w:r>
          </w:p>
        </w:tc>
        <w:tc>
          <w:tcPr>
            <w:tcW w:w="1628"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F63472" w:rsidRPr="00EA39AC" w:rsidRDefault="00F63472" w:rsidP="00EB5684">
            <w:pPr>
              <w:spacing w:line="276" w:lineRule="auto"/>
              <w:jc w:val="right"/>
              <w:rPr>
                <w:color w:val="000000"/>
              </w:rPr>
            </w:pPr>
            <w:r w:rsidRPr="00EA39AC">
              <w:rPr>
                <w:color w:val="000000"/>
              </w:rPr>
              <w:t>0.849</w:t>
            </w:r>
          </w:p>
        </w:tc>
      </w:tr>
    </w:tbl>
    <w:p w:rsidR="00F63472" w:rsidRPr="00EA39AC" w:rsidRDefault="0054151D" w:rsidP="00EB5684">
      <w:pPr>
        <w:pBdr>
          <w:top w:val="single" w:sz="4" w:space="0" w:color="AAAAAA"/>
        </w:pBdr>
        <w:spacing w:before="60" w:after="180" w:line="276" w:lineRule="auto"/>
        <w:jc w:val="both"/>
      </w:pPr>
      <w:r w:rsidRPr="00EA39AC">
        <w:rPr>
          <w:i/>
          <w:iCs/>
        </w:rPr>
        <w:t>R² = coefficient of determination; MSE = mean squared error (mg²/dL²); PCC = Pearson correlation coefficient.</w:t>
      </w:r>
      <w:r w:rsidRPr="00EA39AC">
        <w:rPr>
          <w:i/>
          <w:iCs/>
        </w:rPr>
        <w:br/>
        <w:t xml:space="preserve">  TG categories are expressed in mg/</w:t>
      </w:r>
      <w:proofErr w:type="spellStart"/>
      <w:r w:rsidRPr="00EA39AC">
        <w:rPr>
          <w:i/>
          <w:iCs/>
        </w:rPr>
        <w:t>dL</w:t>
      </w:r>
      <w:proofErr w:type="spellEnd"/>
      <w:r w:rsidRPr="00EA39AC">
        <w:rPr>
          <w:i/>
          <w:iCs/>
        </w:rPr>
        <w:t>. All metrics computed on the internal (development + validation) dataset.</w:t>
      </w:r>
      <w:r w:rsidRPr="00EA39AC">
        <w:rPr>
          <w:i/>
          <w:iCs/>
        </w:rPr>
        <w:br/>
        <w:t xml:space="preserve">  Negative R² values (shown in red) indicate predictive performance inferior to a naive mean estimator — a clinically significant failure mode.</w:t>
      </w:r>
      <w:r w:rsidRPr="00EA39AC">
        <w:rPr>
          <w:i/>
          <w:iCs/>
        </w:rPr>
        <w:br/>
        <w:t xml:space="preserve">  ML models (Random Forest, </w:t>
      </w:r>
      <w:proofErr w:type="spellStart"/>
      <w:r w:rsidRPr="00EA39AC">
        <w:rPr>
          <w:i/>
          <w:iCs/>
        </w:rPr>
        <w:t>XGBoost</w:t>
      </w:r>
      <w:proofErr w:type="spellEnd"/>
      <w:r w:rsidRPr="00EA39AC">
        <w:rPr>
          <w:i/>
          <w:iCs/>
        </w:rPr>
        <w:t xml:space="preserve">, </w:t>
      </w:r>
      <w:proofErr w:type="spellStart"/>
      <w:r w:rsidRPr="00EA39AC">
        <w:rPr>
          <w:i/>
          <w:iCs/>
        </w:rPr>
        <w:t>CatBoost</w:t>
      </w:r>
      <w:proofErr w:type="spellEnd"/>
      <w:r w:rsidRPr="00EA39AC">
        <w:rPr>
          <w:i/>
          <w:iCs/>
        </w:rPr>
        <w:t>, SVR) maintain positive R² across all TG strata.</w:t>
      </w:r>
      <w:r w:rsidRPr="00EA39AC">
        <w:rPr>
          <w:i/>
          <w:iCs/>
        </w:rPr>
        <w:br/>
        <w:t xml:space="preserve">  Formula-based methods (</w:t>
      </w:r>
      <w:proofErr w:type="spellStart"/>
      <w:r w:rsidRPr="00EA39AC">
        <w:rPr>
          <w:i/>
          <w:iCs/>
        </w:rPr>
        <w:t>Friedewald</w:t>
      </w:r>
      <w:proofErr w:type="spellEnd"/>
      <w:r w:rsidRPr="00EA39AC">
        <w:rPr>
          <w:i/>
          <w:iCs/>
        </w:rPr>
        <w:t>, Sampson–NIH, Martin) show progressive deterioration above TG ≥300 mg/</w:t>
      </w:r>
      <w:proofErr w:type="spellStart"/>
      <w:r w:rsidRPr="00EA39AC">
        <w:rPr>
          <w:i/>
          <w:iCs/>
        </w:rPr>
        <w:t>dL</w:t>
      </w:r>
      <w:proofErr w:type="spellEnd"/>
      <w:r w:rsidRPr="00EA39AC">
        <w:rPr>
          <w:i/>
          <w:iCs/>
        </w:rPr>
        <w:t>.</w:t>
      </w:r>
    </w:p>
    <w:p w:rsidR="00CA5FAA" w:rsidRPr="00EA39AC" w:rsidRDefault="0054151D" w:rsidP="00EB5684">
      <w:pPr>
        <w:pStyle w:val="Heading1"/>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Supplementary Tables</w:t>
      </w: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Supplementary Table S1. Consensus Feature Importance Across ML Models</w:t>
      </w:r>
    </w:p>
    <w:p w:rsidR="00CA5FAA" w:rsidRPr="00EA39AC" w:rsidRDefault="00CA5FAA" w:rsidP="00EB5684">
      <w:pPr>
        <w:spacing w:after="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A5FAA" w:rsidRPr="00EA39A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Feature</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Random Forest</w:t>
            </w:r>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proofErr w:type="spellStart"/>
            <w:r w:rsidRPr="00EA39AC">
              <w:rPr>
                <w:rFonts w:eastAsia="Arial"/>
                <w:b/>
                <w:bCs/>
                <w:color w:val="FFFFFF"/>
              </w:rPr>
              <w:t>XGBoost</w:t>
            </w:r>
            <w:proofErr w:type="spellEnd"/>
          </w:p>
        </w:tc>
        <w:tc>
          <w:tcPr>
            <w:tcW w:w="234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Consensus Average</w:t>
            </w:r>
          </w:p>
        </w:tc>
      </w:tr>
      <w:tr w:rsidR="00CA5FAA" w:rsidRPr="00EA39A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TC</w:t>
            </w:r>
          </w:p>
        </w:t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0.798</w:t>
            </w:r>
          </w:p>
        </w:t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0.804</w:t>
            </w:r>
          </w:p>
        </w:t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0.801</w:t>
            </w:r>
          </w:p>
        </w:tc>
      </w:tr>
      <w:tr w:rsidR="00CA5FAA" w:rsidRPr="00EA39AC">
        <w:tc>
          <w:tcPr>
            <w:tcW w:w="234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TG</w:t>
            </w:r>
          </w:p>
        </w:tc>
        <w:tc>
          <w:tcPr>
            <w:tcW w:w="234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0.127</w:t>
            </w:r>
          </w:p>
        </w:tc>
        <w:tc>
          <w:tcPr>
            <w:tcW w:w="234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0.102</w:t>
            </w:r>
          </w:p>
        </w:tc>
        <w:tc>
          <w:tcPr>
            <w:tcW w:w="234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0.115</w:t>
            </w:r>
          </w:p>
        </w:tc>
      </w:tr>
      <w:tr w:rsidR="00CA5FAA" w:rsidRPr="00EA39A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HDL-C</w:t>
            </w:r>
          </w:p>
        </w:t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0.074</w:t>
            </w:r>
          </w:p>
        </w:t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0.094</w:t>
            </w:r>
          </w:p>
        </w:tc>
        <w:tc>
          <w:tcPr>
            <w:tcW w:w="234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0.084</w:t>
            </w:r>
          </w:p>
        </w:tc>
      </w:tr>
    </w:tbl>
    <w:p w:rsidR="00CA5FAA" w:rsidRPr="00EA39AC" w:rsidRDefault="0054151D" w:rsidP="00EB5684">
      <w:pPr>
        <w:pBdr>
          <w:top w:val="single" w:sz="4" w:space="0" w:color="AAAAAA"/>
        </w:pBdr>
        <w:spacing w:before="60" w:after="180" w:line="276" w:lineRule="auto"/>
        <w:jc w:val="both"/>
      </w:pPr>
      <w:r w:rsidRPr="00EA39AC">
        <w:rPr>
          <w:i/>
          <w:iCs/>
        </w:rPr>
        <w:t>Feature importance values are normalized to sum to 1 within each model.</w:t>
      </w:r>
      <w:r w:rsidRPr="00EA39AC">
        <w:rPr>
          <w:i/>
          <w:iCs/>
        </w:rPr>
        <w:br/>
        <w:t xml:space="preserve">  Consensus Average = arithmetic mean of Random Forest and </w:t>
      </w:r>
      <w:proofErr w:type="spellStart"/>
      <w:r w:rsidRPr="00EA39AC">
        <w:rPr>
          <w:i/>
          <w:iCs/>
        </w:rPr>
        <w:t>XGBoost</w:t>
      </w:r>
      <w:proofErr w:type="spellEnd"/>
      <w:r w:rsidRPr="00EA39AC">
        <w:rPr>
          <w:i/>
          <w:iCs/>
        </w:rPr>
        <w:t xml:space="preserve"> importance scores.</w:t>
      </w:r>
      <w:r w:rsidRPr="00EA39AC">
        <w:rPr>
          <w:i/>
          <w:iCs/>
        </w:rPr>
        <w:br/>
        <w:t xml:space="preserve">  TC = total cholesterol; TG = triglycerides; HDL-C = high-density lipoprotein cholesterol.</w:t>
      </w:r>
      <w:r w:rsidRPr="00EA39AC">
        <w:rPr>
          <w:i/>
          <w:iCs/>
        </w:rPr>
        <w:br/>
        <w:t xml:space="preserve">  TC demonstrated the dominant predictive contribution across all models, consistent with its role as the primary biochemical precursor of LDL-C.</w:t>
      </w:r>
    </w:p>
    <w:p w:rsidR="00CA5FAA" w:rsidRDefault="00CA5FAA" w:rsidP="00EB5684">
      <w:pPr>
        <w:spacing w:after="120" w:line="276" w:lineRule="auto"/>
        <w:jc w:val="both"/>
      </w:pPr>
    </w:p>
    <w:p w:rsidR="00EB5684" w:rsidRDefault="00EB5684" w:rsidP="00EB5684">
      <w:pPr>
        <w:spacing w:after="120" w:line="276" w:lineRule="auto"/>
        <w:jc w:val="both"/>
      </w:pPr>
    </w:p>
    <w:p w:rsidR="00EB5684" w:rsidRPr="00EA39AC" w:rsidRDefault="00EB5684" w:rsidP="00EB5684">
      <w:pPr>
        <w:spacing w:after="120" w:line="276" w:lineRule="auto"/>
        <w:jc w:val="both"/>
      </w:pP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lastRenderedPageBreak/>
        <w:t>Supplementary Table S2. QC Module Impact on Prediction Performance (Random Forest)</w:t>
      </w:r>
    </w:p>
    <w:p w:rsidR="00CA5FAA" w:rsidRPr="00EA39AC" w:rsidRDefault="00CA5FAA" w:rsidP="00EB5684">
      <w:pPr>
        <w:spacing w:after="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2820"/>
        <w:gridCol w:w="2820"/>
      </w:tblGrid>
      <w:tr w:rsidR="00CA5FAA" w:rsidRPr="00EA39AC">
        <w:tc>
          <w:tcPr>
            <w:tcW w:w="37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Metric</w:t>
            </w:r>
          </w:p>
        </w:tc>
        <w:tc>
          <w:tcPr>
            <w:tcW w:w="28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Before QC</w:t>
            </w:r>
          </w:p>
        </w:tc>
        <w:tc>
          <w:tcPr>
            <w:tcW w:w="28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After QC</w:t>
            </w:r>
          </w:p>
        </w:tc>
      </w:tr>
      <w:tr w:rsidR="00CA5FAA" w:rsidRPr="00EA39AC">
        <w:tc>
          <w:tcPr>
            <w:tcW w:w="37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Mean Residual</w:t>
            </w:r>
          </w:p>
        </w:tc>
        <w:tc>
          <w:tcPr>
            <w:tcW w:w="28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4.941</w:t>
            </w:r>
          </w:p>
        </w:tc>
        <w:tc>
          <w:tcPr>
            <w:tcW w:w="28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4.834</w:t>
            </w:r>
          </w:p>
        </w:tc>
      </w:tr>
      <w:tr w:rsidR="00CA5FAA" w:rsidRPr="00EA39AC">
        <w:tc>
          <w:tcPr>
            <w:tcW w:w="372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Residual SD</w:t>
            </w:r>
          </w:p>
        </w:tc>
        <w:tc>
          <w:tcPr>
            <w:tcW w:w="282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16.770</w:t>
            </w:r>
          </w:p>
        </w:tc>
        <w:tc>
          <w:tcPr>
            <w:tcW w:w="282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12.465</w:t>
            </w:r>
          </w:p>
        </w:tc>
      </w:tr>
      <w:tr w:rsidR="00CA5FAA" w:rsidRPr="00EA39AC">
        <w:tc>
          <w:tcPr>
            <w:tcW w:w="37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Extreme Residuals (&gt;3SD)</w:t>
            </w:r>
          </w:p>
        </w:tc>
        <w:tc>
          <w:tcPr>
            <w:tcW w:w="28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296</w:t>
            </w:r>
          </w:p>
        </w:tc>
        <w:tc>
          <w:tcPr>
            <w:tcW w:w="28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288</w:t>
            </w:r>
          </w:p>
        </w:tc>
      </w:tr>
      <w:tr w:rsidR="00CA5FAA" w:rsidRPr="00EA39AC">
        <w:tc>
          <w:tcPr>
            <w:tcW w:w="372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R²</w:t>
            </w:r>
          </w:p>
        </w:tc>
        <w:tc>
          <w:tcPr>
            <w:tcW w:w="282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0.801</w:t>
            </w:r>
          </w:p>
        </w:tc>
        <w:tc>
          <w:tcPr>
            <w:tcW w:w="2820" w:type="dxa"/>
            <w:tcBorders>
              <w:top w:val="single" w:sz="4" w:space="0" w:color="999999"/>
              <w:left w:val="single" w:sz="4" w:space="0" w:color="999999"/>
              <w:bottom w:val="single" w:sz="4" w:space="0" w:color="999999"/>
              <w:right w:val="single" w:sz="4" w:space="0" w:color="999999"/>
            </w:tcBorders>
            <w:shd w:val="clear" w:color="auto" w:fill="F2F3F4"/>
            <w:tcMar>
              <w:top w:w="70" w:type="dxa"/>
              <w:left w:w="120" w:type="dxa"/>
              <w:bottom w:w="70" w:type="dxa"/>
              <w:right w:w="120" w:type="dxa"/>
            </w:tcMar>
          </w:tcPr>
          <w:p w:rsidR="00CA5FAA" w:rsidRPr="00EA39AC" w:rsidRDefault="0054151D" w:rsidP="00EB5684">
            <w:pPr>
              <w:spacing w:line="276" w:lineRule="auto"/>
              <w:jc w:val="both"/>
            </w:pPr>
            <w:r w:rsidRPr="00EA39AC">
              <w:t>0.884</w:t>
            </w:r>
          </w:p>
        </w:tc>
      </w:tr>
      <w:tr w:rsidR="00CA5FAA" w:rsidRPr="00EA39AC">
        <w:tc>
          <w:tcPr>
            <w:tcW w:w="37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MSE (mg²/dL²)</w:t>
            </w:r>
          </w:p>
        </w:tc>
        <w:tc>
          <w:tcPr>
            <w:tcW w:w="28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305.64</w:t>
            </w:r>
          </w:p>
        </w:tc>
        <w:tc>
          <w:tcPr>
            <w:tcW w:w="282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20" w:type="dxa"/>
              <w:bottom w:w="70" w:type="dxa"/>
              <w:right w:w="120" w:type="dxa"/>
            </w:tcMar>
          </w:tcPr>
          <w:p w:rsidR="00CA5FAA" w:rsidRPr="00EA39AC" w:rsidRDefault="0054151D" w:rsidP="00EB5684">
            <w:pPr>
              <w:spacing w:line="276" w:lineRule="auto"/>
              <w:jc w:val="both"/>
            </w:pPr>
            <w:r w:rsidRPr="00EA39AC">
              <w:t>178.74</w:t>
            </w:r>
          </w:p>
        </w:tc>
      </w:tr>
    </w:tbl>
    <w:p w:rsidR="00CA5FAA" w:rsidRPr="00EA39AC" w:rsidRDefault="0054151D" w:rsidP="00EB5684">
      <w:pPr>
        <w:pBdr>
          <w:top w:val="single" w:sz="4" w:space="0" w:color="AAAAAA"/>
        </w:pBdr>
        <w:spacing w:before="60" w:after="180" w:line="276" w:lineRule="auto"/>
        <w:jc w:val="both"/>
      </w:pPr>
      <w:r w:rsidRPr="00EA39AC">
        <w:rPr>
          <w:i/>
          <w:iCs/>
        </w:rPr>
        <w:t>Metrics computed on the combined internal dataset using Random Forest predictions.</w:t>
      </w:r>
      <w:r w:rsidRPr="00EA39AC">
        <w:rPr>
          <w:i/>
          <w:iCs/>
        </w:rPr>
        <w:br/>
        <w:t xml:space="preserve">  Extreme residuals defined as predictions deviating &gt;3 SD from the reference mean.</w:t>
      </w:r>
      <w:r w:rsidRPr="00EA39AC">
        <w:rPr>
          <w:i/>
          <w:iCs/>
        </w:rPr>
        <w:br/>
        <w:t xml:space="preserve">  QC truncation caps extreme predictions at ±2 SD; values are moderated, not discarded.</w:t>
      </w:r>
      <w:r w:rsidRPr="00EA39AC">
        <w:rPr>
          <w:i/>
          <w:iCs/>
        </w:rPr>
        <w:br/>
        <w:t xml:space="preserve">  R² and MSE improvements after QC reflect reduction in analytically implausible outlier predictions.</w:t>
      </w:r>
      <w:r w:rsidRPr="00EA39AC">
        <w:rPr>
          <w:i/>
          <w:iCs/>
        </w:rPr>
        <w:br/>
        <w:t xml:space="preserve">  SD = standard deviation; MSE = mean squared error (mg²/dL²).</w:t>
      </w:r>
    </w:p>
    <w:p w:rsidR="00CA5FAA" w:rsidRPr="00EA39AC" w:rsidRDefault="00CA5FAA" w:rsidP="00EB5684">
      <w:pPr>
        <w:spacing w:after="120" w:line="276" w:lineRule="auto"/>
        <w:jc w:val="both"/>
      </w:pP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Supplementary Table S3. Model Performance Stratified by Gender</w:t>
      </w:r>
    </w:p>
    <w:p w:rsidR="00CA5FAA" w:rsidRPr="00EA39AC" w:rsidRDefault="00CA5FAA" w:rsidP="00EB5684">
      <w:pPr>
        <w:spacing w:after="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567"/>
        <w:gridCol w:w="1120"/>
        <w:gridCol w:w="1478"/>
        <w:gridCol w:w="1478"/>
        <w:gridCol w:w="1478"/>
      </w:tblGrid>
      <w:tr w:rsidR="00CA5FAA" w:rsidRPr="00EA39AC">
        <w:tc>
          <w:tcPr>
            <w:tcW w:w="200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Model</w:t>
            </w:r>
          </w:p>
        </w:tc>
        <w:tc>
          <w:tcPr>
            <w:tcW w:w="140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Gender</w:t>
            </w:r>
          </w:p>
        </w:tc>
        <w:tc>
          <w:tcPr>
            <w:tcW w:w="100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n</w:t>
            </w:r>
          </w:p>
        </w:tc>
        <w:tc>
          <w:tcPr>
            <w:tcW w:w="13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R²</w:t>
            </w:r>
          </w:p>
        </w:tc>
        <w:tc>
          <w:tcPr>
            <w:tcW w:w="13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MSE (mg²/dL²)</w:t>
            </w:r>
          </w:p>
        </w:tc>
        <w:tc>
          <w:tcPr>
            <w:tcW w:w="13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PCC</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CatBoost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Female</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5,214</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0.847</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246.10</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0.920</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CatBoost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Male</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10,706</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0.878</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175.23</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0.937</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XGBoost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Female</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5,214</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0.881</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190.41</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0.939</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XGBoost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Male</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10,706</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0.904</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138.07</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0.951</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Random Forest</w:t>
            </w:r>
          </w:p>
        </w:tc>
        <w:tc>
          <w:tcPr>
            <w:tcW w:w="14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Female</w:t>
            </w:r>
          </w:p>
        </w:tc>
        <w:tc>
          <w:tcPr>
            <w:tcW w:w="1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5,214</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0.963</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59.39</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0.983</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Random Forest</w:t>
            </w:r>
          </w:p>
        </w:tc>
        <w:tc>
          <w:tcPr>
            <w:tcW w:w="14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Male</w:t>
            </w:r>
          </w:p>
        </w:tc>
        <w:tc>
          <w:tcPr>
            <w:tcW w:w="1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10,706</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0.978</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32.12</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0.989</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SVR</w:t>
            </w:r>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Female</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5,214</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0.758</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388.35</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0.872</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SVR</w:t>
            </w:r>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Male</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10,706</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0.865</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194.30</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0.932</w:t>
            </w:r>
          </w:p>
        </w:tc>
      </w:tr>
    </w:tbl>
    <w:p w:rsidR="00CA5FAA" w:rsidRPr="00EA39AC" w:rsidRDefault="0054151D" w:rsidP="00EB5684">
      <w:pPr>
        <w:pBdr>
          <w:top w:val="single" w:sz="4" w:space="0" w:color="AAAAAA"/>
        </w:pBdr>
        <w:spacing w:before="60" w:after="180" w:line="276" w:lineRule="auto"/>
        <w:jc w:val="both"/>
      </w:pPr>
      <w:r w:rsidRPr="00EA39AC">
        <w:rPr>
          <w:i/>
          <w:iCs/>
        </w:rPr>
        <w:t>R² = coefficient of determination; MSE = mean squared error (mg²/dL²); PCC = Pearson correlation coefficient.</w:t>
      </w:r>
      <w:r w:rsidRPr="00EA39AC">
        <w:rPr>
          <w:i/>
          <w:iCs/>
        </w:rPr>
        <w:br/>
        <w:t xml:space="preserve">  n = number of samples per gender category across the full dataset (development + validation).</w:t>
      </w:r>
      <w:r w:rsidRPr="00EA39AC">
        <w:rPr>
          <w:i/>
          <w:iCs/>
        </w:rPr>
        <w:br/>
      </w:r>
      <w:r w:rsidRPr="00EA39AC">
        <w:rPr>
          <w:i/>
          <w:iCs/>
        </w:rPr>
        <w:lastRenderedPageBreak/>
        <w:t xml:space="preserve">  Female: n = 5,214 (32.75%); Male: n = 10,706 (67.25%).</w:t>
      </w:r>
      <w:r w:rsidRPr="00EA39AC">
        <w:rPr>
          <w:i/>
          <w:iCs/>
        </w:rPr>
        <w:br/>
        <w:t xml:space="preserve">  Age and gender were excluded from model training inputs; these results represent post hoc subgroup evaluation.</w:t>
      </w:r>
      <w:r w:rsidRPr="00EA39AC">
        <w:rPr>
          <w:i/>
          <w:iCs/>
        </w:rPr>
        <w:br/>
        <w:t xml:space="preserve">  Performance differences between genders are minimal for all ensemble models, supporting demographic robustness.</w:t>
      </w:r>
    </w:p>
    <w:p w:rsidR="00CA5FAA" w:rsidRPr="00EA39AC" w:rsidRDefault="00CA5FAA" w:rsidP="00EB5684">
      <w:pPr>
        <w:spacing w:after="120" w:line="276" w:lineRule="auto"/>
        <w:jc w:val="both"/>
      </w:pPr>
    </w:p>
    <w:p w:rsidR="00CA5FAA" w:rsidRPr="00EA39AC" w:rsidRDefault="0054151D" w:rsidP="00EB5684">
      <w:pPr>
        <w:pStyle w:val="Heading2"/>
        <w:spacing w:line="276" w:lineRule="auto"/>
        <w:jc w:val="both"/>
        <w:rPr>
          <w:rFonts w:ascii="Times New Roman" w:hAnsi="Times New Roman" w:cs="Times New Roman"/>
          <w:sz w:val="24"/>
          <w:szCs w:val="24"/>
        </w:rPr>
      </w:pPr>
      <w:r w:rsidRPr="00EA39AC">
        <w:rPr>
          <w:rFonts w:ascii="Times New Roman" w:hAnsi="Times New Roman" w:cs="Times New Roman"/>
          <w:sz w:val="24"/>
          <w:szCs w:val="24"/>
        </w:rPr>
        <w:t>Supplementary Table S4. Model Performance Stratified by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567"/>
        <w:gridCol w:w="1120"/>
        <w:gridCol w:w="1478"/>
        <w:gridCol w:w="1478"/>
        <w:gridCol w:w="1478"/>
      </w:tblGrid>
      <w:tr w:rsidR="00CA5FAA" w:rsidRPr="00EA39AC">
        <w:tc>
          <w:tcPr>
            <w:tcW w:w="200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Model</w:t>
            </w:r>
          </w:p>
        </w:tc>
        <w:tc>
          <w:tcPr>
            <w:tcW w:w="140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Age Group</w:t>
            </w:r>
          </w:p>
        </w:tc>
        <w:tc>
          <w:tcPr>
            <w:tcW w:w="100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n</w:t>
            </w:r>
          </w:p>
        </w:tc>
        <w:tc>
          <w:tcPr>
            <w:tcW w:w="13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R²</w:t>
            </w:r>
          </w:p>
        </w:tc>
        <w:tc>
          <w:tcPr>
            <w:tcW w:w="13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MSE (mg²/dL²)</w:t>
            </w:r>
          </w:p>
        </w:tc>
        <w:tc>
          <w:tcPr>
            <w:tcW w:w="1320" w:type="dxa"/>
            <w:tcBorders>
              <w:top w:val="single" w:sz="12" w:space="0" w:color="2E4053"/>
              <w:left w:val="single" w:sz="4" w:space="0" w:color="999999"/>
              <w:bottom w:val="single" w:sz="12" w:space="0" w:color="2E4053"/>
              <w:right w:val="single" w:sz="4" w:space="0" w:color="999999"/>
            </w:tcBorders>
            <w:shd w:val="clear" w:color="auto" w:fill="2E4053"/>
            <w:tcMar>
              <w:top w:w="100" w:type="dxa"/>
              <w:left w:w="120" w:type="dxa"/>
              <w:bottom w:w="100" w:type="dxa"/>
              <w:right w:w="120" w:type="dxa"/>
            </w:tcMar>
          </w:tcPr>
          <w:p w:rsidR="00CA5FAA" w:rsidRPr="00EA39AC" w:rsidRDefault="0054151D" w:rsidP="00EB5684">
            <w:pPr>
              <w:spacing w:line="276" w:lineRule="auto"/>
              <w:jc w:val="both"/>
            </w:pPr>
            <w:r w:rsidRPr="00EA39AC">
              <w:rPr>
                <w:rFonts w:eastAsia="Arial"/>
                <w:b/>
                <w:bCs/>
                <w:color w:val="FFFFFF"/>
              </w:rPr>
              <w:t>PCC</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CatBoost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&lt;40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5,365</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0.859</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186.94</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0.927</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CatBoost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40–60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7,886</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0.854</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227.07</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0.925</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CatBoost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&gt;60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2,669</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0.913</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136.99</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0.956</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XGBoost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&lt;40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5,365</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0.889</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148.10</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0.943</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XGBoost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40–60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7,886</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0.888</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175.12</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0.942</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proofErr w:type="spellStart"/>
            <w:r w:rsidRPr="00EA39AC">
              <w:t>XGBoost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&gt;60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2,669</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0.930</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110.71</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0.964</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Random Forest</w:t>
            </w:r>
          </w:p>
        </w:tc>
        <w:tc>
          <w:tcPr>
            <w:tcW w:w="14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&lt;40</w:t>
            </w:r>
          </w:p>
        </w:tc>
        <w:tc>
          <w:tcPr>
            <w:tcW w:w="1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5,365</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0.975</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33.28</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0.988</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Random Forest</w:t>
            </w:r>
          </w:p>
        </w:tc>
        <w:tc>
          <w:tcPr>
            <w:tcW w:w="14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40–60</w:t>
            </w:r>
          </w:p>
        </w:tc>
        <w:tc>
          <w:tcPr>
            <w:tcW w:w="1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7,886</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0.969</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48.43</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0.985</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Random Forest</w:t>
            </w:r>
          </w:p>
        </w:tc>
        <w:tc>
          <w:tcPr>
            <w:tcW w:w="14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&gt;60</w:t>
            </w:r>
          </w:p>
        </w:tc>
        <w:tc>
          <w:tcPr>
            <w:tcW w:w="100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2,669</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0.978</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34.88</w:t>
            </w:r>
          </w:p>
        </w:tc>
        <w:tc>
          <w:tcPr>
            <w:tcW w:w="1320" w:type="dxa"/>
            <w:tcBorders>
              <w:top w:val="single" w:sz="4" w:space="0" w:color="999999"/>
              <w:left w:val="single" w:sz="4" w:space="0" w:color="999999"/>
              <w:bottom w:val="single" w:sz="4" w:space="0" w:color="999999"/>
              <w:right w:val="single" w:sz="4" w:space="0" w:color="999999"/>
            </w:tcBorders>
            <w:shd w:val="clear" w:color="auto" w:fill="D6EAF8"/>
            <w:tcMar>
              <w:top w:w="70" w:type="dxa"/>
              <w:left w:w="120" w:type="dxa"/>
              <w:bottom w:w="70" w:type="dxa"/>
              <w:right w:w="120" w:type="dxa"/>
            </w:tcMar>
          </w:tcPr>
          <w:p w:rsidR="00CA5FAA" w:rsidRPr="00EA39AC" w:rsidRDefault="0054151D" w:rsidP="00EB5684">
            <w:pPr>
              <w:spacing w:line="276" w:lineRule="auto"/>
              <w:jc w:val="both"/>
            </w:pPr>
            <w:r w:rsidRPr="00EA39AC">
              <w:t>0.989</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SVR</w:t>
            </w:r>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&lt;40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5,365</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0.822</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237.21</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0.908</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SVR</w:t>
            </w:r>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40–60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7,886</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0.802</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309.50</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0.897</w:t>
            </w:r>
          </w:p>
        </w:tc>
      </w:tr>
      <w:tr w:rsidR="00CA5FAA" w:rsidRPr="00EA39AC">
        <w:tc>
          <w:tcPr>
            <w:tcW w:w="2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SVR</w:t>
            </w:r>
          </w:p>
        </w:tc>
        <w:tc>
          <w:tcPr>
            <w:tcW w:w="14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&gt;60</w:t>
            </w:r>
          </w:p>
        </w:tc>
        <w:tc>
          <w:tcPr>
            <w:tcW w:w="100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2,669</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0.907</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146.76</w:t>
            </w:r>
          </w:p>
        </w:tc>
        <w:tc>
          <w:tcPr>
            <w:tcW w:w="1320" w:type="dxa"/>
            <w:tcBorders>
              <w:top w:val="single" w:sz="4" w:space="0" w:color="999999"/>
              <w:left w:val="single" w:sz="4" w:space="0" w:color="999999"/>
              <w:bottom w:val="single" w:sz="4" w:space="0" w:color="999999"/>
              <w:right w:val="single" w:sz="4" w:space="0" w:color="999999"/>
            </w:tcBorders>
            <w:shd w:val="clear" w:color="auto" w:fill="EBF5FB"/>
            <w:tcMar>
              <w:top w:w="70" w:type="dxa"/>
              <w:left w:w="120" w:type="dxa"/>
              <w:bottom w:w="70" w:type="dxa"/>
              <w:right w:w="120" w:type="dxa"/>
            </w:tcMar>
          </w:tcPr>
          <w:p w:rsidR="00CA5FAA" w:rsidRPr="00EA39AC" w:rsidRDefault="0054151D" w:rsidP="00EB5684">
            <w:pPr>
              <w:spacing w:line="276" w:lineRule="auto"/>
              <w:jc w:val="both"/>
            </w:pPr>
            <w:r w:rsidRPr="00EA39AC">
              <w:t>0.953</w:t>
            </w:r>
          </w:p>
        </w:tc>
      </w:tr>
    </w:tbl>
    <w:p w:rsidR="00CA5FAA" w:rsidRPr="00EA39AC" w:rsidRDefault="0054151D" w:rsidP="00EB5684">
      <w:pPr>
        <w:pBdr>
          <w:top w:val="single" w:sz="4" w:space="0" w:color="AAAAAA"/>
        </w:pBdr>
        <w:spacing w:before="60" w:after="180" w:line="276" w:lineRule="auto"/>
        <w:jc w:val="both"/>
      </w:pPr>
      <w:r w:rsidRPr="00EA39AC">
        <w:rPr>
          <w:i/>
          <w:iCs/>
        </w:rPr>
        <w:t>R² = coefficient of determination; MSE = mean squared error (mg²/dL²); PCC = Pearson correlation coefficient.</w:t>
      </w:r>
      <w:r w:rsidRPr="00EA39AC">
        <w:rPr>
          <w:i/>
          <w:iCs/>
        </w:rPr>
        <w:br/>
        <w:t xml:space="preserve">  Age groups: &lt;40 years (n = 5,365); 40–60 years (n = 7,886); &gt;60 years (n = 2,669).</w:t>
      </w:r>
      <w:r w:rsidRPr="00EA39AC">
        <w:rPr>
          <w:i/>
          <w:iCs/>
        </w:rPr>
        <w:br/>
        <w:t xml:space="preserve">  Age was excluded from model training inputs; results represent post hoc subgroup evaluation only.</w:t>
      </w:r>
      <w:r w:rsidRPr="00EA39AC">
        <w:rPr>
          <w:i/>
          <w:iCs/>
        </w:rPr>
        <w:br/>
        <w:t xml:space="preserve">  Random Forest maintains R² &gt; 0.96 across all age groups, confirming stability irrespective of patient age.</w:t>
      </w:r>
      <w:r w:rsidRPr="00EA39AC">
        <w:rPr>
          <w:i/>
          <w:iCs/>
        </w:rPr>
        <w:br/>
        <w:t xml:space="preserve">  The slightly higher R² in the &gt;60 age group across models may reflect reduced lipid variability in older patients.</w:t>
      </w:r>
    </w:p>
    <w:p w:rsidR="00EA39AC" w:rsidRPr="00EA39AC" w:rsidRDefault="00EA39AC" w:rsidP="00EB5684">
      <w:pPr>
        <w:spacing w:after="120" w:line="276" w:lineRule="auto"/>
        <w:jc w:val="both"/>
      </w:pPr>
      <w:bookmarkStart w:id="0" w:name="_GoBack"/>
      <w:bookmarkEnd w:id="0"/>
    </w:p>
    <w:sectPr w:rsidR="00EA39AC" w:rsidRPr="00EA39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74DAE"/>
    <w:multiLevelType w:val="hybridMultilevel"/>
    <w:tmpl w:val="AA9A612C"/>
    <w:lvl w:ilvl="0" w:tplc="60C85120">
      <w:start w:val="1"/>
      <w:numFmt w:val="bullet"/>
      <w:lvlText w:val="●"/>
      <w:lvlJc w:val="left"/>
      <w:pPr>
        <w:ind w:left="720" w:hanging="360"/>
      </w:pPr>
    </w:lvl>
    <w:lvl w:ilvl="1" w:tplc="8F809E34">
      <w:start w:val="1"/>
      <w:numFmt w:val="bullet"/>
      <w:lvlText w:val="○"/>
      <w:lvlJc w:val="left"/>
      <w:pPr>
        <w:ind w:left="1440" w:hanging="360"/>
      </w:pPr>
    </w:lvl>
    <w:lvl w:ilvl="2" w:tplc="B1BAC190">
      <w:start w:val="1"/>
      <w:numFmt w:val="bullet"/>
      <w:lvlText w:val="■"/>
      <w:lvlJc w:val="left"/>
      <w:pPr>
        <w:ind w:left="2160" w:hanging="360"/>
      </w:pPr>
    </w:lvl>
    <w:lvl w:ilvl="3" w:tplc="29286BB4">
      <w:start w:val="1"/>
      <w:numFmt w:val="bullet"/>
      <w:lvlText w:val="●"/>
      <w:lvlJc w:val="left"/>
      <w:pPr>
        <w:ind w:left="2880" w:hanging="360"/>
      </w:pPr>
    </w:lvl>
    <w:lvl w:ilvl="4" w:tplc="36140E2C">
      <w:start w:val="1"/>
      <w:numFmt w:val="bullet"/>
      <w:lvlText w:val="○"/>
      <w:lvlJc w:val="left"/>
      <w:pPr>
        <w:ind w:left="3600" w:hanging="360"/>
      </w:pPr>
    </w:lvl>
    <w:lvl w:ilvl="5" w:tplc="0470A7F8">
      <w:start w:val="1"/>
      <w:numFmt w:val="bullet"/>
      <w:lvlText w:val="■"/>
      <w:lvlJc w:val="left"/>
      <w:pPr>
        <w:ind w:left="4320" w:hanging="360"/>
      </w:pPr>
    </w:lvl>
    <w:lvl w:ilvl="6" w:tplc="83A021A4">
      <w:start w:val="1"/>
      <w:numFmt w:val="bullet"/>
      <w:lvlText w:val="●"/>
      <w:lvlJc w:val="left"/>
      <w:pPr>
        <w:ind w:left="5040" w:hanging="360"/>
      </w:pPr>
    </w:lvl>
    <w:lvl w:ilvl="7" w:tplc="FC726DD6">
      <w:start w:val="1"/>
      <w:numFmt w:val="bullet"/>
      <w:lvlText w:val="●"/>
      <w:lvlJc w:val="left"/>
      <w:pPr>
        <w:ind w:left="5760" w:hanging="360"/>
      </w:pPr>
    </w:lvl>
    <w:lvl w:ilvl="8" w:tplc="31E4873A">
      <w:start w:val="1"/>
      <w:numFmt w:val="bullet"/>
      <w:lvlText w:val="●"/>
      <w:lvlJc w:val="left"/>
      <w:pPr>
        <w:ind w:left="6480" w:hanging="360"/>
      </w:pPr>
    </w:lvl>
  </w:abstractNum>
  <w:abstractNum w:abstractNumId="1" w15:restartNumberingAfterBreak="0">
    <w:nsid w:val="5F20253F"/>
    <w:multiLevelType w:val="hybridMultilevel"/>
    <w:tmpl w:val="21DA1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FAA"/>
    <w:rsid w:val="001565AD"/>
    <w:rsid w:val="0054151D"/>
    <w:rsid w:val="006B3DCB"/>
    <w:rsid w:val="009C2CBF"/>
    <w:rsid w:val="00CA5FAA"/>
    <w:rsid w:val="00D81AED"/>
    <w:rsid w:val="00EA39AC"/>
    <w:rsid w:val="00EB5684"/>
    <w:rsid w:val="00F63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53C4"/>
  <w15:docId w15:val="{EB9C6D16-AC92-45D1-B9EC-DB64A352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50"/>
      <w:outlineLvl w:val="0"/>
    </w:pPr>
    <w:rPr>
      <w:rFonts w:ascii="Arial" w:eastAsia="Arial" w:hAnsi="Arial" w:cs="Arial"/>
      <w:b/>
      <w:bCs/>
      <w:color w:val="000000"/>
      <w:sz w:val="28"/>
      <w:szCs w:val="28"/>
    </w:rPr>
  </w:style>
  <w:style w:type="paragraph" w:styleId="Heading2">
    <w:name w:val="heading 2"/>
    <w:qFormat/>
    <w:pPr>
      <w:spacing w:before="240" w:after="120"/>
      <w:outlineLvl w:val="1"/>
    </w:pPr>
    <w:rPr>
      <w:rFonts w:ascii="Arial" w:eastAsia="Arial" w:hAnsi="Arial" w:cs="Arial"/>
      <w:b/>
      <w:bCs/>
      <w:color w:val="00000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EA39AC"/>
    <w:rPr>
      <w:b/>
      <w:bCs/>
    </w:rPr>
  </w:style>
  <w:style w:type="paragraph" w:styleId="NormalWeb">
    <w:name w:val="Normal (Web)"/>
    <w:basedOn w:val="Normal"/>
    <w:uiPriority w:val="99"/>
    <w:semiHidden/>
    <w:unhideWhenUsed/>
    <w:rsid w:val="00EA39AC"/>
    <w:pPr>
      <w:spacing w:before="100" w:beforeAutospacing="1" w:after="100" w:afterAutospacing="1"/>
    </w:pPr>
  </w:style>
  <w:style w:type="character" w:styleId="Emphasis">
    <w:name w:val="Emphasis"/>
    <w:basedOn w:val="DefaultParagraphFont"/>
    <w:uiPriority w:val="20"/>
    <w:qFormat/>
    <w:rsid w:val="00EA39AC"/>
    <w:rPr>
      <w:i/>
      <w:iCs/>
    </w:rPr>
  </w:style>
  <w:style w:type="paragraph" w:styleId="NoSpacing">
    <w:name w:val="No Spacing"/>
    <w:uiPriority w:val="1"/>
    <w:qFormat/>
    <w:rsid w:val="00EA39AC"/>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11097">
      <w:bodyDiv w:val="1"/>
      <w:marLeft w:val="0"/>
      <w:marRight w:val="0"/>
      <w:marTop w:val="0"/>
      <w:marBottom w:val="0"/>
      <w:divBdr>
        <w:top w:val="none" w:sz="0" w:space="0" w:color="auto"/>
        <w:left w:val="none" w:sz="0" w:space="0" w:color="auto"/>
        <w:bottom w:val="none" w:sz="0" w:space="0" w:color="auto"/>
        <w:right w:val="none" w:sz="0" w:space="0" w:color="auto"/>
      </w:divBdr>
    </w:div>
    <w:div w:id="96415286">
      <w:bodyDiv w:val="1"/>
      <w:marLeft w:val="0"/>
      <w:marRight w:val="0"/>
      <w:marTop w:val="0"/>
      <w:marBottom w:val="0"/>
      <w:divBdr>
        <w:top w:val="none" w:sz="0" w:space="0" w:color="auto"/>
        <w:left w:val="none" w:sz="0" w:space="0" w:color="auto"/>
        <w:bottom w:val="none" w:sz="0" w:space="0" w:color="auto"/>
        <w:right w:val="none" w:sz="0" w:space="0" w:color="auto"/>
      </w:divBdr>
    </w:div>
    <w:div w:id="387147635">
      <w:bodyDiv w:val="1"/>
      <w:marLeft w:val="0"/>
      <w:marRight w:val="0"/>
      <w:marTop w:val="0"/>
      <w:marBottom w:val="0"/>
      <w:divBdr>
        <w:top w:val="none" w:sz="0" w:space="0" w:color="auto"/>
        <w:left w:val="none" w:sz="0" w:space="0" w:color="auto"/>
        <w:bottom w:val="none" w:sz="0" w:space="0" w:color="auto"/>
        <w:right w:val="none" w:sz="0" w:space="0" w:color="auto"/>
      </w:divBdr>
    </w:div>
    <w:div w:id="431169184">
      <w:bodyDiv w:val="1"/>
      <w:marLeft w:val="0"/>
      <w:marRight w:val="0"/>
      <w:marTop w:val="0"/>
      <w:marBottom w:val="0"/>
      <w:divBdr>
        <w:top w:val="none" w:sz="0" w:space="0" w:color="auto"/>
        <w:left w:val="none" w:sz="0" w:space="0" w:color="auto"/>
        <w:bottom w:val="none" w:sz="0" w:space="0" w:color="auto"/>
        <w:right w:val="none" w:sz="0" w:space="0" w:color="auto"/>
      </w:divBdr>
    </w:div>
    <w:div w:id="549541206">
      <w:bodyDiv w:val="1"/>
      <w:marLeft w:val="0"/>
      <w:marRight w:val="0"/>
      <w:marTop w:val="0"/>
      <w:marBottom w:val="0"/>
      <w:divBdr>
        <w:top w:val="none" w:sz="0" w:space="0" w:color="auto"/>
        <w:left w:val="none" w:sz="0" w:space="0" w:color="auto"/>
        <w:bottom w:val="none" w:sz="0" w:space="0" w:color="auto"/>
        <w:right w:val="none" w:sz="0" w:space="0" w:color="auto"/>
      </w:divBdr>
    </w:div>
    <w:div w:id="726952436">
      <w:bodyDiv w:val="1"/>
      <w:marLeft w:val="0"/>
      <w:marRight w:val="0"/>
      <w:marTop w:val="0"/>
      <w:marBottom w:val="0"/>
      <w:divBdr>
        <w:top w:val="none" w:sz="0" w:space="0" w:color="auto"/>
        <w:left w:val="none" w:sz="0" w:space="0" w:color="auto"/>
        <w:bottom w:val="none" w:sz="0" w:space="0" w:color="auto"/>
        <w:right w:val="none" w:sz="0" w:space="0" w:color="auto"/>
      </w:divBdr>
    </w:div>
    <w:div w:id="874735718">
      <w:bodyDiv w:val="1"/>
      <w:marLeft w:val="0"/>
      <w:marRight w:val="0"/>
      <w:marTop w:val="0"/>
      <w:marBottom w:val="0"/>
      <w:divBdr>
        <w:top w:val="none" w:sz="0" w:space="0" w:color="auto"/>
        <w:left w:val="none" w:sz="0" w:space="0" w:color="auto"/>
        <w:bottom w:val="none" w:sz="0" w:space="0" w:color="auto"/>
        <w:right w:val="none" w:sz="0" w:space="0" w:color="auto"/>
      </w:divBdr>
    </w:div>
    <w:div w:id="1911429077">
      <w:bodyDiv w:val="1"/>
      <w:marLeft w:val="0"/>
      <w:marRight w:val="0"/>
      <w:marTop w:val="0"/>
      <w:marBottom w:val="0"/>
      <w:divBdr>
        <w:top w:val="none" w:sz="0" w:space="0" w:color="auto"/>
        <w:left w:val="none" w:sz="0" w:space="0" w:color="auto"/>
        <w:bottom w:val="none" w:sz="0" w:space="0" w:color="auto"/>
        <w:right w:val="none" w:sz="0" w:space="0" w:color="auto"/>
      </w:divBdr>
    </w:div>
    <w:div w:id="1927306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01/jamacardio.2020.0013." TargetMode="External"/><Relationship Id="rId13" Type="http://schemas.openxmlformats.org/officeDocument/2006/relationships/hyperlink" Target="https://doi.org/10.1016/j.bspc.2021.10317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jacc.2013.01.079" TargetMode="External"/><Relationship Id="rId12" Type="http://schemas.openxmlformats.org/officeDocument/2006/relationships/hyperlink" Target="https://doi.org/10.1016/j.compbiomed.2020.10383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BF00994018" TargetMode="External"/><Relationship Id="rId1" Type="http://schemas.openxmlformats.org/officeDocument/2006/relationships/numbering" Target="numbering.xml"/><Relationship Id="rId6" Type="http://schemas.openxmlformats.org/officeDocument/2006/relationships/hyperlink" Target="https://doi.org/10.1001/jama.2013.280532" TargetMode="External"/><Relationship Id="rId11" Type="http://schemas.openxmlformats.org/officeDocument/2006/relationships/hyperlink" Target="https://doi.org/10.1309/LM6KSKG9Y8RR7Y8J" TargetMode="External"/><Relationship Id="rId5" Type="http://schemas.openxmlformats.org/officeDocument/2006/relationships/hyperlink" Target="https://doi.org/10.1093/eurheartj/ehz455" TargetMode="External"/><Relationship Id="rId15" Type="http://schemas.openxmlformats.org/officeDocument/2006/relationships/hyperlink" Target="https://doi.org/10.1145/2939672.2939785" TargetMode="External"/><Relationship Id="rId10" Type="http://schemas.openxmlformats.org/officeDocument/2006/relationships/hyperlink" Target="https://doi.org/10.1016/j.cca.2022.03.012" TargetMode="External"/><Relationship Id="rId4" Type="http://schemas.openxmlformats.org/officeDocument/2006/relationships/webSettings" Target="webSettings.xml"/><Relationship Id="rId9" Type="http://schemas.openxmlformats.org/officeDocument/2006/relationships/hyperlink" Target="https://doi.org/10.1016/j.jacc.2022.12.007" TargetMode="External"/><Relationship Id="rId14" Type="http://schemas.openxmlformats.org/officeDocument/2006/relationships/hyperlink" Target="https://doi.org/10.1038/s41598-022-154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5854</Words>
  <Characters>33372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cp:lastModifiedBy>
  <cp:revision>2</cp:revision>
  <dcterms:created xsi:type="dcterms:W3CDTF">2026-02-28T12:57:00Z</dcterms:created>
  <dcterms:modified xsi:type="dcterms:W3CDTF">2026-02-28T12:57:00Z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01d02132-ec31-45b1-86a6-72a4013069a3</vt:lpwstr>
  </property>
</Properties>
</file>