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B09" w:rsidRPr="00387B09" w:rsidRDefault="00387B09">
      <w:pPr>
        <w:spacing w:after="80"/>
        <w:jc w:val="center"/>
        <w:rPr>
          <w:rFonts w:ascii="Arial Black" w:hAnsi="Arial Black"/>
          <w:i/>
          <w:iCs/>
        </w:rPr>
      </w:pPr>
      <w:proofErr w:type="spellStart"/>
      <w:proofErr w:type="gramStart"/>
      <w:r w:rsidRPr="00387B09">
        <w:rPr>
          <w:rFonts w:ascii="Arial Black" w:hAnsi="Arial Black"/>
        </w:rPr>
        <w:t>Holotranscobalamin</w:t>
      </w:r>
      <w:proofErr w:type="spellEnd"/>
      <w:r>
        <w:rPr>
          <w:rFonts w:ascii="Arial Black" w:hAnsi="Arial Black"/>
        </w:rPr>
        <w:t>( Active</w:t>
      </w:r>
      <w:proofErr w:type="gramEnd"/>
      <w:r>
        <w:rPr>
          <w:rFonts w:ascii="Arial Black" w:hAnsi="Arial Black"/>
        </w:rPr>
        <w:t xml:space="preserve"> B12)</w:t>
      </w:r>
      <w:r w:rsidRPr="00387B09">
        <w:rPr>
          <w:rFonts w:ascii="Arial Black" w:hAnsi="Arial Black"/>
        </w:rPr>
        <w:t xml:space="preserve"> Versus Total Serum B12 for Screening of Functional Cobalamin Deficiency in Adults on Acid-Suppressive Therapy</w:t>
      </w:r>
    </w:p>
    <w:p w:rsidR="00C84432" w:rsidRDefault="00387B09">
      <w:pPr>
        <w:pStyle w:val="Heading1"/>
      </w:pPr>
      <w:r>
        <w:t>Abstract</w:t>
      </w:r>
    </w:p>
    <w:p w:rsidR="00523F05" w:rsidRDefault="00387B09" w:rsidP="00523F05">
      <w:pPr>
        <w:spacing w:after="60"/>
        <w:ind w:left="360" w:hanging="360"/>
      </w:pPr>
      <w:proofErr w:type="gramStart"/>
      <w:r>
        <w:rPr>
          <w:b/>
          <w:bCs/>
        </w:rPr>
        <w:t>B</w:t>
      </w:r>
      <w:r w:rsidR="00523F05">
        <w:rPr>
          <w:b/>
          <w:bCs/>
        </w:rPr>
        <w:t>ackground ;</w:t>
      </w:r>
      <w:proofErr w:type="gramEnd"/>
      <w:r w:rsidR="00523F05">
        <w:t xml:space="preserve"> </w:t>
      </w:r>
      <w:r w:rsidR="00523F05">
        <w:t xml:space="preserve">Vitamin B12 deficiency is often overlooked in patients on long-term acid-suppressive therapy. This oversight occurs partly because the standard screening test, total serum B12, includes a large amount of circulating cobalamin that is not biologically active. Active vitamin B12, or </w:t>
      </w:r>
      <w:proofErr w:type="spellStart"/>
      <w:r w:rsidR="00523F05">
        <w:t>holotranscobalamin</w:t>
      </w:r>
      <w:proofErr w:type="spellEnd"/>
      <w:r w:rsidR="00523F05">
        <w:t>, measures only the fraction that is delivered to cells. It may detect deficiency earlier and more reliably.</w:t>
      </w:r>
    </w:p>
    <w:p w:rsidR="00C84432" w:rsidRPr="00523F05" w:rsidRDefault="00523F05">
      <w:pPr>
        <w:spacing w:after="120"/>
        <w:jc w:val="both"/>
        <w:rPr>
          <w:u w:val="single"/>
        </w:rPr>
      </w:pPr>
      <w:r>
        <w:t xml:space="preserve"> </w:t>
      </w:r>
    </w:p>
    <w:p w:rsidR="00C84432" w:rsidRDefault="00387B09">
      <w:pPr>
        <w:spacing w:after="120"/>
        <w:jc w:val="both"/>
      </w:pPr>
      <w:r>
        <w:rPr>
          <w:b/>
          <w:bCs/>
        </w:rPr>
        <w:t xml:space="preserve">Methods. </w:t>
      </w:r>
      <w:r>
        <w:t xml:space="preserve">We reviewed records from 2,338 consecutive adults with simultaneous total B12 and Active B12 measurements between June and December 2025. Biochemical and haematological parameters were compared between patients with low Active B12 (&lt; 35 </w:t>
      </w:r>
      <w:proofErr w:type="spellStart"/>
      <w:r>
        <w:t>pmol</w:t>
      </w:r>
      <w:proofErr w:type="spellEnd"/>
      <w:r>
        <w:t xml:space="preserve">/L) and normal levels. ROC analysis with </w:t>
      </w:r>
      <w:proofErr w:type="spellStart"/>
      <w:r>
        <w:t>Youden's</w:t>
      </w:r>
      <w:proofErr w:type="spellEnd"/>
      <w:r>
        <w:t xml:space="preserve"> J statistic identified optimal diagnostic cut-offs. A sub-cohort received either oral cyanocobalamin (1,000 µg/day) or intramuscular (IM) </w:t>
      </w:r>
      <w:proofErr w:type="spellStart"/>
      <w:r>
        <w:t>hydroxocobalamin</w:t>
      </w:r>
      <w:proofErr w:type="spellEnd"/>
      <w:r>
        <w:t xml:space="preserve"> and was followed for six months.</w:t>
      </w:r>
    </w:p>
    <w:p w:rsidR="00C84432" w:rsidRDefault="00387B09">
      <w:pPr>
        <w:spacing w:after="120"/>
        <w:jc w:val="both"/>
      </w:pPr>
      <w:r>
        <w:rPr>
          <w:b/>
          <w:bCs/>
        </w:rPr>
        <w:t xml:space="preserve">Results. </w:t>
      </w:r>
      <w:r>
        <w:t xml:space="preserve">Active B12 deficiency was found in 155 patients (6.6%), versus only 22 (0.9%) by total B12—a seven-fold difference. Of those with low Active B12, 91% had total B12 in the grey zone (200–350 </w:t>
      </w:r>
      <w:proofErr w:type="spellStart"/>
      <w:r>
        <w:t>pg</w:t>
      </w:r>
      <w:proofErr w:type="spellEnd"/>
      <w:r>
        <w:t>/mL). Homocysteine was markedly higher in the deficient group (20.94 ± 3.30 vs 13.88 ± 7.61 µ</w:t>
      </w:r>
      <w:proofErr w:type="spellStart"/>
      <w:r>
        <w:t>mol</w:t>
      </w:r>
      <w:proofErr w:type="spellEnd"/>
      <w:r>
        <w:t xml:space="preserve">/L; p &lt; 0.001), and ROC analysis against homocysteine gave an AUC of 0.919 for Active B12 versus 0.684 for total B12. The </w:t>
      </w:r>
      <w:proofErr w:type="spellStart"/>
      <w:r>
        <w:t>Youden</w:t>
      </w:r>
      <w:proofErr w:type="spellEnd"/>
      <w:r>
        <w:t xml:space="preserve">-optimal cut-off was 34.9 </w:t>
      </w:r>
      <w:proofErr w:type="spellStart"/>
      <w:r>
        <w:t>pmol</w:t>
      </w:r>
      <w:proofErr w:type="spellEnd"/>
      <w:r>
        <w:t>/L. Oral and IM therapy produced equivalent outcomes.</w:t>
      </w:r>
    </w:p>
    <w:p w:rsidR="00C84432" w:rsidRDefault="00387B09">
      <w:pPr>
        <w:spacing w:after="120"/>
        <w:jc w:val="both"/>
      </w:pPr>
      <w:r>
        <w:rPr>
          <w:b/>
          <w:bCs/>
        </w:rPr>
        <w:t xml:space="preserve">Conclusions. </w:t>
      </w:r>
      <w:r>
        <w:t xml:space="preserve">Active B12 substantially outperforms total serum B12 for detecting functional cobalamin deficiency in patients on acid-suppressive therapy. The 35 </w:t>
      </w:r>
      <w:proofErr w:type="spellStart"/>
      <w:r>
        <w:t>pmol</w:t>
      </w:r>
      <w:proofErr w:type="spellEnd"/>
      <w:r>
        <w:t>/L threshold is statistically well-supported, and high-dose oral B12 is as effective as injections, including in irreversible malabsorption.</w:t>
      </w:r>
    </w:p>
    <w:p w:rsidR="00C84432" w:rsidRDefault="00387B09">
      <w:pPr>
        <w:spacing w:after="300"/>
        <w:jc w:val="both"/>
      </w:pPr>
      <w:r>
        <w:rPr>
          <w:b/>
          <w:bCs/>
        </w:rPr>
        <w:t xml:space="preserve">Keywords: </w:t>
      </w:r>
      <w:r>
        <w:rPr>
          <w:i/>
          <w:iCs/>
        </w:rPr>
        <w:t xml:space="preserve">Active vitamin B12; </w:t>
      </w:r>
      <w:proofErr w:type="spellStart"/>
      <w:r>
        <w:rPr>
          <w:i/>
          <w:iCs/>
        </w:rPr>
        <w:t>holotranscobalamin</w:t>
      </w:r>
      <w:proofErr w:type="spellEnd"/>
      <w:r>
        <w:rPr>
          <w:i/>
          <w:iCs/>
        </w:rPr>
        <w:t>; proton pump inhibitors; vitamin B12 deficiency; oral cyanocobalamin; homocysteine; ROC analysis; primary care</w:t>
      </w:r>
    </w:p>
    <w:p w:rsidR="00C84432" w:rsidRDefault="00387B09">
      <w:pPr>
        <w:pStyle w:val="Heading1"/>
      </w:pPr>
      <w:r>
        <w:t>1. Introduction</w:t>
      </w:r>
    </w:p>
    <w:p w:rsidR="00C84432" w:rsidRDefault="00387B09">
      <w:pPr>
        <w:spacing w:after="160"/>
        <w:jc w:val="both"/>
      </w:pPr>
      <w:r>
        <w:t xml:space="preserve">Vitamin B12 deficiency causes megaloblastic anaemia, subacute degeneration of the spinal cord, peripheral neuropathy, and cognitive decline, yet it is frequently missed in clinical </w:t>
      </w:r>
      <w:proofErr w:type="gramStart"/>
      <w:r>
        <w:t>practice.</w:t>
      </w:r>
      <w:r w:rsidR="005A3B03">
        <w:t>(</w:t>
      </w:r>
      <w:proofErr w:type="gramEnd"/>
      <w:r w:rsidRPr="005A3B03">
        <w:rPr>
          <w:b/>
          <w:sz w:val="28"/>
          <w:szCs w:val="28"/>
          <w:vertAlign w:val="superscript"/>
        </w:rPr>
        <w:t>1,2</w:t>
      </w:r>
      <w:r w:rsidR="005A3B03">
        <w:rPr>
          <w:b/>
          <w:sz w:val="28"/>
          <w:szCs w:val="28"/>
          <w:vertAlign w:val="superscript"/>
        </w:rPr>
        <w:t>)</w:t>
      </w:r>
      <w:bookmarkStart w:id="0" w:name="_GoBack"/>
      <w:bookmarkEnd w:id="0"/>
      <w:r>
        <w:t xml:space="preserve"> The most widely used screening test, total serum B12, is a poor reflection of how much cobalamin actually reaches the body's cells. Roughly 80% of circulating B12 is bound to </w:t>
      </w:r>
      <w:proofErr w:type="spellStart"/>
      <w:r>
        <w:t>haptocorrin</w:t>
      </w:r>
      <w:proofErr w:type="spellEnd"/>
      <w:r>
        <w:t xml:space="preserve">, a carrier protein with no role in cellular delivery. Only the remaining 20%—bound to </w:t>
      </w:r>
      <w:proofErr w:type="spellStart"/>
      <w:r>
        <w:t>transcobalamin</w:t>
      </w:r>
      <w:proofErr w:type="spellEnd"/>
      <w:r>
        <w:t xml:space="preserve"> II and measured as </w:t>
      </w:r>
      <w:proofErr w:type="spellStart"/>
      <w:r>
        <w:t>holotranscobalamin</w:t>
      </w:r>
      <w:proofErr w:type="spellEnd"/>
      <w:r>
        <w:t xml:space="preserve">, or Active B12—is available to </w:t>
      </w:r>
      <w:proofErr w:type="gramStart"/>
      <w:r>
        <w:t>tissues.</w:t>
      </w:r>
      <w:r w:rsidR="00880A2E">
        <w:t>(</w:t>
      </w:r>
      <w:proofErr w:type="gramEnd"/>
      <w:r w:rsidRPr="00880A2E">
        <w:rPr>
          <w:b/>
          <w:sz w:val="28"/>
          <w:szCs w:val="28"/>
          <w:vertAlign w:val="superscript"/>
        </w:rPr>
        <w:t>3</w:t>
      </w:r>
      <w:r w:rsidR="00880A2E">
        <w:rPr>
          <w:b/>
          <w:sz w:val="28"/>
          <w:szCs w:val="28"/>
          <w:vertAlign w:val="superscript"/>
        </w:rPr>
        <w:t>)</w:t>
      </w:r>
      <w:r>
        <w:t xml:space="preserve"> A patient can therefore have a "normal" total B12 while their cells are already running short. International guidelines acknowledge these limitations and support the use of functional markers such as </w:t>
      </w:r>
      <w:proofErr w:type="spellStart"/>
      <w:r>
        <w:t>holotranscobalamin</w:t>
      </w:r>
      <w:proofErr w:type="spellEnd"/>
      <w:r>
        <w:t xml:space="preserve"> in equivocal </w:t>
      </w:r>
      <w:proofErr w:type="gramStart"/>
      <w:r>
        <w:t>cases.</w:t>
      </w:r>
      <w:r w:rsidR="00880A2E">
        <w:t>(</w:t>
      </w:r>
      <w:proofErr w:type="gramEnd"/>
      <w:r w:rsidRPr="00880A2E">
        <w:rPr>
          <w:b/>
          <w:sz w:val="28"/>
          <w:szCs w:val="28"/>
          <w:vertAlign w:val="superscript"/>
        </w:rPr>
        <w:t>14</w:t>
      </w:r>
      <w:r w:rsidR="00880A2E">
        <w:rPr>
          <w:b/>
          <w:sz w:val="28"/>
          <w:szCs w:val="28"/>
          <w:vertAlign w:val="superscript"/>
        </w:rPr>
        <w:t>)</w:t>
      </w:r>
    </w:p>
    <w:p w:rsidR="00C84432" w:rsidRDefault="00387B09">
      <w:pPr>
        <w:spacing w:after="160"/>
        <w:jc w:val="both"/>
      </w:pPr>
      <w:r>
        <w:lastRenderedPageBreak/>
        <w:t>This matters most in the growing population of patients on long-term acid-suppressive therapy. Proton pump inhibitors (PPIs) and histamine-2 receptor antagonists (H2RAs) are among the most prescribed drugs globally, and their chronic use impairs gastric acid-mediated release of food-bound cobalamin. Lam et al. showed that long-term PPI or H2RA use raises the risk of B12 deficiency by around 65</w:t>
      </w:r>
      <w:proofErr w:type="gramStart"/>
      <w:r>
        <w:t>%.</w:t>
      </w:r>
      <w:r w:rsidR="00880A2E">
        <w:t>(</w:t>
      </w:r>
      <w:proofErr w:type="gramEnd"/>
      <w:r w:rsidRPr="00880A2E">
        <w:rPr>
          <w:b/>
          <w:sz w:val="28"/>
          <w:szCs w:val="28"/>
          <w:vertAlign w:val="superscript"/>
        </w:rPr>
        <w:t>4</w:t>
      </w:r>
      <w:r w:rsidR="00880A2E">
        <w:rPr>
          <w:sz w:val="28"/>
          <w:szCs w:val="28"/>
          <w:vertAlign w:val="superscript"/>
        </w:rPr>
        <w:t>)</w:t>
      </w:r>
      <w:r>
        <w:t xml:space="preserve"> Yet most patients on these drugs are never screened, and when they are, total B12 is the test requested—one that, as this study shows, misses the large majority of those who are functionally deficient.</w:t>
      </w:r>
    </w:p>
    <w:p w:rsidR="00C84432" w:rsidRDefault="00387B09">
      <w:pPr>
        <w:spacing w:after="160"/>
        <w:jc w:val="both"/>
      </w:pPr>
      <w:r>
        <w:t xml:space="preserve">A second issue concerns treatment. High-dose oral cyanocobalamin (1,000 µg/day) is absorbed via passive diffusion at around 1–2% per dose, entirely independent of intrinsic factor or </w:t>
      </w:r>
      <w:proofErr w:type="spellStart"/>
      <w:r>
        <w:t>ileal</w:t>
      </w:r>
      <w:proofErr w:type="spellEnd"/>
      <w:r>
        <w:t xml:space="preserve"> receptors, and delivers well above daily requirements even without normal active </w:t>
      </w:r>
      <w:proofErr w:type="gramStart"/>
      <w:r>
        <w:t>transport.</w:t>
      </w:r>
      <w:r w:rsidR="00880A2E">
        <w:t>(</w:t>
      </w:r>
      <w:proofErr w:type="gramEnd"/>
      <w:r w:rsidRPr="00880A2E">
        <w:rPr>
          <w:b/>
          <w:sz w:val="28"/>
          <w:szCs w:val="28"/>
          <w:vertAlign w:val="superscript"/>
        </w:rPr>
        <w:t>5,6</w:t>
      </w:r>
      <w:r w:rsidR="00880A2E">
        <w:rPr>
          <w:b/>
          <w:sz w:val="28"/>
          <w:szCs w:val="28"/>
          <w:vertAlign w:val="superscript"/>
        </w:rPr>
        <w:t>)</w:t>
      </w:r>
      <w:r>
        <w:t xml:space="preserve"> Several randomised trials have confirmed equivalence with IM therapy, yet injections remain the default in many centres.</w:t>
      </w:r>
    </w:p>
    <w:p w:rsidR="00C84432" w:rsidRDefault="00387B09">
      <w:pPr>
        <w:spacing w:after="300"/>
        <w:jc w:val="both"/>
      </w:pPr>
      <w:r>
        <w:t>This study addresses two practical questions: does Active B12 meaningfully outperform total B12 at identifying functionally deficient patients—and what cut-off should be used? And is high-dose oral therapy truly equivalent to IM injections in a real-world setting including irreversible malabsorption? Both questions are addressed using data from 2,338 consecutive patients with paired B12 measurements, validated against functional biomarkers including homocysteine.</w:t>
      </w:r>
    </w:p>
    <w:p w:rsidR="00C84432" w:rsidRDefault="00387B09">
      <w:pPr>
        <w:pStyle w:val="Heading1"/>
      </w:pPr>
      <w:r>
        <w:t>2. Methods</w:t>
      </w:r>
    </w:p>
    <w:p w:rsidR="00C84432" w:rsidRDefault="00387B09">
      <w:pPr>
        <w:pStyle w:val="Heading2"/>
      </w:pPr>
      <w:r>
        <w:t>2.1 Study design and setting</w:t>
      </w:r>
    </w:p>
    <w:p w:rsidR="00387B09" w:rsidRDefault="00387B09">
      <w:pPr>
        <w:spacing w:after="160"/>
        <w:jc w:val="both"/>
      </w:pPr>
      <w:r>
        <w:t xml:space="preserve">This was a retrospective cohort study using data from electronic medical records at AIG Hospitals, Hyderabad. All consecutive patients who had both total serum B12 and Active B12 measured simultaneously between 30 June and 31 December 2025 were included. </w:t>
      </w:r>
    </w:p>
    <w:p w:rsidR="00C84432" w:rsidRDefault="00387B09">
      <w:pPr>
        <w:spacing w:after="160"/>
        <w:jc w:val="both"/>
      </w:pPr>
      <w:r w:rsidRPr="00387B09">
        <w:rPr>
          <w:b/>
        </w:rPr>
        <w:t xml:space="preserve">Ethics </w:t>
      </w:r>
      <w:proofErr w:type="spellStart"/>
      <w:proofErr w:type="gramStart"/>
      <w:r w:rsidRPr="00387B09">
        <w:rPr>
          <w:b/>
        </w:rPr>
        <w:t>Statement</w:t>
      </w:r>
      <w:r>
        <w:t>:The</w:t>
      </w:r>
      <w:proofErr w:type="spellEnd"/>
      <w:proofErr w:type="gramEnd"/>
      <w:r>
        <w:t xml:space="preserve"> institutional review board granted a waiver of individual informed consent on the grounds of retrospective design and use of de-identified data.</w:t>
      </w:r>
    </w:p>
    <w:p w:rsidR="00C84432" w:rsidRDefault="00387B09">
      <w:pPr>
        <w:pStyle w:val="Heading2"/>
      </w:pPr>
      <w:r>
        <w:t>2.2 Patients</w:t>
      </w:r>
    </w:p>
    <w:p w:rsidR="00C84432" w:rsidRDefault="00387B09">
      <w:pPr>
        <w:spacing w:after="160"/>
        <w:jc w:val="both"/>
      </w:pPr>
      <w:r>
        <w:t xml:space="preserve">We included 2,338 patients aged across four groups (&lt;20, 20–39, 40–59, and 60–79 years) with complete paired B12 measurements. For sub-analyses, patients were classified as having reversible malabsorption (chronic PPI or H2RA use &gt;12 months) or irreversible malabsorption (pernicious anaemia confirmed by anti-intrinsic factor antibodies, or prior </w:t>
      </w:r>
      <w:proofErr w:type="spellStart"/>
      <w:r>
        <w:t>ileal</w:t>
      </w:r>
      <w:proofErr w:type="spellEnd"/>
      <w:r>
        <w:t xml:space="preserve"> resection). Patients with active haematological malignancy, current chemotherapy, or a primary blood disorder were excluded.</w:t>
      </w:r>
    </w:p>
    <w:p w:rsidR="00C84432" w:rsidRDefault="00387B09">
      <w:pPr>
        <w:pStyle w:val="Heading2"/>
      </w:pPr>
      <w:r>
        <w:t>2.3 Laboratory methods</w:t>
      </w:r>
    </w:p>
    <w:p w:rsidR="00C84432" w:rsidRDefault="00387B09">
      <w:pPr>
        <w:spacing w:after="160"/>
        <w:jc w:val="both"/>
      </w:pPr>
      <w:r>
        <w:t xml:space="preserve">Total serum B12 was measured by </w:t>
      </w:r>
      <w:proofErr w:type="spellStart"/>
      <w:r>
        <w:t>chemiluminescent</w:t>
      </w:r>
      <w:proofErr w:type="spellEnd"/>
      <w:r>
        <w:t xml:space="preserve"> </w:t>
      </w:r>
      <w:proofErr w:type="spellStart"/>
      <w:r>
        <w:t>microparticle</w:t>
      </w:r>
      <w:proofErr w:type="spellEnd"/>
      <w:r>
        <w:t xml:space="preserve"> immunoassay (CMIA; reference range 200–900 </w:t>
      </w:r>
      <w:proofErr w:type="spellStart"/>
      <w:r>
        <w:t>pg</w:t>
      </w:r>
      <w:proofErr w:type="spellEnd"/>
      <w:r>
        <w:t>/mL). Active B12 (</w:t>
      </w:r>
      <w:proofErr w:type="spellStart"/>
      <w:r>
        <w:t>holotranscobalamin</w:t>
      </w:r>
      <w:proofErr w:type="spellEnd"/>
      <w:r>
        <w:t xml:space="preserve">) was measured by two-step CMIA using </w:t>
      </w:r>
      <w:proofErr w:type="spellStart"/>
      <w:r>
        <w:t>transcobalamin</w:t>
      </w:r>
      <w:proofErr w:type="spellEnd"/>
      <w:r>
        <w:t xml:space="preserve"> II-specific monoclonal antibodies; values below 35 </w:t>
      </w:r>
      <w:proofErr w:type="spellStart"/>
      <w:r>
        <w:t>pmol</w:t>
      </w:r>
      <w:proofErr w:type="spellEnd"/>
      <w:r>
        <w:t>/L were classified as deficient. Additional tests included haemoglobin, mean corpuscular volume, red and white blood cell counts, peripheral blood morphology, serum folate, ferritin, and fasting plasma homocysteine.</w:t>
      </w:r>
    </w:p>
    <w:p w:rsidR="00C84432" w:rsidRDefault="00387B09">
      <w:pPr>
        <w:pStyle w:val="Heading2"/>
      </w:pPr>
      <w:r>
        <w:t>2.4 Treatment sub-cohort</w:t>
      </w:r>
    </w:p>
    <w:p w:rsidR="00C84432" w:rsidRDefault="00387B09">
      <w:pPr>
        <w:spacing w:after="160"/>
        <w:jc w:val="both"/>
      </w:pPr>
      <w:r>
        <w:lastRenderedPageBreak/>
        <w:t xml:space="preserve">A subset of patients received either oral cyanocobalamin 1,000 µg once daily or IM </w:t>
      </w:r>
      <w:proofErr w:type="spellStart"/>
      <w:r>
        <w:t>hydroxocobalamin</w:t>
      </w:r>
      <w:proofErr w:type="spellEnd"/>
      <w:r>
        <w:t xml:space="preserve"> 1,000 µg daily for seven days followed by 1,000 µg monthly. Both groups were reviewed at six months. Treatment response was defined as normalisation of Active B12 to ≥35 </w:t>
      </w:r>
      <w:proofErr w:type="spellStart"/>
      <w:r>
        <w:t>pmol</w:t>
      </w:r>
      <w:proofErr w:type="spellEnd"/>
      <w:r>
        <w:t>/L, resolution of anaemia, and reduction of homocysteine below 15 µ</w:t>
      </w:r>
      <w:proofErr w:type="spellStart"/>
      <w:r>
        <w:t>mol</w:t>
      </w:r>
      <w:proofErr w:type="spellEnd"/>
      <w:r>
        <w:t>/L where measured.</w:t>
      </w:r>
    </w:p>
    <w:p w:rsidR="00C84432" w:rsidRDefault="00387B09">
      <w:pPr>
        <w:pStyle w:val="Heading2"/>
      </w:pPr>
      <w:r>
        <w:t>2.5 Statistical analysis</w:t>
      </w:r>
    </w:p>
    <w:p w:rsidR="00C84432" w:rsidRDefault="00387B09">
      <w:pPr>
        <w:spacing w:after="300"/>
        <w:jc w:val="both"/>
      </w:pPr>
      <w:r>
        <w:t>Continuous data are presented as mean ± standard deviation. We used Welch's t-tests for group comparisons, Pearson correlation for bivariate relationships, and multivariable linear regression to identify independent predictors of Active B12 after adjusting for age, haemoglobin, and folate. ROC curves were constructed for Active B12 and total B12 against three reference standards: haemoglobin &lt;11.5 g/</w:t>
      </w:r>
      <w:proofErr w:type="spellStart"/>
      <w:r>
        <w:t>dL</w:t>
      </w:r>
      <w:proofErr w:type="spellEnd"/>
      <w:r>
        <w:t>, haemoglobin &lt;12.0 g/</w:t>
      </w:r>
      <w:proofErr w:type="spellStart"/>
      <w:r>
        <w:t>dL</w:t>
      </w:r>
      <w:proofErr w:type="spellEnd"/>
      <w:r>
        <w:t xml:space="preserve"> (WHO threshold), and plasma homocysteine &gt;15 µ</w:t>
      </w:r>
      <w:proofErr w:type="spellStart"/>
      <w:r>
        <w:t>mol</w:t>
      </w:r>
      <w:proofErr w:type="spellEnd"/>
      <w:r>
        <w:t xml:space="preserve">/L. Optimal cut-offs were identified using </w:t>
      </w:r>
      <w:proofErr w:type="spellStart"/>
      <w:r>
        <w:t>Youden's</w:t>
      </w:r>
      <w:proofErr w:type="spellEnd"/>
      <w:r>
        <w:t xml:space="preserve"> J statistic. Non-inferiority of oral therapy was assessed against predefined margins of 50 </w:t>
      </w:r>
      <w:proofErr w:type="spellStart"/>
      <w:r>
        <w:t>pg</w:t>
      </w:r>
      <w:proofErr w:type="spellEnd"/>
      <w:r>
        <w:t xml:space="preserve">/mL for total B12 and 10 </w:t>
      </w:r>
      <w:proofErr w:type="spellStart"/>
      <w:r>
        <w:t>pmol</w:t>
      </w:r>
      <w:proofErr w:type="spellEnd"/>
      <w:r>
        <w:t>/L for Active B12. All analyses were conducted in Python 3.12.</w:t>
      </w:r>
    </w:p>
    <w:p w:rsidR="00C84432" w:rsidRDefault="00387B09">
      <w:pPr>
        <w:pStyle w:val="Heading1"/>
      </w:pPr>
      <w:r>
        <w:t>3. Results</w:t>
      </w:r>
    </w:p>
    <w:p w:rsidR="00C84432" w:rsidRDefault="00387B09">
      <w:pPr>
        <w:pStyle w:val="Heading2"/>
      </w:pPr>
      <w:r>
        <w:t>3.1 Cohort characteristics</w:t>
      </w:r>
    </w:p>
    <w:p w:rsidR="00C84432" w:rsidRDefault="00387B09">
      <w:pPr>
        <w:spacing w:after="160"/>
        <w:jc w:val="both"/>
      </w:pPr>
      <w:r>
        <w:t xml:space="preserve">The 2,338 patients included 1,336 men (57.1%) and 1,002 women (42.9%), with a mean age of 44.1 ± 14.7 years (range 3–80). Mean total B12 was 291.9 ± 149.6 </w:t>
      </w:r>
      <w:proofErr w:type="spellStart"/>
      <w:r>
        <w:t>pg</w:t>
      </w:r>
      <w:proofErr w:type="spellEnd"/>
      <w:r>
        <w:t xml:space="preserve">/mL and mean Active B12 was 87.4 ± 48.9 </w:t>
      </w:r>
      <w:proofErr w:type="spellStart"/>
      <w:r>
        <w:t>pmol</w:t>
      </w:r>
      <w:proofErr w:type="spellEnd"/>
      <w:r>
        <w:t>/L. Homocysteine was measured in 218 patients (9.3%), with a cohort mean of 18.90 ± 5.88 µ</w:t>
      </w:r>
      <w:proofErr w:type="spellStart"/>
      <w:r>
        <w:t>mol</w:t>
      </w:r>
      <w:proofErr w:type="spellEnd"/>
      <w:r>
        <w:t>/L—already above the normal upper limit of 15 µ</w:t>
      </w:r>
      <w:proofErr w:type="spellStart"/>
      <w:r>
        <w:t>mol</w:t>
      </w:r>
      <w:proofErr w:type="spellEnd"/>
      <w:r>
        <w:t>/L. Full baseline data are in Table 1.</w:t>
      </w:r>
    </w:p>
    <w:p w:rsidR="00C84432" w:rsidRDefault="00387B09">
      <w:pPr>
        <w:spacing w:before="160" w:after="80"/>
      </w:pPr>
      <w:r>
        <w:rPr>
          <w:b/>
          <w:bCs/>
        </w:rPr>
        <w:t>Table 1. Cohort baseline characteristics (N = 2,338)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C84432">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Parameter</w:t>
            </w:r>
          </w:p>
        </w:tc>
        <w:tc>
          <w:tcPr>
            <w:tcW w:w="3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Mean ± SD</w:t>
            </w:r>
          </w:p>
        </w:tc>
        <w:tc>
          <w:tcPr>
            <w:tcW w:w="3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n (%)</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Age (years)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44.1 ± 14.7</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2,338 (100%)</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Male sex</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1,336 (57.1%)</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Female sex</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1,002 (42.9%)</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Total B12 (</w:t>
            </w:r>
            <w:proofErr w:type="spellStart"/>
            <w:r>
              <w:rPr>
                <w:sz w:val="22"/>
                <w:szCs w:val="22"/>
              </w:rPr>
              <w:t>pg</w:t>
            </w:r>
            <w:proofErr w:type="spellEnd"/>
            <w:r>
              <w:rPr>
                <w:sz w:val="22"/>
                <w:szCs w:val="22"/>
              </w:rPr>
              <w:t>/mL)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291.9 ± 149.6</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2,337 (99.9%)</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Active B12 (</w:t>
            </w:r>
            <w:proofErr w:type="spellStart"/>
            <w:r>
              <w:rPr>
                <w:sz w:val="22"/>
                <w:szCs w:val="22"/>
              </w:rPr>
              <w:t>pmol</w:t>
            </w:r>
            <w:proofErr w:type="spellEnd"/>
            <w:r>
              <w:rPr>
                <w:sz w:val="22"/>
                <w:szCs w:val="22"/>
              </w:rPr>
              <w:t>/L)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87.4 ± 48.9</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2,338 (100%)</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Haemoglobin (g/</w:t>
            </w:r>
            <w:proofErr w:type="spellStart"/>
            <w:r>
              <w:rPr>
                <w:sz w:val="22"/>
                <w:szCs w:val="22"/>
              </w:rPr>
              <w:t>dL</w:t>
            </w:r>
            <w:proofErr w:type="spellEnd"/>
            <w:r>
              <w:rPr>
                <w:sz w:val="22"/>
                <w:szCs w:val="22"/>
              </w:rPr>
              <w: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12.83 ± 2.25</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2,098 (89.7%)</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RBC count (×10⁶/µL)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4.69 ± 0.69</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2,068 (88.5%)</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WBC count (/µL)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7,037 ± 2,881</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2,070 (88.5%)</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Serum folate (ng/mL)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9.29 ± 4.74</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366 (15.7%)</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Serum ferritin (ng/mL)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72.0 ± 180.0</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759 (32.5%)</w:t>
            </w:r>
          </w:p>
        </w:tc>
      </w:tr>
      <w:tr w:rsidR="00C8443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Plasma homocysteine (µ</w:t>
            </w:r>
            <w:proofErr w:type="spellStart"/>
            <w:r>
              <w:rPr>
                <w:sz w:val="22"/>
                <w:szCs w:val="22"/>
              </w:rPr>
              <w:t>mol</w:t>
            </w:r>
            <w:proofErr w:type="spellEnd"/>
            <w:r>
              <w:rPr>
                <w:sz w:val="22"/>
                <w:szCs w:val="22"/>
              </w:rPr>
              <w:t>/L)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18.90 ± 5.88</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218 (9.3%)</w:t>
            </w:r>
          </w:p>
        </w:tc>
      </w:tr>
    </w:tbl>
    <w:p w:rsidR="00C84432" w:rsidRDefault="00387B09">
      <w:pPr>
        <w:spacing w:before="60" w:after="160"/>
        <w:jc w:val="both"/>
      </w:pPr>
      <w:r>
        <w:rPr>
          <w:i/>
          <w:iCs/>
          <w:sz w:val="22"/>
          <w:szCs w:val="22"/>
        </w:rPr>
        <w:t>Values are mean ± SD unless stated otherwise.</w:t>
      </w:r>
    </w:p>
    <w:p w:rsidR="00C84432" w:rsidRDefault="00387B09">
      <w:pPr>
        <w:pStyle w:val="Heading2"/>
      </w:pPr>
      <w:r>
        <w:t>3.2 Diagnostic yield: how often does total B12 miss the diagnosis?</w:t>
      </w:r>
    </w:p>
    <w:p w:rsidR="00C84432" w:rsidRDefault="00387B09">
      <w:pPr>
        <w:spacing w:after="160"/>
        <w:jc w:val="both"/>
      </w:pPr>
      <w:r>
        <w:lastRenderedPageBreak/>
        <w:t xml:space="preserve">When the conventional total B12 threshold of &lt;200 </w:t>
      </w:r>
      <w:proofErr w:type="spellStart"/>
      <w:r>
        <w:t>pg</w:t>
      </w:r>
      <w:proofErr w:type="spellEnd"/>
      <w:r>
        <w:t xml:space="preserve">/mL was applied, only 22 patients (0.9%) were classified as deficient. Meanwhile, 93.8% of the cohort—2,194 patients—had values between 200 and 350 </w:t>
      </w:r>
      <w:proofErr w:type="spellStart"/>
      <w:r>
        <w:t>pg</w:t>
      </w:r>
      <w:proofErr w:type="spellEnd"/>
      <w:r>
        <w:t xml:space="preserve">/mL, the grey zone where the test provides no actionable guidance. Active B12 told a fundamentally different story: 155 patients (6.6%) had levels below 35 </w:t>
      </w:r>
      <w:proofErr w:type="spellStart"/>
      <w:r>
        <w:t>pmol</w:t>
      </w:r>
      <w:proofErr w:type="spellEnd"/>
      <w:r>
        <w:t>/L, a seven-fold difference in diagnostic yield. Critically, 141 of these 155 patients (91.0%) had total B12 values within the grey zone—meaning conventional screening would have left them unclassified. The deficiency rate increased with age: 4.1% in those under 20, 6.0% in the 20–39 age group, 6.7% in 40–59 years, and 8.4% in 60–79 years.</w:t>
      </w:r>
    </w:p>
    <w:p w:rsidR="00C84432" w:rsidRDefault="00387B09">
      <w:pPr>
        <w:pStyle w:val="Heading2"/>
      </w:pPr>
      <w:r>
        <w:t>3.3 Correlation between total B12 and Active B12</w:t>
      </w:r>
    </w:p>
    <w:p w:rsidR="00C84432" w:rsidRDefault="00387B09">
      <w:pPr>
        <w:spacing w:after="160"/>
        <w:jc w:val="both"/>
      </w:pPr>
      <w:r>
        <w:t xml:space="preserve">The two tests showed only moderate correlation (Pearson r = 0.50, p &lt; 0.001; R² = 0.25), meaning total B12 accounts for just one quarter of the variation in Active B12 values. Active B12 showed a meaningful inverse relationship with advancing age (r = 0.18), while total B12 remained essentially flat across age groups (r = 0.05). This reflects the well-documented decline in </w:t>
      </w:r>
      <w:proofErr w:type="spellStart"/>
      <w:r>
        <w:t>transcobalamin</w:t>
      </w:r>
      <w:proofErr w:type="spellEnd"/>
      <w:r>
        <w:t xml:space="preserve">-bound cobalamin with age—changes in cellular B12 availability that the </w:t>
      </w:r>
      <w:proofErr w:type="spellStart"/>
      <w:r>
        <w:t>haptocorrin</w:t>
      </w:r>
      <w:proofErr w:type="spellEnd"/>
      <w:r>
        <w:t>-dominated total B12 measure simply cannot capture.</w:t>
      </w:r>
    </w:p>
    <w:p w:rsidR="00C84432" w:rsidRDefault="00387B09">
      <w:pPr>
        <w:pStyle w:val="Heading2"/>
      </w:pPr>
      <w:r>
        <w:t>3.4 Biochemical and haematological differences between groups</w:t>
      </w:r>
    </w:p>
    <w:p w:rsidR="00C84432" w:rsidRDefault="00387B09">
      <w:pPr>
        <w:spacing w:after="160"/>
        <w:jc w:val="both"/>
      </w:pPr>
      <w:r>
        <w:t>Comparing patients with low Active B12 (n = 155) against those with normal levels (n = 2,183) revealed consistent differences across multiple biomarkers (Table 2). Homocysteine was the most striking: it averaged 20.94 µ</w:t>
      </w:r>
      <w:proofErr w:type="spellStart"/>
      <w:r>
        <w:t>mol</w:t>
      </w:r>
      <w:proofErr w:type="spellEnd"/>
      <w:r>
        <w:t>/L in the deficient group versus 13.88 µ</w:t>
      </w:r>
      <w:proofErr w:type="spellStart"/>
      <w:r>
        <w:t>mol</w:t>
      </w:r>
      <w:proofErr w:type="spellEnd"/>
      <w:r>
        <w:t>/L in those with normal Active B12 (t = 7.10, p &lt; 0.001). Among all patients who had homocysteine measured, 78.0% had elevated levels (&gt;15 µ</w:t>
      </w:r>
      <w:proofErr w:type="spellStart"/>
      <w:r>
        <w:t>mol</w:t>
      </w:r>
      <w:proofErr w:type="spellEnd"/>
      <w:r>
        <w:t>/L), underlining the prevalence of subclinical functional deficiency in this population. Haemoglobin was lower in the deficient group (11.95 vs 12.89 g/</w:t>
      </w:r>
      <w:proofErr w:type="spellStart"/>
      <w:r>
        <w:t>dL</w:t>
      </w:r>
      <w:proofErr w:type="spellEnd"/>
      <w:r>
        <w:t>, p &lt; 0.001), as was RBC count and serum folate. Notably, folate remained within the normal range in both groups—the elevated homocysteine cannot be attributed to folate deficiency. Ferritin and white cell count did not differ between groups, consistent with pure B12 deficiency.</w:t>
      </w:r>
    </w:p>
    <w:p w:rsidR="00C84432" w:rsidRDefault="00387B09">
      <w:pPr>
        <w:spacing w:before="160" w:after="80"/>
      </w:pPr>
      <w:r>
        <w:rPr>
          <w:b/>
          <w:bCs/>
        </w:rPr>
        <w:t>Table 2. Biochemical and haematological comparisons by Active B12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1500"/>
        <w:gridCol w:w="1360"/>
      </w:tblGrid>
      <w:tr w:rsidR="00C84432">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 xml:space="preserve">Low Active B12 &lt; 35 </w:t>
            </w:r>
            <w:proofErr w:type="spellStart"/>
            <w:r>
              <w:rPr>
                <w:b/>
                <w:bCs/>
                <w:sz w:val="22"/>
                <w:szCs w:val="22"/>
              </w:rPr>
              <w:t>pmol</w:t>
            </w:r>
            <w:proofErr w:type="spellEnd"/>
            <w:r>
              <w:rPr>
                <w:b/>
                <w:bCs/>
                <w:sz w:val="22"/>
                <w:szCs w:val="22"/>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 xml:space="preserve">Normal Active B12 ≥ 35 </w:t>
            </w:r>
            <w:proofErr w:type="spellStart"/>
            <w:r>
              <w:rPr>
                <w:b/>
                <w:bCs/>
                <w:sz w:val="22"/>
                <w:szCs w:val="22"/>
              </w:rPr>
              <w:t>pmol</w:t>
            </w:r>
            <w:proofErr w:type="spellEnd"/>
            <w:r>
              <w:rPr>
                <w:b/>
                <w:bCs/>
                <w:sz w:val="22"/>
                <w:szCs w:val="22"/>
              </w:rPr>
              <w:t>/L</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t-statistic</w:t>
            </w:r>
          </w:p>
        </w:tc>
        <w:tc>
          <w:tcPr>
            <w:tcW w:w="13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p-value</w:t>
            </w:r>
          </w:p>
        </w:tc>
      </w:tr>
      <w:tr w:rsidR="00C8443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Active B12 (</w:t>
            </w:r>
            <w:proofErr w:type="spellStart"/>
            <w:r>
              <w:rPr>
                <w:sz w:val="22"/>
                <w:szCs w:val="22"/>
              </w:rPr>
              <w:t>pmol</w:t>
            </w:r>
            <w:proofErr w:type="spellEnd"/>
            <w:r>
              <w:rPr>
                <w:sz w:val="22"/>
                <w:szCs w:val="22"/>
              </w:rPr>
              <w:t>/L)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26.66 ± 6.51 (n=155)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91.75 ± 47.69 (n=2,183)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−56.75</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&lt; 0.001</w:t>
            </w:r>
          </w:p>
        </w:tc>
      </w:tr>
      <w:tr w:rsidR="00C8443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Total B12 (</w:t>
            </w:r>
            <w:proofErr w:type="spellStart"/>
            <w:r>
              <w:rPr>
                <w:sz w:val="22"/>
                <w:szCs w:val="22"/>
              </w:rPr>
              <w:t>pg</w:t>
            </w:r>
            <w:proofErr w:type="spellEnd"/>
            <w:r>
              <w:rPr>
                <w:sz w:val="22"/>
                <w:szCs w:val="22"/>
              </w:rPr>
              <w:t>/mL)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254.65 ± 171.12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294.57 ± 147.68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−2.83</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0.005</w:t>
            </w:r>
          </w:p>
        </w:tc>
      </w:tr>
      <w:tr w:rsidR="00C8443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Haemoglobin (g/</w:t>
            </w:r>
            <w:proofErr w:type="spellStart"/>
            <w:r>
              <w:rPr>
                <w:sz w:val="22"/>
                <w:szCs w:val="22"/>
              </w:rPr>
              <w:t>dL</w:t>
            </w:r>
            <w:proofErr w:type="spellEnd"/>
            <w:r>
              <w:rPr>
                <w:sz w:val="22"/>
                <w:szCs w:val="22"/>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11.95 ± 2.64 (n=136)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12.89 ± 2.21 (n=1,962)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−4.07</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&lt; 0.001</w:t>
            </w:r>
          </w:p>
        </w:tc>
      </w:tr>
      <w:tr w:rsidR="00C8443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Serum folate (ng/mL)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7.26 ± 2.79 (n=91)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9.96 ± 5.05 (n=275)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−6.39</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&lt; 0.001</w:t>
            </w:r>
          </w:p>
        </w:tc>
      </w:tr>
      <w:tr w:rsidR="00C8443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Homocysteine (µ</w:t>
            </w:r>
            <w:proofErr w:type="spellStart"/>
            <w:r>
              <w:rPr>
                <w:sz w:val="22"/>
                <w:szCs w:val="22"/>
              </w:rPr>
              <w:t>mol</w:t>
            </w:r>
            <w:proofErr w:type="spellEnd"/>
            <w:r>
              <w:rPr>
                <w:sz w:val="22"/>
                <w:szCs w:val="22"/>
              </w:rPr>
              <w:t>/L)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20.94 ± 3.30 (n=155)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13.88 ± 7.61 (n=63)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7.10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&lt; 0.001</w:t>
            </w:r>
          </w:p>
        </w:tc>
      </w:tr>
      <w:tr w:rsidR="00C8443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RBC count (×10⁶/µL)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4.45 ± 0.81 (n=135)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4.70 ± 0.67 (n=1,933)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−3.60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&lt; 0.001</w:t>
            </w:r>
          </w:p>
        </w:tc>
      </w:tr>
      <w:tr w:rsidR="00C8443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lastRenderedPageBreak/>
              <w:t>WBC count (/µL)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6,828 ± 2,239 (n=135)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7,052 ± 2,920 (n=1,935)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−1.10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0.274</w:t>
            </w:r>
          </w:p>
        </w:tc>
      </w:tr>
      <w:tr w:rsidR="00C8443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Ferritin (ng/mL)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53.88 ± 127.53 (n=66)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73.76 ± 184.24 (n=693)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−1.16</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0.250</w:t>
            </w:r>
          </w:p>
        </w:tc>
      </w:tr>
      <w:tr w:rsidR="00C8443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Age (years)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45.88 ± 15.30 (n=155)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43.93 ± 14.69 (n=2,183)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1.54</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0.126</w:t>
            </w:r>
          </w:p>
        </w:tc>
      </w:tr>
    </w:tbl>
    <w:p w:rsidR="00C84432" w:rsidRDefault="00387B09">
      <w:pPr>
        <w:spacing w:before="60" w:after="160"/>
        <w:jc w:val="both"/>
      </w:pPr>
      <w:r>
        <w:rPr>
          <w:i/>
          <w:iCs/>
          <w:sz w:val="22"/>
          <w:szCs w:val="22"/>
        </w:rPr>
        <w:t>Welch t-tests used throughout. Values mean ± SD. Homocysteine n is lower because measurement was not performed in all patients.</w:t>
      </w:r>
    </w:p>
    <w:p w:rsidR="00C84432" w:rsidRDefault="00387B09">
      <w:pPr>
        <w:pStyle w:val="Heading2"/>
      </w:pPr>
      <w:r>
        <w:t>3.5 ROC analysis and optimal cut-off values</w:t>
      </w:r>
    </w:p>
    <w:p w:rsidR="00C84432" w:rsidRDefault="00387B09">
      <w:pPr>
        <w:spacing w:after="160"/>
        <w:jc w:val="both"/>
      </w:pPr>
      <w:r>
        <w:t xml:space="preserve">ROC curves were constructed against three reference standards (Table 3). Against haemoglobin, AUC values were modest (0.520 and 0.525), reflecting the fact that anaemia is a relatively late manifestation of B12 deficiency. Against homocysteine, the difference was striking: Active B12 achieved an AUC of 0.919 compared with 0.684 for total B12—a difference of 0.235 reflecting genuine superiority in tracking cellular cobalamin status. The </w:t>
      </w:r>
      <w:proofErr w:type="spellStart"/>
      <w:r>
        <w:t>Youden</w:t>
      </w:r>
      <w:proofErr w:type="spellEnd"/>
      <w:r>
        <w:t xml:space="preserve">-optimal cut-off was 34.9 </w:t>
      </w:r>
      <w:proofErr w:type="spellStart"/>
      <w:r>
        <w:t>pmol</w:t>
      </w:r>
      <w:proofErr w:type="spellEnd"/>
      <w:r>
        <w:t xml:space="preserve">/L, landing virtually on the internationally accepted clinical threshold of 35 </w:t>
      </w:r>
      <w:proofErr w:type="spellStart"/>
      <w:r>
        <w:t>pmol</w:t>
      </w:r>
      <w:proofErr w:type="spellEnd"/>
      <w:r>
        <w:t>/L. This confirms that the cut-off in current clinical use is not arbitrary but is well-anchored in metabolic function. Sensitivity, specificity, and predictive values for four commonly cited cut-offs are summarised in Table 4.</w:t>
      </w:r>
    </w:p>
    <w:p w:rsidR="00C84432" w:rsidRDefault="00387B09">
      <w:pPr>
        <w:spacing w:before="160" w:after="80"/>
      </w:pPr>
      <w:r>
        <w:rPr>
          <w:b/>
          <w:bCs/>
        </w:rPr>
        <w:t>Table 3. ROC analysis — Active B12 versus total B12 across three reference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200"/>
        <w:gridCol w:w="1800"/>
        <w:gridCol w:w="1560"/>
      </w:tblGrid>
      <w:tr w:rsidR="00C84432">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Reference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Test</w:t>
            </w:r>
          </w:p>
        </w:tc>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AUC</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proofErr w:type="spellStart"/>
            <w:r>
              <w:rPr>
                <w:b/>
                <w:bCs/>
                <w:sz w:val="22"/>
                <w:szCs w:val="22"/>
              </w:rPr>
              <w:t>Youden</w:t>
            </w:r>
            <w:proofErr w:type="spellEnd"/>
            <w:r>
              <w:rPr>
                <w:b/>
                <w:bCs/>
                <w:sz w:val="22"/>
                <w:szCs w:val="22"/>
              </w:rPr>
              <w:t xml:space="preserve"> Cut-off (</w:t>
            </w:r>
            <w:proofErr w:type="spellStart"/>
            <w:r>
              <w:rPr>
                <w:b/>
                <w:bCs/>
                <w:sz w:val="22"/>
                <w:szCs w:val="22"/>
              </w:rPr>
              <w:t>pmol</w:t>
            </w:r>
            <w:proofErr w:type="spellEnd"/>
            <w:r>
              <w:rPr>
                <w:b/>
                <w:bCs/>
                <w:sz w:val="22"/>
                <w:szCs w:val="22"/>
              </w:rPr>
              <w:t>/L)</w:t>
            </w:r>
          </w:p>
        </w:tc>
        <w:tc>
          <w:tcPr>
            <w:tcW w:w="15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proofErr w:type="spellStart"/>
            <w:r>
              <w:rPr>
                <w:b/>
                <w:bCs/>
                <w:sz w:val="22"/>
                <w:szCs w:val="22"/>
              </w:rPr>
              <w:t>Youden's</w:t>
            </w:r>
            <w:proofErr w:type="spellEnd"/>
            <w:r>
              <w:rPr>
                <w:b/>
                <w:bCs/>
                <w:sz w:val="22"/>
                <w:szCs w:val="22"/>
              </w:rPr>
              <w:t xml:space="preserve"> J</w:t>
            </w:r>
          </w:p>
        </w:tc>
      </w:tr>
      <w:tr w:rsidR="00C8443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proofErr w:type="spellStart"/>
            <w:r>
              <w:rPr>
                <w:sz w:val="22"/>
                <w:szCs w:val="22"/>
              </w:rPr>
              <w:t>Hb</w:t>
            </w:r>
            <w:proofErr w:type="spellEnd"/>
            <w:r>
              <w:rPr>
                <w:sz w:val="22"/>
                <w:szCs w:val="22"/>
              </w:rPr>
              <w:t xml:space="preserve"> &lt; 11.5 g/</w:t>
            </w:r>
            <w:proofErr w:type="spellStart"/>
            <w:r>
              <w:rPr>
                <w:sz w:val="22"/>
                <w:szCs w:val="22"/>
              </w:rPr>
              <w:t>dL</w:t>
            </w:r>
            <w:proofErr w:type="spellEnd"/>
            <w:r>
              <w:rPr>
                <w:sz w:val="22"/>
                <w:szCs w:val="22"/>
              </w:rPr>
              <w:t xml:space="preserve"> (n=2,098)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Active B12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0.520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53.6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0.074</w:t>
            </w:r>
          </w:p>
        </w:tc>
      </w:tr>
      <w:tr w:rsidR="00C8443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C84432"/>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Total B12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0.468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t>
            </w:r>
          </w:p>
        </w:tc>
      </w:tr>
      <w:tr w:rsidR="00C8443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proofErr w:type="spellStart"/>
            <w:r>
              <w:rPr>
                <w:sz w:val="22"/>
                <w:szCs w:val="22"/>
              </w:rPr>
              <w:t>Hb</w:t>
            </w:r>
            <w:proofErr w:type="spellEnd"/>
            <w:r>
              <w:rPr>
                <w:sz w:val="22"/>
                <w:szCs w:val="22"/>
              </w:rPr>
              <w:t xml:space="preserve"> &lt; 12.0 g/</w:t>
            </w:r>
            <w:proofErr w:type="spellStart"/>
            <w:r>
              <w:rPr>
                <w:sz w:val="22"/>
                <w:szCs w:val="22"/>
              </w:rPr>
              <w:t>dL</w:t>
            </w:r>
            <w:proofErr w:type="spellEnd"/>
            <w:r>
              <w:rPr>
                <w:sz w:val="22"/>
                <w:szCs w:val="22"/>
              </w:rPr>
              <w:t>, WHO (n=2,098)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Active B12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0.525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69.1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0.088</w:t>
            </w:r>
          </w:p>
        </w:tc>
      </w:tr>
      <w:tr w:rsidR="00C8443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C84432"/>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Total B12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0.471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t>
            </w:r>
          </w:p>
        </w:tc>
      </w:tr>
      <w:tr w:rsidR="00C8443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Homocysteine &gt; 15 µ</w:t>
            </w:r>
            <w:proofErr w:type="spellStart"/>
            <w:r>
              <w:rPr>
                <w:sz w:val="22"/>
                <w:szCs w:val="22"/>
              </w:rPr>
              <w:t>mol</w:t>
            </w:r>
            <w:proofErr w:type="spellEnd"/>
            <w:r>
              <w:rPr>
                <w:sz w:val="22"/>
                <w:szCs w:val="22"/>
              </w:rPr>
              <w:t>/L (n=218)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Active B12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0.919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34.9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0.800</w:t>
            </w:r>
          </w:p>
        </w:tc>
      </w:tr>
      <w:tr w:rsidR="00C8443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C84432"/>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Total B12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0.684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t>
            </w:r>
          </w:p>
        </w:tc>
      </w:tr>
    </w:tbl>
    <w:p w:rsidR="00C84432" w:rsidRDefault="00387B09">
      <w:pPr>
        <w:spacing w:before="60" w:after="160"/>
        <w:jc w:val="both"/>
      </w:pPr>
      <w:r>
        <w:rPr>
          <w:i/>
          <w:iCs/>
          <w:sz w:val="22"/>
          <w:szCs w:val="22"/>
        </w:rPr>
        <w:t xml:space="preserve">J = </w:t>
      </w:r>
      <w:proofErr w:type="spellStart"/>
      <w:r>
        <w:rPr>
          <w:i/>
          <w:iCs/>
          <w:sz w:val="22"/>
          <w:szCs w:val="22"/>
        </w:rPr>
        <w:t>Youden's</w:t>
      </w:r>
      <w:proofErr w:type="spellEnd"/>
      <w:r>
        <w:rPr>
          <w:i/>
          <w:iCs/>
          <w:sz w:val="22"/>
          <w:szCs w:val="22"/>
        </w:rPr>
        <w:t xml:space="preserve"> J statistic (sensitivity + specificity − 1). AUC calculated by trapezoidal method.</w:t>
      </w:r>
    </w:p>
    <w:p w:rsidR="00C84432" w:rsidRDefault="00387B09">
      <w:pPr>
        <w:spacing w:before="160" w:after="80"/>
      </w:pPr>
      <w:r>
        <w:rPr>
          <w:b/>
          <w:bCs/>
        </w:rPr>
        <w:t>Table 4. Sensitivity, specificity, and predictive values for four Active B12 cut-offs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1170"/>
        <w:gridCol w:w="1170"/>
      </w:tblGrid>
      <w:tr w:rsidR="00C84432">
        <w:tc>
          <w:tcPr>
            <w:tcW w:w="234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Cut-off (</w:t>
            </w:r>
            <w:proofErr w:type="spellStart"/>
            <w:r>
              <w:rPr>
                <w:b/>
                <w:bCs/>
                <w:sz w:val="22"/>
                <w:szCs w:val="22"/>
              </w:rPr>
              <w:t>pmol</w:t>
            </w:r>
            <w:proofErr w:type="spellEnd"/>
            <w:r>
              <w:rPr>
                <w:b/>
                <w:bCs/>
                <w:sz w:val="22"/>
                <w:szCs w:val="22"/>
              </w:rPr>
              <w:t>/L)</w:t>
            </w:r>
          </w:p>
        </w:tc>
        <w:tc>
          <w:tcPr>
            <w:tcW w:w="234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Sensitivity</w:t>
            </w:r>
          </w:p>
        </w:tc>
        <w:tc>
          <w:tcPr>
            <w:tcW w:w="234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Specificity</w:t>
            </w:r>
          </w:p>
        </w:tc>
        <w:tc>
          <w:tcPr>
            <w:tcW w:w="117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PPV</w:t>
            </w:r>
          </w:p>
        </w:tc>
        <w:tc>
          <w:tcPr>
            <w:tcW w:w="117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NPV</w:t>
            </w:r>
          </w:p>
        </w:tc>
      </w:tr>
      <w:tr w:rsidR="00C84432">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&lt; 25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0.044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0.981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0.415</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0.766</w:t>
            </w:r>
          </w:p>
        </w:tc>
      </w:tr>
      <w:tr w:rsidR="00C84432">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&lt; 35 (standard threshold)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0.102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0.942</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0.354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0.770</w:t>
            </w:r>
          </w:p>
        </w:tc>
      </w:tr>
      <w:tr w:rsidR="00C84432">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&lt; 40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0.144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0.904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0.319</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0.771</w:t>
            </w:r>
          </w:p>
        </w:tc>
      </w:tr>
      <w:tr w:rsidR="00C84432">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lastRenderedPageBreak/>
              <w:t>&lt; 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0.240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0.821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0.296</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0.775</w:t>
            </w:r>
          </w:p>
        </w:tc>
      </w:tr>
    </w:tbl>
    <w:p w:rsidR="00C84432" w:rsidRDefault="00387B09">
      <w:pPr>
        <w:spacing w:before="60" w:after="160"/>
        <w:jc w:val="both"/>
      </w:pPr>
      <w:r>
        <w:rPr>
          <w:i/>
          <w:iCs/>
          <w:sz w:val="22"/>
          <w:szCs w:val="22"/>
        </w:rPr>
        <w:t>Reference standard: haemoglobin &lt; 11.5 g/</w:t>
      </w:r>
      <w:proofErr w:type="spellStart"/>
      <w:r>
        <w:rPr>
          <w:i/>
          <w:iCs/>
          <w:sz w:val="22"/>
          <w:szCs w:val="22"/>
        </w:rPr>
        <w:t>dL</w:t>
      </w:r>
      <w:proofErr w:type="spellEnd"/>
      <w:r>
        <w:rPr>
          <w:i/>
          <w:iCs/>
          <w:sz w:val="22"/>
          <w:szCs w:val="22"/>
        </w:rPr>
        <w:t xml:space="preserve"> (n = 2,098). PPV = positive predictive value, NPV = negative predictive value.</w:t>
      </w:r>
    </w:p>
    <w:p w:rsidR="00C84432" w:rsidRDefault="00387B09">
      <w:pPr>
        <w:pStyle w:val="Heading2"/>
      </w:pPr>
      <w:r>
        <w:t>3.6 Blood film morphology</w:t>
      </w:r>
    </w:p>
    <w:p w:rsidR="00C84432" w:rsidRDefault="00387B09">
      <w:pPr>
        <w:spacing w:after="160"/>
        <w:jc w:val="both"/>
      </w:pPr>
      <w:r>
        <w:t xml:space="preserve">Peripheral blood morphology was available for 2,068 patients. Among those with low Active B12, the most common finding was normocytic normochromic morphology (51.1%), with macrocytic changes seen in only 7.4%. This has direct clinical relevance: a normal blood film or non-macrocytic anaemia does not exclude functional B12 deficiency, and the absence of </w:t>
      </w:r>
      <w:proofErr w:type="spellStart"/>
      <w:r>
        <w:t>macrocytosis</w:t>
      </w:r>
      <w:proofErr w:type="spellEnd"/>
      <w:r>
        <w:t xml:space="preserve"> should never be used to forgo B12 testing in at-risk patients.</w:t>
      </w:r>
    </w:p>
    <w:p w:rsidR="00C84432" w:rsidRDefault="00387B09">
      <w:pPr>
        <w:pStyle w:val="Heading2"/>
      </w:pPr>
      <w:r>
        <w:t>3.7 Oral versus intramuscular therapy</w:t>
      </w:r>
    </w:p>
    <w:p w:rsidR="00C84432" w:rsidRDefault="00387B09">
      <w:pPr>
        <w:spacing w:after="160"/>
        <w:jc w:val="both"/>
      </w:pPr>
      <w:r>
        <w:t xml:space="preserve">In the treatment sub-cohort, oral and IM B12 produced substantial and comparable improvements at six months (Table 5). The IM group had marginally higher mean total B12 (442 versus 418 </w:t>
      </w:r>
      <w:proofErr w:type="spellStart"/>
      <w:r>
        <w:t>pg</w:t>
      </w:r>
      <w:proofErr w:type="spellEnd"/>
      <w:r>
        <w:t xml:space="preserve">/mL, p = 0.041), but this did not translate into any advantage for Active B12, homocysteine normalisation, or anaemia correction. Non-inferiority was confirmed across all predefined margins, including in patients with pernicious anaemia and </w:t>
      </w:r>
      <w:proofErr w:type="spellStart"/>
      <w:r>
        <w:t>ileal</w:t>
      </w:r>
      <w:proofErr w:type="spellEnd"/>
      <w:r>
        <w:t xml:space="preserve"> resection.</w:t>
      </w:r>
    </w:p>
    <w:p w:rsidR="00C84432" w:rsidRDefault="00387B09">
      <w:pPr>
        <w:spacing w:before="160" w:after="80"/>
      </w:pPr>
      <w:r>
        <w:rPr>
          <w:b/>
          <w:bCs/>
        </w:rPr>
        <w:t>Table 5. Treatment outcomes at six months: oral versus intramuscular vitamin B12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2400"/>
        <w:gridCol w:w="1200"/>
      </w:tblGrid>
      <w:tr w:rsidR="00C84432">
        <w:tc>
          <w:tcPr>
            <w:tcW w:w="33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Outcome</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Oral cyanocobalamin 1,000 µg/day</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 xml:space="preserve">IM </w:t>
            </w:r>
            <w:proofErr w:type="spellStart"/>
            <w:r>
              <w:rPr>
                <w:b/>
                <w:bCs/>
                <w:sz w:val="22"/>
                <w:szCs w:val="22"/>
              </w:rPr>
              <w:t>hydroxocobalamin</w:t>
            </w:r>
            <w:proofErr w:type="spellEnd"/>
            <w:r>
              <w:rPr>
                <w:b/>
                <w:bCs/>
                <w:sz w:val="22"/>
                <w:szCs w:val="22"/>
              </w:rPr>
              <w:t xml:space="preserve"> 1,000 µg/month</w:t>
            </w:r>
          </w:p>
        </w:tc>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rsidR="00C84432" w:rsidRDefault="00387B09">
            <w:r>
              <w:rPr>
                <w:b/>
                <w:bCs/>
                <w:sz w:val="22"/>
                <w:szCs w:val="22"/>
              </w:rPr>
              <w:t>p-value</w:t>
            </w:r>
          </w:p>
        </w:tc>
      </w:tr>
      <w:tr w:rsidR="00C84432">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Total B12 at 6 months (</w:t>
            </w:r>
            <w:proofErr w:type="spellStart"/>
            <w:r>
              <w:rPr>
                <w:sz w:val="22"/>
                <w:szCs w:val="22"/>
              </w:rPr>
              <w:t>pg</w:t>
            </w:r>
            <w:proofErr w:type="spellEnd"/>
            <w:r>
              <w:rPr>
                <w:sz w:val="22"/>
                <w:szCs w:val="22"/>
              </w:rPr>
              <w:t>/mL)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418 ± 72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442 ± 88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0.041</w:t>
            </w:r>
          </w:p>
        </w:tc>
      </w:tr>
      <w:tr w:rsidR="00C84432">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Active B12 at 6 months (</w:t>
            </w:r>
            <w:proofErr w:type="spellStart"/>
            <w:r>
              <w:rPr>
                <w:sz w:val="22"/>
                <w:szCs w:val="22"/>
              </w:rPr>
              <w:t>pmol</w:t>
            </w:r>
            <w:proofErr w:type="spellEnd"/>
            <w:r>
              <w:rPr>
                <w:sz w:val="22"/>
                <w:szCs w:val="22"/>
              </w:rPr>
              <w:t>/L)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65 ± 14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69 ± 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0.097</w:t>
            </w:r>
          </w:p>
        </w:tc>
      </w:tr>
      <w:tr w:rsidR="00C84432">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Homocysteine normalised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Yes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NS</w:t>
            </w:r>
          </w:p>
        </w:tc>
      </w:tr>
      <w:tr w:rsidR="00C84432">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Anaemia corrected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Yes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NS</w:t>
            </w:r>
          </w:p>
        </w:tc>
      </w:tr>
      <w:tr w:rsidR="00C84432">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Non-inferiority confirmed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Yes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Reference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4432" w:rsidRDefault="00387B09">
            <w:r>
              <w:rPr>
                <w:sz w:val="22"/>
                <w:szCs w:val="22"/>
              </w:rPr>
              <w:t>—</w:t>
            </w:r>
          </w:p>
        </w:tc>
      </w:tr>
    </w:tbl>
    <w:p w:rsidR="00C84432" w:rsidRDefault="00387B09">
      <w:pPr>
        <w:spacing w:before="60" w:after="160"/>
        <w:jc w:val="both"/>
      </w:pPr>
      <w:r>
        <w:rPr>
          <w:i/>
          <w:iCs/>
          <w:sz w:val="22"/>
          <w:szCs w:val="22"/>
        </w:rPr>
        <w:t xml:space="preserve">NS = not significant. Non-inferiority margins: 50 </w:t>
      </w:r>
      <w:proofErr w:type="spellStart"/>
      <w:r>
        <w:rPr>
          <w:i/>
          <w:iCs/>
          <w:sz w:val="22"/>
          <w:szCs w:val="22"/>
        </w:rPr>
        <w:t>pg</w:t>
      </w:r>
      <w:proofErr w:type="spellEnd"/>
      <w:r>
        <w:rPr>
          <w:i/>
          <w:iCs/>
          <w:sz w:val="22"/>
          <w:szCs w:val="22"/>
        </w:rPr>
        <w:t xml:space="preserve">/mL for total B12, 10 </w:t>
      </w:r>
      <w:proofErr w:type="spellStart"/>
      <w:r>
        <w:rPr>
          <w:i/>
          <w:iCs/>
          <w:sz w:val="22"/>
          <w:szCs w:val="22"/>
        </w:rPr>
        <w:t>pmol</w:t>
      </w:r>
      <w:proofErr w:type="spellEnd"/>
      <w:r>
        <w:rPr>
          <w:i/>
          <w:iCs/>
          <w:sz w:val="22"/>
          <w:szCs w:val="22"/>
        </w:rPr>
        <w:t>/L for Active B12. Results consistent across reversible and irreversible malabsorption sub-groups.</w:t>
      </w:r>
    </w:p>
    <w:p w:rsidR="00681614" w:rsidRPr="00681614" w:rsidRDefault="00387B09" w:rsidP="00681614">
      <w:r>
        <w:t xml:space="preserve">4. </w:t>
      </w:r>
      <w:proofErr w:type="gramStart"/>
      <w:r w:rsidRPr="00681614">
        <w:rPr>
          <w:b/>
        </w:rPr>
        <w:t>Discussion</w:t>
      </w:r>
      <w:r w:rsidR="00681614">
        <w:t xml:space="preserve"> :</w:t>
      </w:r>
      <w:proofErr w:type="gramEnd"/>
      <w:r w:rsidR="00681614" w:rsidRPr="00681614">
        <w:t xml:space="preserve"> </w:t>
      </w:r>
      <w:r w:rsidR="00681614">
        <w:t>The main takeaway is clear,</w:t>
      </w:r>
      <w:r w:rsidR="00681614" w:rsidRPr="00681614">
        <w:t xml:space="preserve"> Active B12 testing finds far more patients who are truly deficient than the older total B12 test. In fact, it identified seven times as many people with real functional problems, and most of those cases fell into a grey area where conventional tests give no useful answers. This isn’t just a small difference between tests—it points to a deeper problem with how total B12 is measured. The standard approach mixes up the useful, active B12 with a larger pool of inactive B12, so doctors are often getting the wrong information. The two tests only moderately agree (r = 0.50), so a normal total B12 result doesn't tell you much about whether a patient actually has enough usable B12.</w:t>
      </w:r>
    </w:p>
    <w:p w:rsidR="00681614" w:rsidRDefault="00681614" w:rsidP="00681614"/>
    <w:p w:rsidR="00681614" w:rsidRPr="00681614" w:rsidRDefault="00681614" w:rsidP="00681614">
      <w:r w:rsidRPr="00681614">
        <w:t xml:space="preserve">The age-related data make this point even more clearly. Active B12 declined significantly with advancing age (r = 0.18), reflecting the well-documented deterioration in gastric acid secretion, </w:t>
      </w:r>
      <w:proofErr w:type="spellStart"/>
      <w:r w:rsidRPr="00681614">
        <w:t>transcobalamin</w:t>
      </w:r>
      <w:proofErr w:type="spellEnd"/>
      <w:r w:rsidRPr="00681614">
        <w:t xml:space="preserve"> II synthesis, and </w:t>
      </w:r>
      <w:proofErr w:type="spellStart"/>
      <w:r w:rsidRPr="00681614">
        <w:t>ileal</w:t>
      </w:r>
      <w:proofErr w:type="spellEnd"/>
      <w:r w:rsidRPr="00681614">
        <w:t xml:space="preserve"> absorption (</w:t>
      </w:r>
      <w:r w:rsidRPr="00681614">
        <w:rPr>
          <w:b/>
          <w:bCs/>
        </w:rPr>
        <w:t>1,16),</w:t>
      </w:r>
      <w:r w:rsidRPr="00681614">
        <w:t xml:space="preserve"> while total B12 remained essentially flat across age groups (r = 0.05). These age-related changes in cellular B12 availability are rendered invisible by a composite measure dominated by </w:t>
      </w:r>
      <w:proofErr w:type="spellStart"/>
      <w:r w:rsidRPr="00681614">
        <w:t>haptocorrin</w:t>
      </w:r>
      <w:proofErr w:type="spellEnd"/>
      <w:r w:rsidRPr="00681614">
        <w:t>.</w:t>
      </w:r>
    </w:p>
    <w:p w:rsidR="00681614" w:rsidRPr="00681614" w:rsidRDefault="00681614" w:rsidP="00681614">
      <w:r w:rsidRPr="00681614">
        <w:lastRenderedPageBreak/>
        <w:t xml:space="preserve">The ROC analysis against homocysteine—a direct biochemical read-out of intracellular cobalamin sufficiency—provides the most compelling statistical argument. Active B12 achieved an AUC of 0.919 versus 0.684 for total B12, a difference of 0.235 that falls well outside the range of assay noise. The </w:t>
      </w:r>
      <w:proofErr w:type="spellStart"/>
      <w:r w:rsidRPr="00681614">
        <w:t>Youden</w:t>
      </w:r>
      <w:proofErr w:type="spellEnd"/>
      <w:r w:rsidRPr="00681614">
        <w:t xml:space="preserve">-optimal threshold of 34.9 </w:t>
      </w:r>
      <w:proofErr w:type="spellStart"/>
      <w:r w:rsidRPr="00681614">
        <w:t>pmol</w:t>
      </w:r>
      <w:proofErr w:type="spellEnd"/>
      <w:r w:rsidRPr="00681614">
        <w:t xml:space="preserve">/L converged almost exactly with the established clinical cut-off of 35 </w:t>
      </w:r>
      <w:proofErr w:type="spellStart"/>
      <w:r w:rsidRPr="00681614">
        <w:t>pmol</w:t>
      </w:r>
      <w:proofErr w:type="spellEnd"/>
      <w:r w:rsidRPr="00681614">
        <w:t>/L (</w:t>
      </w:r>
      <w:r w:rsidRPr="00681614">
        <w:rPr>
          <w:b/>
          <w:bCs/>
        </w:rPr>
        <w:t>7,12,14),</w:t>
      </w:r>
      <w:r w:rsidRPr="00681614">
        <w:t xml:space="preserve"> confirming it is metabolically grounded, not an arbitrary laboratory convention. Clinicians can use this threshold with confidence.</w:t>
      </w:r>
    </w:p>
    <w:p w:rsidR="00681614" w:rsidRDefault="00681614" w:rsidP="00681614"/>
    <w:p w:rsidR="00681614" w:rsidRPr="00681614" w:rsidRDefault="00681614" w:rsidP="00681614">
      <w:r w:rsidRPr="00681614">
        <w:t>Beyond the deficient subgroup, 78% of patients with homocysteine measured had levels above 15 µ</w:t>
      </w:r>
      <w:proofErr w:type="spellStart"/>
      <w:r w:rsidRPr="00681614">
        <w:t>mol</w:t>
      </w:r>
      <w:proofErr w:type="spellEnd"/>
      <w:r w:rsidRPr="00681614">
        <w:t xml:space="preserve">/L—far exceeding the 6.6% rate of frank Active B12 deficiency. This suggests subclinical functional impairment is far more prevalent than diagnostic thresholds imply. Elevated homocysteine levels carry their own independent risks, including accelerated atherosclerosis, endothelial dysfunction, and white matter </w:t>
      </w:r>
      <w:proofErr w:type="gramStart"/>
      <w:r w:rsidRPr="00681614">
        <w:t>disease.(</w:t>
      </w:r>
      <w:proofErr w:type="gramEnd"/>
      <w:r w:rsidRPr="00681614">
        <w:rPr>
          <w:b/>
          <w:bCs/>
        </w:rPr>
        <w:t>9,10)</w:t>
      </w:r>
      <w:r w:rsidRPr="00681614">
        <w:t xml:space="preserve"> Waiting for anaemia to develop before acting on a raised homocysteine is arguably waiting too long.</w:t>
      </w:r>
    </w:p>
    <w:p w:rsidR="00681614" w:rsidRPr="00681614" w:rsidRDefault="00681614" w:rsidP="00681614">
      <w:r w:rsidRPr="00681614">
        <w:t xml:space="preserve">The blood film findings reinforce this urgency. Among Active B12-deficient patients, 51.1% showed normocytic normochromic morphology, and only 7.4% had macrocytic changes. Using </w:t>
      </w:r>
      <w:proofErr w:type="spellStart"/>
      <w:r w:rsidRPr="00681614">
        <w:t>macrocytosis</w:t>
      </w:r>
      <w:proofErr w:type="spellEnd"/>
      <w:r w:rsidRPr="00681614">
        <w:t xml:space="preserve"> as a screening trigger—as many clinical algorithms still do—would have flagged fewer than one in thirteen patients with a deficiency. </w:t>
      </w:r>
      <w:proofErr w:type="spellStart"/>
      <w:r w:rsidRPr="00681614">
        <w:t>Lindenbaum</w:t>
      </w:r>
      <w:proofErr w:type="spellEnd"/>
      <w:r w:rsidRPr="00681614">
        <w:t xml:space="preserve"> et al. demonstrated over three decades ago that neurological B12 deficiency can develop without anaemia or </w:t>
      </w:r>
      <w:proofErr w:type="spellStart"/>
      <w:r w:rsidRPr="00681614">
        <w:t>macrocytosis</w:t>
      </w:r>
      <w:proofErr w:type="spellEnd"/>
      <w:r w:rsidRPr="00681614">
        <w:t xml:space="preserve"> (</w:t>
      </w:r>
      <w:r w:rsidRPr="00681614">
        <w:rPr>
          <w:b/>
          <w:bCs/>
        </w:rPr>
        <w:t>17),</w:t>
      </w:r>
      <w:r w:rsidRPr="00681614">
        <w:t xml:space="preserve"> and this large contemporary dataset powerfully confirms it. A normal full blood count should never be used as a reason to withhold B12 testing in a patient with relevant risk factors.</w:t>
      </w:r>
    </w:p>
    <w:p w:rsidR="00681614" w:rsidRPr="00681614" w:rsidRDefault="00681614" w:rsidP="00681614">
      <w:r w:rsidRPr="00681614">
        <w:t>The haematological differences between groups were real and statistically robust. Haemoglobin was significantly lower in the deficient group (11.95 vs. 12.89 g/</w:t>
      </w:r>
      <w:proofErr w:type="spellStart"/>
      <w:r w:rsidRPr="00681614">
        <w:t>dL</w:t>
      </w:r>
      <w:proofErr w:type="spellEnd"/>
      <w:r w:rsidRPr="00681614">
        <w:t>; p &lt; 0.001), as were RBC count and serum folate. Since folate remained within the normal range in both groups, the parallel homocysteine elevation reflects cobalamin-driven metabolic disruption, not folate deficiency. (</w:t>
      </w:r>
      <w:r w:rsidRPr="00681614">
        <w:rPr>
          <w:b/>
          <w:bCs/>
        </w:rPr>
        <w:t>1)</w:t>
      </w:r>
      <w:r w:rsidRPr="00681614">
        <w:t xml:space="preserve"> The moderate anaemia observed is better understood as early disease than mild disease, caught at a point where intervention can still prevent neurological progression.</w:t>
      </w:r>
    </w:p>
    <w:p w:rsidR="00681614" w:rsidRDefault="00681614" w:rsidP="00681614"/>
    <w:p w:rsidR="00681614" w:rsidRPr="00681614" w:rsidRDefault="00681614" w:rsidP="00681614">
      <w:r w:rsidRPr="00681614">
        <w:t xml:space="preserve">On treatment, oral cyanocobalamin was non-inferior to intramuscular </w:t>
      </w:r>
      <w:proofErr w:type="spellStart"/>
      <w:r w:rsidRPr="00681614">
        <w:t>hydroxocobalamin</w:t>
      </w:r>
      <w:proofErr w:type="spellEnd"/>
      <w:r w:rsidRPr="00681614">
        <w:t xml:space="preserve"> across all functional endpoints, including in patients with pernicious anaemia and </w:t>
      </w:r>
      <w:proofErr w:type="spellStart"/>
      <w:r w:rsidRPr="00681614">
        <w:t>ileal</w:t>
      </w:r>
      <w:proofErr w:type="spellEnd"/>
      <w:r w:rsidRPr="00681614">
        <w:t xml:space="preserve"> resection. The rationale is well established: passive diffusion absorbs roughly 1–2% of an oral dose independent of intrinsic factor, yielding 10–20 µg absorbed daily from a 1,000 µg tablet against a physiological requirement of ~2.4 µg. (</w:t>
      </w:r>
      <w:r w:rsidRPr="00681614">
        <w:rPr>
          <w:b/>
          <w:bCs/>
        </w:rPr>
        <w:t>5,6)</w:t>
      </w:r>
      <w:r w:rsidRPr="00681614">
        <w:t xml:space="preserve"> Butler et al. and </w:t>
      </w:r>
      <w:proofErr w:type="spellStart"/>
      <w:r w:rsidRPr="00681614">
        <w:t>Eussen</w:t>
      </w:r>
      <w:proofErr w:type="spellEnd"/>
      <w:r w:rsidRPr="00681614">
        <w:t xml:space="preserve"> et al. demonstrated equivalent biochemical correction in randomised controlled </w:t>
      </w:r>
      <w:proofErr w:type="gramStart"/>
      <w:r w:rsidRPr="00681614">
        <w:t>trials,(</w:t>
      </w:r>
      <w:proofErr w:type="gramEnd"/>
      <w:r w:rsidRPr="00681614">
        <w:rPr>
          <w:b/>
          <w:bCs/>
        </w:rPr>
        <w:t>5,6)</w:t>
      </w:r>
      <w:r w:rsidRPr="00681614">
        <w:t xml:space="preserve"> and these real-world data confirm that equivalence holds outside controlled trial settings. The marginally higher total B12 in the IM group at six months (442 vs. 418 </w:t>
      </w:r>
      <w:proofErr w:type="spellStart"/>
      <w:r w:rsidRPr="00681614">
        <w:t>pg</w:t>
      </w:r>
      <w:proofErr w:type="spellEnd"/>
      <w:r w:rsidRPr="00681614">
        <w:t>/mL; p = 0.041) was not reflected in any functional endpoint and almost certainly represents the pharmacokinetic bolus from injection rather than superior tissue repletion. The oral route is simpler, safer, and cheaper.</w:t>
      </w:r>
    </w:p>
    <w:p w:rsidR="00681614" w:rsidRDefault="00681614" w:rsidP="00681614"/>
    <w:p w:rsidR="00681614" w:rsidRPr="00681614" w:rsidRDefault="00681614" w:rsidP="00681614">
      <w:r w:rsidRPr="00681614">
        <w:t>The clinical implications are straightforward. Patients on long-term PPIs or H2RAs are an identifiable at-risk group—prolonged use raises deficiency risk by ~65% (</w:t>
      </w:r>
      <w:r w:rsidRPr="00681614">
        <w:rPr>
          <w:b/>
          <w:bCs/>
        </w:rPr>
        <w:t>4)</w:t>
      </w:r>
      <w:r w:rsidRPr="00681614">
        <w:t>—yet most are never screened, and when they are, it is usually with the least informative test available. Switching to Active B12 as the primary screening tool, with homocysteine to resolve borderline cases, requires no new infrastructure—only a change in ordering habits. Guidelines already acknowledge the non-inferiority of high-dose oral B12 (</w:t>
      </w:r>
      <w:r w:rsidRPr="00681614">
        <w:rPr>
          <w:b/>
          <w:bCs/>
        </w:rPr>
        <w:t xml:space="preserve">14), </w:t>
      </w:r>
      <w:r w:rsidRPr="00681614">
        <w:t xml:space="preserve">yet injections remain the default in many centres. These are modifiable habits, and this study provides real-world evidence to </w:t>
      </w:r>
      <w:r w:rsidRPr="00681614">
        <w:lastRenderedPageBreak/>
        <w:t>support modifying them. Emerging frameworks for personalised PPI dosing (</w:t>
      </w:r>
      <w:r w:rsidRPr="00681614">
        <w:rPr>
          <w:b/>
          <w:bCs/>
        </w:rPr>
        <w:t>18)</w:t>
      </w:r>
      <w:r w:rsidRPr="00681614">
        <w:t xml:space="preserve"> and AI-assisted gastrointestinal decision support (</w:t>
      </w:r>
      <w:r w:rsidRPr="00681614">
        <w:rPr>
          <w:b/>
          <w:bCs/>
        </w:rPr>
        <w:t>19,20)</w:t>
      </w:r>
      <w:r w:rsidRPr="00681614">
        <w:t xml:space="preserve"> may eventually enable proactive nutritional monitoring at scale.</w:t>
      </w:r>
    </w:p>
    <w:p w:rsidR="00681614" w:rsidRPr="00681614" w:rsidRDefault="00681614" w:rsidP="00681614">
      <w:pPr>
        <w:spacing w:before="240" w:after="120"/>
        <w:outlineLvl w:val="1"/>
        <w:rPr>
          <w:b/>
          <w:bCs/>
          <w:sz w:val="36"/>
          <w:szCs w:val="36"/>
        </w:rPr>
      </w:pPr>
      <w:r w:rsidRPr="00681614">
        <w:rPr>
          <w:b/>
          <w:bCs/>
          <w:sz w:val="36"/>
          <w:szCs w:val="36"/>
        </w:rPr>
        <w:t>4.1 Strengths</w:t>
      </w:r>
    </w:p>
    <w:p w:rsidR="00681614" w:rsidRPr="00681614" w:rsidRDefault="00681614" w:rsidP="00681614">
      <w:pPr>
        <w:numPr>
          <w:ilvl w:val="0"/>
          <w:numId w:val="3"/>
        </w:numPr>
        <w:spacing w:before="120" w:after="120"/>
      </w:pPr>
      <w:r w:rsidRPr="00681614">
        <w:t xml:space="preserve">The cohort of 2,338 patients with simultaneous paired B12 measurements is among the largest real-world datasets in which </w:t>
      </w:r>
      <w:proofErr w:type="spellStart"/>
      <w:r w:rsidRPr="00681614">
        <w:t>holotranscobalamin</w:t>
      </w:r>
      <w:proofErr w:type="spellEnd"/>
      <w:r w:rsidRPr="00681614">
        <w:t xml:space="preserve"> has been evaluated against multiple functional reference standards.</w:t>
      </w:r>
    </w:p>
    <w:p w:rsidR="00681614" w:rsidRPr="00681614" w:rsidRDefault="00681614" w:rsidP="00681614">
      <w:pPr>
        <w:numPr>
          <w:ilvl w:val="0"/>
          <w:numId w:val="3"/>
        </w:numPr>
        <w:spacing w:before="120" w:after="120"/>
      </w:pPr>
      <w:r w:rsidRPr="00681614">
        <w:t>Paired simultaneous sampling eliminates temporal variability that can confound studies using historical comparators.</w:t>
      </w:r>
    </w:p>
    <w:p w:rsidR="00681614" w:rsidRPr="00681614" w:rsidRDefault="00681614" w:rsidP="00681614">
      <w:pPr>
        <w:numPr>
          <w:ilvl w:val="0"/>
          <w:numId w:val="3"/>
        </w:numPr>
        <w:spacing w:before="120" w:after="120"/>
      </w:pPr>
      <w:r w:rsidRPr="00681614">
        <w:t>Three independent reference standards—haemoglobin at two thresholds and plasma homocysteine—allow triangulation of findings rather than dependence on any single criterion.</w:t>
      </w:r>
    </w:p>
    <w:p w:rsidR="00681614" w:rsidRPr="00681614" w:rsidRDefault="00681614" w:rsidP="00681614">
      <w:pPr>
        <w:numPr>
          <w:ilvl w:val="0"/>
          <w:numId w:val="3"/>
        </w:numPr>
        <w:spacing w:before="120" w:after="120"/>
      </w:pPr>
      <w:r w:rsidRPr="00681614">
        <w:t xml:space="preserve">The </w:t>
      </w:r>
      <w:proofErr w:type="spellStart"/>
      <w:r w:rsidRPr="00681614">
        <w:t>Youden</w:t>
      </w:r>
      <w:proofErr w:type="spellEnd"/>
      <w:r w:rsidRPr="00681614">
        <w:t xml:space="preserve">-optimal cut-off of 34.9 </w:t>
      </w:r>
      <w:proofErr w:type="spellStart"/>
      <w:r w:rsidRPr="00681614">
        <w:t>pmol</w:t>
      </w:r>
      <w:proofErr w:type="spellEnd"/>
      <w:r w:rsidRPr="00681614">
        <w:t xml:space="preserve">/L was derived entirely from functional metabolic data in this cohort, yet independently converged on the internationally accepted threshold of 35 </w:t>
      </w:r>
      <w:proofErr w:type="spellStart"/>
      <w:r w:rsidRPr="00681614">
        <w:t>pmol</w:t>
      </w:r>
      <w:proofErr w:type="spellEnd"/>
      <w:r w:rsidRPr="00681614">
        <w:t>/L (</w:t>
      </w:r>
      <w:r w:rsidRPr="00681614">
        <w:rPr>
          <w:b/>
          <w:bCs/>
        </w:rPr>
        <w:t>7,12,14),</w:t>
      </w:r>
      <w:r w:rsidRPr="00681614">
        <w:t xml:space="preserve"> providing empirical validation of a criterion clinicians have relied upon without formal local confirmation.</w:t>
      </w:r>
    </w:p>
    <w:p w:rsidR="00681614" w:rsidRPr="00681614" w:rsidRDefault="00681614" w:rsidP="00681614">
      <w:pPr>
        <w:numPr>
          <w:ilvl w:val="0"/>
          <w:numId w:val="3"/>
        </w:numPr>
        <w:spacing w:before="120" w:after="120"/>
      </w:pPr>
      <w:r w:rsidRPr="00681614">
        <w:t>The treatment subgroup analysis demonstrated consistent non-inferiority of oral therapy across both malabsorption subtypes and all functional endpoints assessed.</w:t>
      </w:r>
    </w:p>
    <w:p w:rsidR="00681614" w:rsidRPr="00681614" w:rsidRDefault="00681614" w:rsidP="00681614">
      <w:pPr>
        <w:spacing w:before="240" w:after="120"/>
        <w:outlineLvl w:val="1"/>
        <w:rPr>
          <w:b/>
          <w:bCs/>
          <w:sz w:val="36"/>
          <w:szCs w:val="36"/>
        </w:rPr>
      </w:pPr>
      <w:r w:rsidRPr="00681614">
        <w:rPr>
          <w:b/>
          <w:bCs/>
          <w:sz w:val="36"/>
          <w:szCs w:val="36"/>
        </w:rPr>
        <w:t>4.2 Limitations</w:t>
      </w:r>
    </w:p>
    <w:p w:rsidR="00681614" w:rsidRPr="00681614" w:rsidRDefault="00681614" w:rsidP="00681614">
      <w:pPr>
        <w:numPr>
          <w:ilvl w:val="0"/>
          <w:numId w:val="4"/>
        </w:numPr>
        <w:spacing w:before="120" w:after="120"/>
      </w:pPr>
      <w:r w:rsidRPr="00681614">
        <w:t xml:space="preserve">The retrospective single-centre design reflects a tertiary referral population; deficiency </w:t>
      </w:r>
      <w:proofErr w:type="spellStart"/>
      <w:r w:rsidRPr="00681614">
        <w:t>prevalences</w:t>
      </w:r>
      <w:proofErr w:type="spellEnd"/>
      <w:r w:rsidRPr="00681614">
        <w:t xml:space="preserve"> should not be uncritically applied to primary care or community settings.</w:t>
      </w:r>
    </w:p>
    <w:p w:rsidR="00681614" w:rsidRPr="00681614" w:rsidRDefault="00681614" w:rsidP="00681614">
      <w:pPr>
        <w:numPr>
          <w:ilvl w:val="0"/>
          <w:numId w:val="4"/>
        </w:numPr>
        <w:spacing w:before="120" w:after="120"/>
      </w:pPr>
      <w:proofErr w:type="spellStart"/>
      <w:r w:rsidRPr="00681614">
        <w:t>Methylmalonic</w:t>
      </w:r>
      <w:proofErr w:type="spellEnd"/>
      <w:r w:rsidRPr="00681614">
        <w:t xml:space="preserve"> acid—arguably the most sensitive intracellular marker of cobalamin insufficiency (</w:t>
      </w:r>
      <w:r w:rsidRPr="00681614">
        <w:rPr>
          <w:b/>
          <w:bCs/>
        </w:rPr>
        <w:t>8)</w:t>
      </w:r>
      <w:r w:rsidRPr="00681614">
        <w:t>—was not measured, leaving the full spectrum of subclinical depletion uncharacterised.</w:t>
      </w:r>
    </w:p>
    <w:p w:rsidR="00681614" w:rsidRPr="00681614" w:rsidRDefault="00681614" w:rsidP="00681614">
      <w:pPr>
        <w:numPr>
          <w:ilvl w:val="0"/>
          <w:numId w:val="4"/>
        </w:numPr>
        <w:spacing w:before="120" w:after="120"/>
      </w:pPr>
      <w:r w:rsidRPr="00681614">
        <w:t xml:space="preserve">Homocysteine was available in only 218 patients (9.3%); this subsample may not be representative, and the 78% </w:t>
      </w:r>
      <w:proofErr w:type="spellStart"/>
      <w:r w:rsidRPr="00681614">
        <w:t>hyperhomocysteinaemia</w:t>
      </w:r>
      <w:proofErr w:type="spellEnd"/>
      <w:r w:rsidRPr="00681614">
        <w:t xml:space="preserve"> rate may reflect enrichment for higher-risk patients.</w:t>
      </w:r>
    </w:p>
    <w:p w:rsidR="00681614" w:rsidRPr="00681614" w:rsidRDefault="00681614" w:rsidP="00681614">
      <w:pPr>
        <w:numPr>
          <w:ilvl w:val="0"/>
          <w:numId w:val="4"/>
        </w:numPr>
        <w:spacing w:before="120" w:after="120"/>
      </w:pPr>
      <w:r w:rsidRPr="00681614">
        <w:t>Neurological symptoms and formal cognitive assessments were not systematically recorded, leaving the neurological burden of B12 deficiency unmeasured.</w:t>
      </w:r>
    </w:p>
    <w:p w:rsidR="00681614" w:rsidRPr="00681614" w:rsidRDefault="00681614" w:rsidP="00681614">
      <w:pPr>
        <w:numPr>
          <w:ilvl w:val="0"/>
          <w:numId w:val="4"/>
        </w:numPr>
        <w:spacing w:before="120" w:after="120"/>
      </w:pPr>
      <w:r w:rsidRPr="00681614">
        <w:t>Prescribing histories for acid-suppressive medications were inconsistently documented, preventing dose-duration analysis of PPI-related deficiency risk.</w:t>
      </w:r>
    </w:p>
    <w:p w:rsidR="00681614" w:rsidRPr="00681614" w:rsidRDefault="00681614" w:rsidP="00681614">
      <w:pPr>
        <w:numPr>
          <w:ilvl w:val="0"/>
          <w:numId w:val="4"/>
        </w:numPr>
        <w:spacing w:before="120" w:after="120"/>
      </w:pPr>
      <w:r w:rsidRPr="00681614">
        <w:t>Residual confounding by indication in the treatment comparison cannot be fully excluded, despite non-inferiority being maintained across both malabsorption sub-types.</w:t>
      </w:r>
    </w:p>
    <w:p w:rsidR="00681614" w:rsidRPr="00681614" w:rsidRDefault="00681614" w:rsidP="00681614">
      <w:pPr>
        <w:numPr>
          <w:ilvl w:val="0"/>
          <w:numId w:val="4"/>
        </w:numPr>
        <w:spacing w:before="120" w:after="120"/>
      </w:pPr>
      <w:r w:rsidRPr="00681614">
        <w:t>Whether oral and intramuscular therapy remain equivalent beyond six months—particularly in progressive atrophic gastritis—remains an open question.</w:t>
      </w:r>
    </w:p>
    <w:p w:rsidR="00681614" w:rsidRPr="00681614" w:rsidRDefault="00681614" w:rsidP="00681614">
      <w:pPr>
        <w:spacing w:before="240" w:after="120"/>
        <w:outlineLvl w:val="1"/>
        <w:rPr>
          <w:b/>
          <w:bCs/>
          <w:sz w:val="36"/>
          <w:szCs w:val="36"/>
        </w:rPr>
      </w:pPr>
      <w:r w:rsidRPr="00681614">
        <w:rPr>
          <w:b/>
          <w:bCs/>
          <w:sz w:val="36"/>
          <w:szCs w:val="36"/>
        </w:rPr>
        <w:t>4.3 Future Research</w:t>
      </w:r>
    </w:p>
    <w:p w:rsidR="00681614" w:rsidRPr="00681614" w:rsidRDefault="00681614" w:rsidP="00681614">
      <w:pPr>
        <w:numPr>
          <w:ilvl w:val="0"/>
          <w:numId w:val="5"/>
        </w:numPr>
        <w:spacing w:before="120" w:after="120"/>
      </w:pPr>
      <w:r w:rsidRPr="00681614">
        <w:lastRenderedPageBreak/>
        <w:t xml:space="preserve">A prospective, multicentre study measuring Active B12, total B12, homocysteine, and </w:t>
      </w:r>
      <w:proofErr w:type="spellStart"/>
      <w:r w:rsidRPr="00681614">
        <w:t>methylmalonic</w:t>
      </w:r>
      <w:proofErr w:type="spellEnd"/>
      <w:r w:rsidRPr="00681614">
        <w:t xml:space="preserve"> acid simultaneously at baseline and at defined intervals in patients initiating long-term acid-suppressive therapy is needed.</w:t>
      </w:r>
    </w:p>
    <w:p w:rsidR="00681614" w:rsidRPr="00681614" w:rsidRDefault="00681614" w:rsidP="00681614">
      <w:pPr>
        <w:numPr>
          <w:ilvl w:val="0"/>
          <w:numId w:val="5"/>
        </w:numPr>
        <w:spacing w:before="120" w:after="120"/>
      </w:pPr>
      <w:r w:rsidRPr="00681614">
        <w:t>Systematic neurological assessment and formal cognitive evaluation should be incorporated to quantify the true burden of neurological B12 deficiency in this population.</w:t>
      </w:r>
    </w:p>
    <w:p w:rsidR="00681614" w:rsidRPr="00681614" w:rsidRDefault="00681614" w:rsidP="00681614">
      <w:pPr>
        <w:numPr>
          <w:ilvl w:val="0"/>
          <w:numId w:val="5"/>
        </w:numPr>
        <w:spacing w:before="120" w:after="120"/>
      </w:pPr>
      <w:r w:rsidRPr="00681614">
        <w:t>A pre-specified randomised treatment allocation with longer follow-up would resolve remaining uncertainties around long-term therapeutic equivalence that a retrospective analysis cannot fully address.</w:t>
      </w:r>
    </w:p>
    <w:p w:rsidR="00C84432" w:rsidRDefault="00C84432">
      <w:pPr>
        <w:pStyle w:val="Heading1"/>
      </w:pPr>
    </w:p>
    <w:p w:rsidR="00C84432" w:rsidRDefault="00387B09">
      <w:pPr>
        <w:pStyle w:val="Heading1"/>
      </w:pPr>
      <w:r>
        <w:t>5. Conclusions</w:t>
      </w:r>
    </w:p>
    <w:p w:rsidR="00C84432" w:rsidRDefault="00387B09">
      <w:pPr>
        <w:spacing w:after="160"/>
        <w:jc w:val="both"/>
      </w:pPr>
      <w:r>
        <w:t xml:space="preserve">In a real-world cohort of 2,338 adults on long-term acid-suppressive therapy, Active B12 identified seven times as many deficient patients as the conventional total B12 threshold, with 91.0% of those patients falling in the grey zone where standard testing offers no guidance. The 35 </w:t>
      </w:r>
      <w:proofErr w:type="spellStart"/>
      <w:r>
        <w:t>pmol</w:t>
      </w:r>
      <w:proofErr w:type="spellEnd"/>
      <w:r>
        <w:t xml:space="preserve">/L threshold is statistically justified, closely matching the </w:t>
      </w:r>
      <w:proofErr w:type="spellStart"/>
      <w:r>
        <w:t>Youden</w:t>
      </w:r>
      <w:proofErr w:type="spellEnd"/>
      <w:r>
        <w:t xml:space="preserve">-optimal cut-off derived from homocysteine reference data. High-dose oral cyanocobalamin is equivalent to intramuscular </w:t>
      </w:r>
      <w:proofErr w:type="spellStart"/>
      <w:r>
        <w:t>hydroxocobalamin</w:t>
      </w:r>
      <w:proofErr w:type="spellEnd"/>
      <w:r>
        <w:t xml:space="preserve"> across all functional endpoints, including in patients with irreversible malabsorption.</w:t>
      </w:r>
    </w:p>
    <w:p w:rsidR="00C84432" w:rsidRDefault="00387B09">
      <w:pPr>
        <w:spacing w:after="300"/>
        <w:jc w:val="both"/>
      </w:pPr>
      <w:r>
        <w:t xml:space="preserve">For clinicians, three practical changes follow from these findings: request Active B12 rather than total B12 when screening patients on chronic acid suppression; use homocysteine to confirm borderline cases; and prescribe oral B12 supplementation as first-line treatment in most patients. Larger prospective studies incorporating </w:t>
      </w:r>
      <w:proofErr w:type="spellStart"/>
      <w:r>
        <w:t>methylmalonic</w:t>
      </w:r>
      <w:proofErr w:type="spellEnd"/>
      <w:r>
        <w:t xml:space="preserve"> acid and neurological outcomes will be needed to further refine these recommendations.</w:t>
      </w:r>
    </w:p>
    <w:p w:rsidR="00C84432" w:rsidRDefault="00387B09">
      <w:pPr>
        <w:pStyle w:val="Heading1"/>
      </w:pPr>
      <w:r>
        <w:t>Declarations</w:t>
      </w:r>
    </w:p>
    <w:p w:rsidR="00C84432" w:rsidRDefault="00387B09">
      <w:pPr>
        <w:spacing w:after="80"/>
        <w:jc w:val="both"/>
      </w:pPr>
      <w:r>
        <w:rPr>
          <w:b/>
          <w:bCs/>
        </w:rPr>
        <w:t xml:space="preserve">Funding: </w:t>
      </w:r>
      <w:r>
        <w:t>No external funding was received.</w:t>
      </w:r>
    </w:p>
    <w:p w:rsidR="00C84432" w:rsidRDefault="00387B09">
      <w:pPr>
        <w:spacing w:after="80"/>
        <w:jc w:val="both"/>
      </w:pPr>
      <w:r>
        <w:rPr>
          <w:b/>
          <w:bCs/>
        </w:rPr>
        <w:t xml:space="preserve">Conflicts of interest: </w:t>
      </w:r>
      <w:r>
        <w:t>None declared.</w:t>
      </w:r>
    </w:p>
    <w:p w:rsidR="00C84432" w:rsidRDefault="00387B09">
      <w:pPr>
        <w:spacing w:after="80"/>
        <w:jc w:val="both"/>
      </w:pPr>
      <w:r>
        <w:rPr>
          <w:b/>
          <w:bCs/>
        </w:rPr>
        <w:t xml:space="preserve">Ethics: </w:t>
      </w:r>
      <w:r>
        <w:t>Conducted in accordance with the Declaration of Helsinki. IRB waiver granted for retrospective de-identified data.</w:t>
      </w:r>
    </w:p>
    <w:p w:rsidR="00C84432" w:rsidRDefault="00387B09">
      <w:pPr>
        <w:spacing w:after="80"/>
        <w:jc w:val="both"/>
      </w:pPr>
      <w:r>
        <w:rPr>
          <w:b/>
          <w:bCs/>
        </w:rPr>
        <w:t xml:space="preserve">Data availability: </w:t>
      </w:r>
      <w:r>
        <w:t>Anonymised data available from the corresponding author on reasonable request.</w:t>
      </w:r>
    </w:p>
    <w:p w:rsidR="00C84432" w:rsidRDefault="00387B09">
      <w:pPr>
        <w:spacing w:after="300"/>
        <w:jc w:val="both"/>
      </w:pPr>
      <w:r>
        <w:rPr>
          <w:b/>
          <w:bCs/>
        </w:rPr>
        <w:t xml:space="preserve">Author contributions: </w:t>
      </w:r>
      <w:r>
        <w:t>Conceptualization, Methodology, Formal analysis, Investigation, Writing — Original Draft, Review &amp; Editing, Supervision.</w:t>
      </w:r>
    </w:p>
    <w:p w:rsidR="00C84432" w:rsidRDefault="00387B09">
      <w:pPr>
        <w:pStyle w:val="Heading1"/>
      </w:pPr>
      <w:r>
        <w:t>References</w:t>
      </w:r>
    </w:p>
    <w:p w:rsidR="00C84432" w:rsidRDefault="00387B09">
      <w:pPr>
        <w:spacing w:after="60"/>
        <w:ind w:left="360" w:hanging="360"/>
      </w:pPr>
      <w:r>
        <w:rPr>
          <w:sz w:val="22"/>
          <w:szCs w:val="22"/>
        </w:rPr>
        <w:t xml:space="preserve">1. Allen LH. Causes of vitamin B12 and folate deficiency. Food </w:t>
      </w:r>
      <w:proofErr w:type="spellStart"/>
      <w:r>
        <w:rPr>
          <w:sz w:val="22"/>
          <w:szCs w:val="22"/>
        </w:rPr>
        <w:t>Nutr</w:t>
      </w:r>
      <w:proofErr w:type="spellEnd"/>
      <w:r>
        <w:rPr>
          <w:sz w:val="22"/>
          <w:szCs w:val="22"/>
        </w:rPr>
        <w:t xml:space="preserve"> Bull. 2008;29(</w:t>
      </w:r>
      <w:proofErr w:type="spellStart"/>
      <w:r>
        <w:rPr>
          <w:sz w:val="22"/>
          <w:szCs w:val="22"/>
        </w:rPr>
        <w:t>Suppl</w:t>
      </w:r>
      <w:proofErr w:type="spellEnd"/>
      <w:r>
        <w:rPr>
          <w:sz w:val="22"/>
          <w:szCs w:val="22"/>
        </w:rPr>
        <w:t xml:space="preserve"> 2</w:t>
      </w:r>
      <w:proofErr w:type="gramStart"/>
      <w:r>
        <w:rPr>
          <w:sz w:val="22"/>
          <w:szCs w:val="22"/>
        </w:rPr>
        <w:t>):S</w:t>
      </w:r>
      <w:proofErr w:type="gramEnd"/>
      <w:r>
        <w:rPr>
          <w:sz w:val="22"/>
          <w:szCs w:val="22"/>
        </w:rPr>
        <w:t>20–34.</w:t>
      </w:r>
    </w:p>
    <w:p w:rsidR="00C84432" w:rsidRDefault="00387B09">
      <w:pPr>
        <w:spacing w:after="60"/>
        <w:ind w:left="360" w:hanging="360"/>
      </w:pPr>
      <w:r>
        <w:rPr>
          <w:sz w:val="22"/>
          <w:szCs w:val="22"/>
        </w:rPr>
        <w:t xml:space="preserve">2. Green R, Allen LH, </w:t>
      </w:r>
      <w:proofErr w:type="spellStart"/>
      <w:r>
        <w:rPr>
          <w:sz w:val="22"/>
          <w:szCs w:val="22"/>
        </w:rPr>
        <w:t>Bjørke-Monsen</w:t>
      </w:r>
      <w:proofErr w:type="spellEnd"/>
      <w:r>
        <w:rPr>
          <w:sz w:val="22"/>
          <w:szCs w:val="22"/>
        </w:rPr>
        <w:t xml:space="preserve"> AL, et al. Vitamin B12 deficiency. Nat Rev Dis Primers. </w:t>
      </w:r>
      <w:proofErr w:type="gramStart"/>
      <w:r>
        <w:rPr>
          <w:sz w:val="22"/>
          <w:szCs w:val="22"/>
        </w:rPr>
        <w:t>2017;3:17040</w:t>
      </w:r>
      <w:proofErr w:type="gramEnd"/>
      <w:r>
        <w:rPr>
          <w:sz w:val="22"/>
          <w:szCs w:val="22"/>
        </w:rPr>
        <w:t>.</w:t>
      </w:r>
    </w:p>
    <w:p w:rsidR="00C84432" w:rsidRDefault="00387B09">
      <w:pPr>
        <w:spacing w:after="60"/>
        <w:ind w:left="360" w:hanging="360"/>
      </w:pPr>
      <w:r>
        <w:rPr>
          <w:sz w:val="22"/>
          <w:szCs w:val="22"/>
        </w:rPr>
        <w:lastRenderedPageBreak/>
        <w:t xml:space="preserve">3. Carmel R. </w:t>
      </w:r>
      <w:proofErr w:type="spellStart"/>
      <w:r>
        <w:rPr>
          <w:sz w:val="22"/>
          <w:szCs w:val="22"/>
        </w:rPr>
        <w:t>Holotranscobalamin</w:t>
      </w:r>
      <w:proofErr w:type="spellEnd"/>
      <w:r>
        <w:rPr>
          <w:sz w:val="22"/>
          <w:szCs w:val="22"/>
        </w:rPr>
        <w:t xml:space="preserve"> is an early marker of vitamin B12 deficiency. </w:t>
      </w:r>
      <w:proofErr w:type="spellStart"/>
      <w:r>
        <w:rPr>
          <w:sz w:val="22"/>
          <w:szCs w:val="22"/>
        </w:rPr>
        <w:t>Clin</w:t>
      </w:r>
      <w:proofErr w:type="spellEnd"/>
      <w:r>
        <w:rPr>
          <w:sz w:val="22"/>
          <w:szCs w:val="22"/>
        </w:rPr>
        <w:t xml:space="preserve"> Chem. </w:t>
      </w:r>
      <w:proofErr w:type="gramStart"/>
      <w:r>
        <w:rPr>
          <w:sz w:val="22"/>
          <w:szCs w:val="22"/>
        </w:rPr>
        <w:t>2002;48:407</w:t>
      </w:r>
      <w:proofErr w:type="gramEnd"/>
      <w:r>
        <w:rPr>
          <w:sz w:val="22"/>
          <w:szCs w:val="22"/>
        </w:rPr>
        <w:t>–9.</w:t>
      </w:r>
    </w:p>
    <w:p w:rsidR="00C84432" w:rsidRDefault="00387B09">
      <w:pPr>
        <w:spacing w:after="60"/>
        <w:ind w:left="360" w:hanging="360"/>
      </w:pPr>
      <w:r>
        <w:rPr>
          <w:sz w:val="22"/>
          <w:szCs w:val="22"/>
        </w:rPr>
        <w:t xml:space="preserve">4. Lam JR, Schneider JL, Zhao W, Corley DA. Proton pump inhibitor and histamine 2 receptor antagonist use and vitamin B12 deficiency. JAMA. </w:t>
      </w:r>
      <w:proofErr w:type="gramStart"/>
      <w:r>
        <w:rPr>
          <w:sz w:val="22"/>
          <w:szCs w:val="22"/>
        </w:rPr>
        <w:t>2013;310:2435</w:t>
      </w:r>
      <w:proofErr w:type="gramEnd"/>
      <w:r>
        <w:rPr>
          <w:sz w:val="22"/>
          <w:szCs w:val="22"/>
        </w:rPr>
        <w:t>–42.</w:t>
      </w:r>
    </w:p>
    <w:p w:rsidR="00C84432" w:rsidRDefault="00387B09">
      <w:pPr>
        <w:spacing w:after="60"/>
        <w:ind w:left="360" w:hanging="360"/>
      </w:pPr>
      <w:r>
        <w:rPr>
          <w:sz w:val="22"/>
          <w:szCs w:val="22"/>
        </w:rPr>
        <w:t xml:space="preserve">5. </w:t>
      </w:r>
      <w:proofErr w:type="spellStart"/>
      <w:r>
        <w:rPr>
          <w:sz w:val="22"/>
          <w:szCs w:val="22"/>
        </w:rPr>
        <w:t>Eussen</w:t>
      </w:r>
      <w:proofErr w:type="spellEnd"/>
      <w:r>
        <w:rPr>
          <w:sz w:val="22"/>
          <w:szCs w:val="22"/>
        </w:rPr>
        <w:t xml:space="preserve"> SJ, de Groot LC, Clarke R, et al. Oral cyanocobalamin supplementation in older people with vitamin B12 deficiency. Arch Intern Med. </w:t>
      </w:r>
      <w:proofErr w:type="gramStart"/>
      <w:r>
        <w:rPr>
          <w:sz w:val="22"/>
          <w:szCs w:val="22"/>
        </w:rPr>
        <w:t>2005;165:1167</w:t>
      </w:r>
      <w:proofErr w:type="gramEnd"/>
      <w:r>
        <w:rPr>
          <w:sz w:val="22"/>
          <w:szCs w:val="22"/>
        </w:rPr>
        <w:t>–72.</w:t>
      </w:r>
    </w:p>
    <w:p w:rsidR="00C84432" w:rsidRDefault="00387B09">
      <w:pPr>
        <w:spacing w:after="60"/>
        <w:ind w:left="360" w:hanging="360"/>
      </w:pPr>
      <w:r>
        <w:rPr>
          <w:sz w:val="22"/>
          <w:szCs w:val="22"/>
        </w:rPr>
        <w:t>6. Butler CC, Vidal-</w:t>
      </w:r>
      <w:proofErr w:type="spellStart"/>
      <w:r>
        <w:rPr>
          <w:sz w:val="22"/>
          <w:szCs w:val="22"/>
        </w:rPr>
        <w:t>Alaball</w:t>
      </w:r>
      <w:proofErr w:type="spellEnd"/>
      <w:r>
        <w:rPr>
          <w:sz w:val="22"/>
          <w:szCs w:val="22"/>
        </w:rPr>
        <w:t xml:space="preserve"> J, </w:t>
      </w:r>
      <w:proofErr w:type="spellStart"/>
      <w:r>
        <w:rPr>
          <w:sz w:val="22"/>
          <w:szCs w:val="22"/>
        </w:rPr>
        <w:t>Cannings</w:t>
      </w:r>
      <w:proofErr w:type="spellEnd"/>
      <w:r>
        <w:rPr>
          <w:sz w:val="22"/>
          <w:szCs w:val="22"/>
        </w:rPr>
        <w:t xml:space="preserve">-John R, et al. Oral vitamin B12 versus intramuscular vitamin B12. Fam </w:t>
      </w:r>
      <w:proofErr w:type="spellStart"/>
      <w:r>
        <w:rPr>
          <w:sz w:val="22"/>
          <w:szCs w:val="22"/>
        </w:rPr>
        <w:t>Pract</w:t>
      </w:r>
      <w:proofErr w:type="spellEnd"/>
      <w:r>
        <w:rPr>
          <w:sz w:val="22"/>
          <w:szCs w:val="22"/>
        </w:rPr>
        <w:t xml:space="preserve">. </w:t>
      </w:r>
      <w:proofErr w:type="gramStart"/>
      <w:r>
        <w:rPr>
          <w:sz w:val="22"/>
          <w:szCs w:val="22"/>
        </w:rPr>
        <w:t>2006;23:279</w:t>
      </w:r>
      <w:proofErr w:type="gramEnd"/>
      <w:r>
        <w:rPr>
          <w:sz w:val="22"/>
          <w:szCs w:val="22"/>
        </w:rPr>
        <w:t>–85.</w:t>
      </w:r>
    </w:p>
    <w:p w:rsidR="00C84432" w:rsidRDefault="00387B09">
      <w:pPr>
        <w:spacing w:after="60"/>
        <w:ind w:left="360" w:hanging="360"/>
      </w:pPr>
      <w:r>
        <w:rPr>
          <w:sz w:val="22"/>
          <w:szCs w:val="22"/>
        </w:rPr>
        <w:t xml:space="preserve">7. Valente E, Scott JM, </w:t>
      </w:r>
      <w:proofErr w:type="spellStart"/>
      <w:r>
        <w:rPr>
          <w:sz w:val="22"/>
          <w:szCs w:val="22"/>
        </w:rPr>
        <w:t>Ueland</w:t>
      </w:r>
      <w:proofErr w:type="spellEnd"/>
      <w:r>
        <w:rPr>
          <w:sz w:val="22"/>
          <w:szCs w:val="22"/>
        </w:rPr>
        <w:t xml:space="preserve"> PM, et al. Diagnostic accuracy of </w:t>
      </w:r>
      <w:proofErr w:type="spellStart"/>
      <w:r>
        <w:rPr>
          <w:sz w:val="22"/>
          <w:szCs w:val="22"/>
        </w:rPr>
        <w:t>holotranscobalamin</w:t>
      </w:r>
      <w:proofErr w:type="spellEnd"/>
      <w:r>
        <w:rPr>
          <w:sz w:val="22"/>
          <w:szCs w:val="22"/>
        </w:rPr>
        <w:t xml:space="preserve">. </w:t>
      </w:r>
      <w:proofErr w:type="spellStart"/>
      <w:r>
        <w:rPr>
          <w:sz w:val="22"/>
          <w:szCs w:val="22"/>
        </w:rPr>
        <w:t>Clin</w:t>
      </w:r>
      <w:proofErr w:type="spellEnd"/>
      <w:r>
        <w:rPr>
          <w:sz w:val="22"/>
          <w:szCs w:val="22"/>
        </w:rPr>
        <w:t xml:space="preserve"> Chem. </w:t>
      </w:r>
      <w:proofErr w:type="gramStart"/>
      <w:r>
        <w:rPr>
          <w:sz w:val="22"/>
          <w:szCs w:val="22"/>
        </w:rPr>
        <w:t>2011;57:1314</w:t>
      </w:r>
      <w:proofErr w:type="gramEnd"/>
      <w:r>
        <w:rPr>
          <w:sz w:val="22"/>
          <w:szCs w:val="22"/>
        </w:rPr>
        <w:t>–25.</w:t>
      </w:r>
    </w:p>
    <w:p w:rsidR="00C84432" w:rsidRDefault="00387B09">
      <w:pPr>
        <w:spacing w:after="60"/>
        <w:ind w:left="360" w:hanging="360"/>
      </w:pPr>
      <w:r>
        <w:rPr>
          <w:sz w:val="22"/>
          <w:szCs w:val="22"/>
        </w:rPr>
        <w:t xml:space="preserve">8. Herrmann W, Obeid R. Causes and early diagnosis of vitamin B12 deficiency. </w:t>
      </w:r>
      <w:proofErr w:type="spellStart"/>
      <w:r>
        <w:rPr>
          <w:sz w:val="22"/>
          <w:szCs w:val="22"/>
        </w:rPr>
        <w:t>Dtsch</w:t>
      </w:r>
      <w:proofErr w:type="spellEnd"/>
      <w:r>
        <w:rPr>
          <w:sz w:val="22"/>
          <w:szCs w:val="22"/>
        </w:rPr>
        <w:t xml:space="preserve"> </w:t>
      </w:r>
      <w:proofErr w:type="spellStart"/>
      <w:r>
        <w:rPr>
          <w:sz w:val="22"/>
          <w:szCs w:val="22"/>
        </w:rPr>
        <w:t>Arztebl</w:t>
      </w:r>
      <w:proofErr w:type="spellEnd"/>
      <w:r>
        <w:rPr>
          <w:sz w:val="22"/>
          <w:szCs w:val="22"/>
        </w:rPr>
        <w:t xml:space="preserve"> Int. </w:t>
      </w:r>
      <w:proofErr w:type="gramStart"/>
      <w:r>
        <w:rPr>
          <w:sz w:val="22"/>
          <w:szCs w:val="22"/>
        </w:rPr>
        <w:t>2008;105:680</w:t>
      </w:r>
      <w:proofErr w:type="gramEnd"/>
      <w:r>
        <w:rPr>
          <w:sz w:val="22"/>
          <w:szCs w:val="22"/>
        </w:rPr>
        <w:t>–5.</w:t>
      </w:r>
    </w:p>
    <w:p w:rsidR="00C84432" w:rsidRDefault="00387B09">
      <w:pPr>
        <w:spacing w:after="60"/>
        <w:ind w:left="360" w:hanging="360"/>
      </w:pPr>
      <w:r>
        <w:rPr>
          <w:sz w:val="22"/>
          <w:szCs w:val="22"/>
        </w:rPr>
        <w:t xml:space="preserve">9. </w:t>
      </w:r>
      <w:proofErr w:type="spellStart"/>
      <w:r>
        <w:rPr>
          <w:sz w:val="22"/>
          <w:szCs w:val="22"/>
        </w:rPr>
        <w:t>Refsum</w:t>
      </w:r>
      <w:proofErr w:type="spellEnd"/>
      <w:r>
        <w:rPr>
          <w:sz w:val="22"/>
          <w:szCs w:val="22"/>
        </w:rPr>
        <w:t xml:space="preserve"> H, Smith AD, </w:t>
      </w:r>
      <w:proofErr w:type="spellStart"/>
      <w:r>
        <w:rPr>
          <w:sz w:val="22"/>
          <w:szCs w:val="22"/>
        </w:rPr>
        <w:t>Ueland</w:t>
      </w:r>
      <w:proofErr w:type="spellEnd"/>
      <w:r>
        <w:rPr>
          <w:sz w:val="22"/>
          <w:szCs w:val="22"/>
        </w:rPr>
        <w:t xml:space="preserve"> PM, et al. Homocysteine determinations. </w:t>
      </w:r>
      <w:proofErr w:type="spellStart"/>
      <w:r>
        <w:rPr>
          <w:sz w:val="22"/>
          <w:szCs w:val="22"/>
        </w:rPr>
        <w:t>Clin</w:t>
      </w:r>
      <w:proofErr w:type="spellEnd"/>
      <w:r>
        <w:rPr>
          <w:sz w:val="22"/>
          <w:szCs w:val="22"/>
        </w:rPr>
        <w:t xml:space="preserve"> Chem. </w:t>
      </w:r>
      <w:proofErr w:type="gramStart"/>
      <w:r>
        <w:rPr>
          <w:sz w:val="22"/>
          <w:szCs w:val="22"/>
        </w:rPr>
        <w:t>2004;50:3</w:t>
      </w:r>
      <w:proofErr w:type="gramEnd"/>
      <w:r>
        <w:rPr>
          <w:sz w:val="22"/>
          <w:szCs w:val="22"/>
        </w:rPr>
        <w:t>–32.</w:t>
      </w:r>
    </w:p>
    <w:p w:rsidR="00C84432" w:rsidRDefault="00387B09">
      <w:pPr>
        <w:spacing w:after="60"/>
        <w:ind w:left="360" w:hanging="360"/>
      </w:pPr>
      <w:r>
        <w:rPr>
          <w:sz w:val="22"/>
          <w:szCs w:val="22"/>
        </w:rPr>
        <w:t xml:space="preserve">10. </w:t>
      </w:r>
      <w:proofErr w:type="spellStart"/>
      <w:r>
        <w:rPr>
          <w:sz w:val="22"/>
          <w:szCs w:val="22"/>
        </w:rPr>
        <w:t>Selhub</w:t>
      </w:r>
      <w:proofErr w:type="spellEnd"/>
      <w:r>
        <w:rPr>
          <w:sz w:val="22"/>
          <w:szCs w:val="22"/>
        </w:rPr>
        <w:t xml:space="preserve"> J. Homocysteine metabolism. </w:t>
      </w:r>
      <w:proofErr w:type="spellStart"/>
      <w:r>
        <w:rPr>
          <w:sz w:val="22"/>
          <w:szCs w:val="22"/>
        </w:rPr>
        <w:t>Annu</w:t>
      </w:r>
      <w:proofErr w:type="spellEnd"/>
      <w:r>
        <w:rPr>
          <w:sz w:val="22"/>
          <w:szCs w:val="22"/>
        </w:rPr>
        <w:t xml:space="preserve"> Rev </w:t>
      </w:r>
      <w:proofErr w:type="spellStart"/>
      <w:r>
        <w:rPr>
          <w:sz w:val="22"/>
          <w:szCs w:val="22"/>
        </w:rPr>
        <w:t>Nutr</w:t>
      </w:r>
      <w:proofErr w:type="spellEnd"/>
      <w:r>
        <w:rPr>
          <w:sz w:val="22"/>
          <w:szCs w:val="22"/>
        </w:rPr>
        <w:t xml:space="preserve">. </w:t>
      </w:r>
      <w:proofErr w:type="gramStart"/>
      <w:r>
        <w:rPr>
          <w:sz w:val="22"/>
          <w:szCs w:val="22"/>
        </w:rPr>
        <w:t>1999;19:217</w:t>
      </w:r>
      <w:proofErr w:type="gramEnd"/>
      <w:r>
        <w:rPr>
          <w:sz w:val="22"/>
          <w:szCs w:val="22"/>
        </w:rPr>
        <w:t>–46.</w:t>
      </w:r>
    </w:p>
    <w:p w:rsidR="00C84432" w:rsidRDefault="00387B09">
      <w:pPr>
        <w:spacing w:after="60"/>
        <w:ind w:left="360" w:hanging="360"/>
      </w:pPr>
      <w:r>
        <w:rPr>
          <w:sz w:val="22"/>
          <w:szCs w:val="22"/>
        </w:rPr>
        <w:t xml:space="preserve">11. </w:t>
      </w:r>
      <w:proofErr w:type="spellStart"/>
      <w:r>
        <w:rPr>
          <w:sz w:val="22"/>
          <w:szCs w:val="22"/>
        </w:rPr>
        <w:t>Stabler</w:t>
      </w:r>
      <w:proofErr w:type="spellEnd"/>
      <w:r>
        <w:rPr>
          <w:sz w:val="22"/>
          <w:szCs w:val="22"/>
        </w:rPr>
        <w:t xml:space="preserve"> SP. Vitamin B12 deficiency. N </w:t>
      </w:r>
      <w:proofErr w:type="spellStart"/>
      <w:r>
        <w:rPr>
          <w:sz w:val="22"/>
          <w:szCs w:val="22"/>
        </w:rPr>
        <w:t>Engl</w:t>
      </w:r>
      <w:proofErr w:type="spellEnd"/>
      <w:r>
        <w:rPr>
          <w:sz w:val="22"/>
          <w:szCs w:val="22"/>
        </w:rPr>
        <w:t xml:space="preserve"> J Med. </w:t>
      </w:r>
      <w:proofErr w:type="gramStart"/>
      <w:r>
        <w:rPr>
          <w:sz w:val="22"/>
          <w:szCs w:val="22"/>
        </w:rPr>
        <w:t>2013;368:149</w:t>
      </w:r>
      <w:proofErr w:type="gramEnd"/>
      <w:r>
        <w:rPr>
          <w:sz w:val="22"/>
          <w:szCs w:val="22"/>
        </w:rPr>
        <w:t>–60.</w:t>
      </w:r>
    </w:p>
    <w:p w:rsidR="00C84432" w:rsidRDefault="00387B09">
      <w:pPr>
        <w:spacing w:after="60"/>
        <w:ind w:left="360" w:hanging="360"/>
      </w:pPr>
      <w:r>
        <w:rPr>
          <w:sz w:val="22"/>
          <w:szCs w:val="22"/>
        </w:rPr>
        <w:t xml:space="preserve">12. </w:t>
      </w:r>
      <w:proofErr w:type="spellStart"/>
      <w:r>
        <w:rPr>
          <w:sz w:val="22"/>
          <w:szCs w:val="22"/>
        </w:rPr>
        <w:t>Nexo</w:t>
      </w:r>
      <w:proofErr w:type="spellEnd"/>
      <w:r>
        <w:rPr>
          <w:sz w:val="22"/>
          <w:szCs w:val="22"/>
        </w:rPr>
        <w:t xml:space="preserve"> E, Hoffmann-</w:t>
      </w:r>
      <w:proofErr w:type="spellStart"/>
      <w:r>
        <w:rPr>
          <w:sz w:val="22"/>
          <w:szCs w:val="22"/>
        </w:rPr>
        <w:t>Lücke</w:t>
      </w:r>
      <w:proofErr w:type="spellEnd"/>
      <w:r>
        <w:rPr>
          <w:sz w:val="22"/>
          <w:szCs w:val="22"/>
        </w:rPr>
        <w:t xml:space="preserve"> E. </w:t>
      </w:r>
      <w:proofErr w:type="spellStart"/>
      <w:r>
        <w:rPr>
          <w:sz w:val="22"/>
          <w:szCs w:val="22"/>
        </w:rPr>
        <w:t>Holotranscobalamin</w:t>
      </w:r>
      <w:proofErr w:type="spellEnd"/>
      <w:r>
        <w:rPr>
          <w:sz w:val="22"/>
          <w:szCs w:val="22"/>
        </w:rPr>
        <w:t xml:space="preserve"> clinical utility. Am J </w:t>
      </w:r>
      <w:proofErr w:type="spellStart"/>
      <w:r>
        <w:rPr>
          <w:sz w:val="22"/>
          <w:szCs w:val="22"/>
        </w:rPr>
        <w:t>Clin</w:t>
      </w:r>
      <w:proofErr w:type="spellEnd"/>
      <w:r>
        <w:rPr>
          <w:sz w:val="22"/>
          <w:szCs w:val="22"/>
        </w:rPr>
        <w:t xml:space="preserve"> </w:t>
      </w:r>
      <w:proofErr w:type="spellStart"/>
      <w:r>
        <w:rPr>
          <w:sz w:val="22"/>
          <w:szCs w:val="22"/>
        </w:rPr>
        <w:t>Nutr</w:t>
      </w:r>
      <w:proofErr w:type="spellEnd"/>
      <w:r>
        <w:rPr>
          <w:sz w:val="22"/>
          <w:szCs w:val="22"/>
        </w:rPr>
        <w:t xml:space="preserve">. </w:t>
      </w:r>
      <w:proofErr w:type="gramStart"/>
      <w:r>
        <w:rPr>
          <w:sz w:val="22"/>
          <w:szCs w:val="22"/>
        </w:rPr>
        <w:t>2011;94:359</w:t>
      </w:r>
      <w:proofErr w:type="gramEnd"/>
      <w:r>
        <w:rPr>
          <w:sz w:val="22"/>
          <w:szCs w:val="22"/>
        </w:rPr>
        <w:t>S–365S.</w:t>
      </w:r>
    </w:p>
    <w:p w:rsidR="00C84432" w:rsidRDefault="00387B09">
      <w:pPr>
        <w:spacing w:after="60"/>
        <w:ind w:left="360" w:hanging="360"/>
      </w:pPr>
      <w:r>
        <w:rPr>
          <w:sz w:val="22"/>
          <w:szCs w:val="22"/>
        </w:rPr>
        <w:t>13. Hunt A, Harrington D, Robinson S. Vitamin B12 deficiency. BMJ. 2014;</w:t>
      </w:r>
      <w:proofErr w:type="gramStart"/>
      <w:r>
        <w:rPr>
          <w:sz w:val="22"/>
          <w:szCs w:val="22"/>
        </w:rPr>
        <w:t>349:g</w:t>
      </w:r>
      <w:proofErr w:type="gramEnd"/>
      <w:r>
        <w:rPr>
          <w:sz w:val="22"/>
          <w:szCs w:val="22"/>
        </w:rPr>
        <w:t>5226.</w:t>
      </w:r>
    </w:p>
    <w:p w:rsidR="00C84432" w:rsidRDefault="00387B09">
      <w:pPr>
        <w:spacing w:after="60"/>
        <w:ind w:left="360" w:hanging="360"/>
      </w:pPr>
      <w:r>
        <w:rPr>
          <w:sz w:val="22"/>
          <w:szCs w:val="22"/>
        </w:rPr>
        <w:t xml:space="preserve">14. </w:t>
      </w:r>
      <w:proofErr w:type="spellStart"/>
      <w:r>
        <w:rPr>
          <w:sz w:val="22"/>
          <w:szCs w:val="22"/>
        </w:rPr>
        <w:t>Devalia</w:t>
      </w:r>
      <w:proofErr w:type="spellEnd"/>
      <w:r>
        <w:rPr>
          <w:sz w:val="22"/>
          <w:szCs w:val="22"/>
        </w:rPr>
        <w:t xml:space="preserve"> V, Hamilton MS, Molloy AM. Guidelines for cobalamin and folate disorders. Br J </w:t>
      </w:r>
      <w:proofErr w:type="spellStart"/>
      <w:r>
        <w:rPr>
          <w:sz w:val="22"/>
          <w:szCs w:val="22"/>
        </w:rPr>
        <w:t>Haematol</w:t>
      </w:r>
      <w:proofErr w:type="spellEnd"/>
      <w:r>
        <w:rPr>
          <w:sz w:val="22"/>
          <w:szCs w:val="22"/>
        </w:rPr>
        <w:t xml:space="preserve">. </w:t>
      </w:r>
      <w:proofErr w:type="gramStart"/>
      <w:r>
        <w:rPr>
          <w:sz w:val="22"/>
          <w:szCs w:val="22"/>
        </w:rPr>
        <w:t>2014;166:496</w:t>
      </w:r>
      <w:proofErr w:type="gramEnd"/>
      <w:r>
        <w:rPr>
          <w:sz w:val="22"/>
          <w:szCs w:val="22"/>
        </w:rPr>
        <w:t>–513.</w:t>
      </w:r>
    </w:p>
    <w:p w:rsidR="00C84432" w:rsidRDefault="00387B09">
      <w:pPr>
        <w:spacing w:after="60"/>
        <w:ind w:left="360" w:hanging="360"/>
      </w:pPr>
      <w:r>
        <w:rPr>
          <w:sz w:val="22"/>
          <w:szCs w:val="22"/>
        </w:rPr>
        <w:t xml:space="preserve">15. </w:t>
      </w:r>
      <w:proofErr w:type="spellStart"/>
      <w:r>
        <w:rPr>
          <w:sz w:val="22"/>
          <w:szCs w:val="22"/>
        </w:rPr>
        <w:t>Hvas</w:t>
      </w:r>
      <w:proofErr w:type="spellEnd"/>
      <w:r>
        <w:rPr>
          <w:sz w:val="22"/>
          <w:szCs w:val="22"/>
        </w:rPr>
        <w:t xml:space="preserve"> AM, </w:t>
      </w:r>
      <w:proofErr w:type="spellStart"/>
      <w:r>
        <w:rPr>
          <w:sz w:val="22"/>
          <w:szCs w:val="22"/>
        </w:rPr>
        <w:t>Nexo</w:t>
      </w:r>
      <w:proofErr w:type="spellEnd"/>
      <w:r>
        <w:rPr>
          <w:sz w:val="22"/>
          <w:szCs w:val="22"/>
        </w:rPr>
        <w:t xml:space="preserve"> E. </w:t>
      </w:r>
      <w:proofErr w:type="spellStart"/>
      <w:r>
        <w:rPr>
          <w:sz w:val="22"/>
          <w:szCs w:val="22"/>
        </w:rPr>
        <w:t>Holotranscobalamin</w:t>
      </w:r>
      <w:proofErr w:type="spellEnd"/>
      <w:r>
        <w:rPr>
          <w:sz w:val="22"/>
          <w:szCs w:val="22"/>
        </w:rPr>
        <w:t xml:space="preserve"> as first choice assay. J Intern Med. </w:t>
      </w:r>
      <w:proofErr w:type="gramStart"/>
      <w:r>
        <w:rPr>
          <w:sz w:val="22"/>
          <w:szCs w:val="22"/>
        </w:rPr>
        <w:t>2005;257:289</w:t>
      </w:r>
      <w:proofErr w:type="gramEnd"/>
      <w:r>
        <w:rPr>
          <w:sz w:val="22"/>
          <w:szCs w:val="22"/>
        </w:rPr>
        <w:t>–98.</w:t>
      </w:r>
    </w:p>
    <w:p w:rsidR="00C84432" w:rsidRDefault="00387B09">
      <w:pPr>
        <w:spacing w:after="60"/>
        <w:ind w:left="360" w:hanging="360"/>
      </w:pPr>
      <w:r>
        <w:rPr>
          <w:sz w:val="22"/>
          <w:szCs w:val="22"/>
        </w:rPr>
        <w:t xml:space="preserve">16. den </w:t>
      </w:r>
      <w:proofErr w:type="spellStart"/>
      <w:r>
        <w:rPr>
          <w:sz w:val="22"/>
          <w:szCs w:val="22"/>
        </w:rPr>
        <w:t>Elzen</w:t>
      </w:r>
      <w:proofErr w:type="spellEnd"/>
      <w:r>
        <w:rPr>
          <w:sz w:val="22"/>
          <w:szCs w:val="22"/>
        </w:rPr>
        <w:t xml:space="preserve"> WPJ, </w:t>
      </w:r>
      <w:proofErr w:type="spellStart"/>
      <w:r>
        <w:rPr>
          <w:sz w:val="22"/>
          <w:szCs w:val="22"/>
        </w:rPr>
        <w:t>Groeneveld</w:t>
      </w:r>
      <w:proofErr w:type="spellEnd"/>
      <w:r>
        <w:rPr>
          <w:sz w:val="22"/>
          <w:szCs w:val="22"/>
        </w:rPr>
        <w:t xml:space="preserve"> Y, de </w:t>
      </w:r>
      <w:proofErr w:type="spellStart"/>
      <w:r>
        <w:rPr>
          <w:sz w:val="22"/>
          <w:szCs w:val="22"/>
        </w:rPr>
        <w:t>Ruijter</w:t>
      </w:r>
      <w:proofErr w:type="spellEnd"/>
      <w:r>
        <w:rPr>
          <w:sz w:val="22"/>
          <w:szCs w:val="22"/>
        </w:rPr>
        <w:t xml:space="preserve"> W, et al. PPIs and vitamin B12 status. Aliment </w:t>
      </w:r>
      <w:proofErr w:type="spellStart"/>
      <w:r>
        <w:rPr>
          <w:sz w:val="22"/>
          <w:szCs w:val="22"/>
        </w:rPr>
        <w:t>Pharmacol</w:t>
      </w:r>
      <w:proofErr w:type="spellEnd"/>
      <w:r>
        <w:rPr>
          <w:sz w:val="22"/>
          <w:szCs w:val="22"/>
        </w:rPr>
        <w:t xml:space="preserve"> </w:t>
      </w:r>
      <w:proofErr w:type="spellStart"/>
      <w:r>
        <w:rPr>
          <w:sz w:val="22"/>
          <w:szCs w:val="22"/>
        </w:rPr>
        <w:t>Ther</w:t>
      </w:r>
      <w:proofErr w:type="spellEnd"/>
      <w:r>
        <w:rPr>
          <w:sz w:val="22"/>
          <w:szCs w:val="22"/>
        </w:rPr>
        <w:t xml:space="preserve">. </w:t>
      </w:r>
      <w:proofErr w:type="gramStart"/>
      <w:r>
        <w:rPr>
          <w:sz w:val="22"/>
          <w:szCs w:val="22"/>
        </w:rPr>
        <w:t>2008;27:491</w:t>
      </w:r>
      <w:proofErr w:type="gramEnd"/>
      <w:r>
        <w:rPr>
          <w:sz w:val="22"/>
          <w:szCs w:val="22"/>
        </w:rPr>
        <w:t>–7.</w:t>
      </w:r>
    </w:p>
    <w:p w:rsidR="00C84432" w:rsidRDefault="00387B09">
      <w:pPr>
        <w:spacing w:after="60"/>
        <w:ind w:left="360" w:hanging="360"/>
      </w:pPr>
      <w:r>
        <w:rPr>
          <w:sz w:val="22"/>
          <w:szCs w:val="22"/>
        </w:rPr>
        <w:t xml:space="preserve">17. </w:t>
      </w:r>
      <w:proofErr w:type="spellStart"/>
      <w:r>
        <w:rPr>
          <w:sz w:val="22"/>
          <w:szCs w:val="22"/>
        </w:rPr>
        <w:t>Lindenbaum</w:t>
      </w:r>
      <w:proofErr w:type="spellEnd"/>
      <w:r>
        <w:rPr>
          <w:sz w:val="22"/>
          <w:szCs w:val="22"/>
        </w:rPr>
        <w:t xml:space="preserve"> J, </w:t>
      </w:r>
      <w:proofErr w:type="spellStart"/>
      <w:r>
        <w:rPr>
          <w:sz w:val="22"/>
          <w:szCs w:val="22"/>
        </w:rPr>
        <w:t>Healton</w:t>
      </w:r>
      <w:proofErr w:type="spellEnd"/>
      <w:r>
        <w:rPr>
          <w:sz w:val="22"/>
          <w:szCs w:val="22"/>
        </w:rPr>
        <w:t xml:space="preserve"> EB, Savage DG, et al. Neuropsychiatric disorders without </w:t>
      </w:r>
      <w:proofErr w:type="spellStart"/>
      <w:r>
        <w:rPr>
          <w:sz w:val="22"/>
          <w:szCs w:val="22"/>
        </w:rPr>
        <w:t>anemia</w:t>
      </w:r>
      <w:proofErr w:type="spellEnd"/>
      <w:r>
        <w:rPr>
          <w:sz w:val="22"/>
          <w:szCs w:val="22"/>
        </w:rPr>
        <w:t xml:space="preserve">. N </w:t>
      </w:r>
      <w:proofErr w:type="spellStart"/>
      <w:r>
        <w:rPr>
          <w:sz w:val="22"/>
          <w:szCs w:val="22"/>
        </w:rPr>
        <w:t>Engl</w:t>
      </w:r>
      <w:proofErr w:type="spellEnd"/>
      <w:r>
        <w:rPr>
          <w:sz w:val="22"/>
          <w:szCs w:val="22"/>
        </w:rPr>
        <w:t xml:space="preserve"> J Med. </w:t>
      </w:r>
      <w:proofErr w:type="gramStart"/>
      <w:r>
        <w:rPr>
          <w:sz w:val="22"/>
          <w:szCs w:val="22"/>
        </w:rPr>
        <w:t>1988;318:1720</w:t>
      </w:r>
      <w:proofErr w:type="gramEnd"/>
      <w:r>
        <w:rPr>
          <w:sz w:val="22"/>
          <w:szCs w:val="22"/>
        </w:rPr>
        <w:t>–8.</w:t>
      </w:r>
    </w:p>
    <w:p w:rsidR="00C84432" w:rsidRDefault="00387B09">
      <w:pPr>
        <w:spacing w:after="60"/>
        <w:ind w:left="360" w:hanging="360"/>
      </w:pPr>
      <w:r>
        <w:rPr>
          <w:sz w:val="22"/>
          <w:szCs w:val="22"/>
        </w:rPr>
        <w:t xml:space="preserve">18. Strand DS, Kim D, </w:t>
      </w:r>
      <w:proofErr w:type="spellStart"/>
      <w:r>
        <w:rPr>
          <w:sz w:val="22"/>
          <w:szCs w:val="22"/>
        </w:rPr>
        <w:t>Peura</w:t>
      </w:r>
      <w:proofErr w:type="spellEnd"/>
      <w:r>
        <w:rPr>
          <w:sz w:val="22"/>
          <w:szCs w:val="22"/>
        </w:rPr>
        <w:t xml:space="preserve"> DA. 25 Years of proton pump inhibitors: a comprehensive review. Gut Liver. 2017;11(1):27–37.</w:t>
      </w:r>
    </w:p>
    <w:p w:rsidR="00C84432" w:rsidRDefault="00387B09">
      <w:pPr>
        <w:spacing w:after="60"/>
        <w:ind w:left="360" w:hanging="360"/>
      </w:pPr>
      <w:r>
        <w:rPr>
          <w:sz w:val="22"/>
          <w:szCs w:val="22"/>
        </w:rPr>
        <w:t xml:space="preserve">19. Martel M, </w:t>
      </w:r>
      <w:proofErr w:type="spellStart"/>
      <w:r>
        <w:rPr>
          <w:sz w:val="22"/>
          <w:szCs w:val="22"/>
        </w:rPr>
        <w:t>Barkun</w:t>
      </w:r>
      <w:proofErr w:type="spellEnd"/>
      <w:r>
        <w:rPr>
          <w:sz w:val="22"/>
          <w:szCs w:val="22"/>
        </w:rPr>
        <w:t xml:space="preserve"> AN, Sung JJY, et al. Artificial intelligence and machine learning in gastroenterology and </w:t>
      </w:r>
      <w:proofErr w:type="spellStart"/>
      <w:r>
        <w:rPr>
          <w:sz w:val="22"/>
          <w:szCs w:val="22"/>
        </w:rPr>
        <w:t>hepatology</w:t>
      </w:r>
      <w:proofErr w:type="spellEnd"/>
      <w:r>
        <w:rPr>
          <w:sz w:val="22"/>
          <w:szCs w:val="22"/>
        </w:rPr>
        <w:t>. Gastroenterology. 2022;162(4):1110–26.</w:t>
      </w:r>
    </w:p>
    <w:p w:rsidR="00C84432" w:rsidRDefault="00387B09">
      <w:pPr>
        <w:spacing w:after="60"/>
        <w:ind w:left="360" w:hanging="360"/>
        <w:rPr>
          <w:sz w:val="22"/>
          <w:szCs w:val="22"/>
        </w:rPr>
      </w:pPr>
      <w:r>
        <w:rPr>
          <w:sz w:val="22"/>
          <w:szCs w:val="22"/>
        </w:rPr>
        <w:t xml:space="preserve">20. </w:t>
      </w:r>
      <w:proofErr w:type="spellStart"/>
      <w:r>
        <w:rPr>
          <w:sz w:val="22"/>
          <w:szCs w:val="22"/>
        </w:rPr>
        <w:t>Chey</w:t>
      </w:r>
      <w:proofErr w:type="spellEnd"/>
      <w:r>
        <w:rPr>
          <w:sz w:val="22"/>
          <w:szCs w:val="22"/>
        </w:rPr>
        <w:t xml:space="preserve"> WD, </w:t>
      </w:r>
      <w:proofErr w:type="spellStart"/>
      <w:r>
        <w:rPr>
          <w:sz w:val="22"/>
          <w:szCs w:val="22"/>
        </w:rPr>
        <w:t>Leontiadis</w:t>
      </w:r>
      <w:proofErr w:type="spellEnd"/>
      <w:r>
        <w:rPr>
          <w:sz w:val="22"/>
          <w:szCs w:val="22"/>
        </w:rPr>
        <w:t xml:space="preserve"> GI, Howden CW, Moss SF. ACG Clinical Guideline: treatment of Helicobacter pylori infection. Am J </w:t>
      </w:r>
      <w:proofErr w:type="spellStart"/>
      <w:r>
        <w:rPr>
          <w:sz w:val="22"/>
          <w:szCs w:val="22"/>
        </w:rPr>
        <w:t>Gastroenterol</w:t>
      </w:r>
      <w:proofErr w:type="spellEnd"/>
      <w:r>
        <w:rPr>
          <w:sz w:val="22"/>
          <w:szCs w:val="22"/>
        </w:rPr>
        <w:t>. 2017;112(2):212–39.</w:t>
      </w:r>
    </w:p>
    <w:p w:rsidR="00523F05" w:rsidRDefault="00523F05">
      <w:pPr>
        <w:spacing w:after="60"/>
        <w:ind w:left="360" w:hanging="360"/>
        <w:rPr>
          <w:sz w:val="22"/>
          <w:szCs w:val="22"/>
        </w:rPr>
      </w:pPr>
    </w:p>
    <w:p w:rsidR="00523F05" w:rsidRDefault="00523F05">
      <w:pPr>
        <w:spacing w:after="60"/>
        <w:ind w:left="360" w:hanging="360"/>
        <w:rPr>
          <w:sz w:val="22"/>
          <w:szCs w:val="22"/>
        </w:rPr>
      </w:pPr>
    </w:p>
    <w:p w:rsidR="00523F05" w:rsidRDefault="00523F05">
      <w:pPr>
        <w:spacing w:after="60"/>
        <w:ind w:left="360" w:hanging="360"/>
        <w:rPr>
          <w:sz w:val="22"/>
          <w:szCs w:val="22"/>
        </w:rPr>
      </w:pPr>
    </w:p>
    <w:p w:rsidR="00523F05" w:rsidRDefault="00523F05" w:rsidP="00523F05">
      <w:pPr>
        <w:spacing w:after="60"/>
        <w:ind w:left="360" w:hanging="360"/>
      </w:pPr>
      <w:r>
        <w:t xml:space="preserve">Background. </w:t>
      </w:r>
    </w:p>
    <w:p w:rsidR="00523F05" w:rsidRDefault="00523F05" w:rsidP="00523F05">
      <w:pPr>
        <w:spacing w:after="60"/>
        <w:ind w:left="360" w:hanging="360"/>
      </w:pPr>
      <w:r>
        <w:t xml:space="preserve">Methods. We reviewed the lab and clinical records of 2,338 consecutive adults who had simultaneous total B12 and Active B12 measurements between June and December 2025. We compared biochemical and </w:t>
      </w:r>
      <w:proofErr w:type="spellStart"/>
      <w:r>
        <w:t>hematological</w:t>
      </w:r>
      <w:proofErr w:type="spellEnd"/>
      <w:r>
        <w:t xml:space="preserve"> parameters between patients with low Active B12 (&lt; 35 </w:t>
      </w:r>
      <w:proofErr w:type="spellStart"/>
      <w:r>
        <w:t>pmol</w:t>
      </w:r>
      <w:proofErr w:type="spellEnd"/>
      <w:r>
        <w:t xml:space="preserve">/L) and those with normal levels. We used ROC analysis with </w:t>
      </w:r>
      <w:proofErr w:type="spellStart"/>
      <w:r>
        <w:t>Youden's</w:t>
      </w:r>
      <w:proofErr w:type="spellEnd"/>
      <w:r>
        <w:t xml:space="preserve"> J statistic to find optimal diagnostic cut-offs. A sub-cohort receiving either oral cyanocobalamin (1,000 µg/day) or intramuscular (IM) </w:t>
      </w:r>
      <w:proofErr w:type="spellStart"/>
      <w:r>
        <w:t>hydroxocobalamin</w:t>
      </w:r>
      <w:proofErr w:type="spellEnd"/>
      <w:r>
        <w:t xml:space="preserve"> was followed for six months.</w:t>
      </w:r>
    </w:p>
    <w:p w:rsidR="00523F05" w:rsidRDefault="00523F05" w:rsidP="00523F05">
      <w:pPr>
        <w:spacing w:after="60"/>
        <w:ind w:left="360" w:hanging="360"/>
      </w:pPr>
    </w:p>
    <w:p w:rsidR="00523F05" w:rsidRDefault="00523F05" w:rsidP="00523F05">
      <w:pPr>
        <w:spacing w:after="60"/>
        <w:ind w:left="360" w:hanging="360"/>
      </w:pPr>
      <w:r>
        <w:lastRenderedPageBreak/>
        <w:t xml:space="preserve">Results. Active B12 deficiency was found in 155 patients (6.6%), while only 22 patients (0.9%) were classified as deficient by total B12—a seven-fold difference. Of those with low Active B12, 91% had total B12 values in the grey zone (200–350 </w:t>
      </w:r>
      <w:proofErr w:type="spellStart"/>
      <w:r>
        <w:t>pg</w:t>
      </w:r>
      <w:proofErr w:type="spellEnd"/>
      <w:r>
        <w:t>/mL). Homocysteine was significantly higher in the deficient group (20.94 ± 3.30 vs 13.88 ± 7.61 µ</w:t>
      </w:r>
      <w:proofErr w:type="spellStart"/>
      <w:r>
        <w:t>mol</w:t>
      </w:r>
      <w:proofErr w:type="spellEnd"/>
      <w:r>
        <w:t xml:space="preserve">/L; p &lt; 0.001). </w:t>
      </w:r>
      <w:proofErr w:type="spellStart"/>
      <w:r>
        <w:t>Hemoglobin</w:t>
      </w:r>
      <w:proofErr w:type="spellEnd"/>
      <w:r>
        <w:t xml:space="preserve"> and folate levels were significantly lower, and ROC analysis using homocysteine as the reference standard gave an AUC of 0.919 for Active B12 versus 0.684 for total B12. The </w:t>
      </w:r>
      <w:proofErr w:type="spellStart"/>
      <w:r>
        <w:t>Youden</w:t>
      </w:r>
      <w:proofErr w:type="spellEnd"/>
      <w:r>
        <w:t xml:space="preserve">-optimal cut-off was 34.9 </w:t>
      </w:r>
      <w:proofErr w:type="spellStart"/>
      <w:r>
        <w:t>pmol</w:t>
      </w:r>
      <w:proofErr w:type="spellEnd"/>
      <w:r>
        <w:t>/L. Both oral and IM therapy produced similar results.</w:t>
      </w:r>
    </w:p>
    <w:p w:rsidR="00523F05" w:rsidRDefault="00523F05" w:rsidP="00523F05">
      <w:pPr>
        <w:spacing w:after="60"/>
        <w:ind w:left="360" w:hanging="360"/>
      </w:pPr>
    </w:p>
    <w:p w:rsidR="00523F05" w:rsidRDefault="00523F05" w:rsidP="00523F05">
      <w:pPr>
        <w:spacing w:after="60"/>
        <w:ind w:left="360" w:hanging="360"/>
      </w:pPr>
      <w:r>
        <w:t xml:space="preserve">Conclusions. Active B12 is much better than total serum B12 at detecting functional cobalamin deficiency in patients on acid-suppressive therapy. The 35 </w:t>
      </w:r>
      <w:proofErr w:type="spellStart"/>
      <w:r>
        <w:t>pmol</w:t>
      </w:r>
      <w:proofErr w:type="spellEnd"/>
      <w:r>
        <w:t>/L threshold is well supported statistically. High-dose oral B12 works as well as injections, even in patients with irreversible malabsorption.</w:t>
      </w:r>
    </w:p>
    <w:p w:rsidR="00523F05" w:rsidRDefault="00523F05" w:rsidP="00523F05">
      <w:pPr>
        <w:spacing w:after="60"/>
        <w:ind w:left="360" w:hanging="360"/>
      </w:pPr>
    </w:p>
    <w:p w:rsidR="00523F05" w:rsidRDefault="00523F05" w:rsidP="00523F05">
      <w:pPr>
        <w:spacing w:after="60"/>
        <w:ind w:left="360" w:hanging="360"/>
      </w:pPr>
      <w:r>
        <w:t xml:space="preserve">Keywords: Active vitamin B12, </w:t>
      </w:r>
      <w:proofErr w:type="spellStart"/>
      <w:r>
        <w:t>holotranscobalamin</w:t>
      </w:r>
      <w:proofErr w:type="spellEnd"/>
      <w:r>
        <w:t>, proton pump inhibitors, vitamin B12 deficiency, oral cyanocobalamin, homocysteine, ROC analysis, primary care</w:t>
      </w:r>
    </w:p>
    <w:p w:rsidR="00523F05" w:rsidRDefault="00523F05" w:rsidP="00523F05">
      <w:pPr>
        <w:spacing w:after="60"/>
        <w:ind w:left="360" w:hanging="360"/>
      </w:pPr>
    </w:p>
    <w:p w:rsidR="00523F05" w:rsidRDefault="00523F05" w:rsidP="00523F05">
      <w:pPr>
        <w:spacing w:after="60"/>
        <w:ind w:left="360" w:hanging="360"/>
      </w:pPr>
      <w:r>
        <w:t>1. Introduction</w:t>
      </w:r>
    </w:p>
    <w:p w:rsidR="00523F05" w:rsidRDefault="00523F05" w:rsidP="00523F05">
      <w:pPr>
        <w:spacing w:after="60"/>
        <w:ind w:left="360" w:hanging="360"/>
      </w:pPr>
    </w:p>
    <w:p w:rsidR="00523F05" w:rsidRDefault="00523F05" w:rsidP="00523F05">
      <w:pPr>
        <w:spacing w:after="60"/>
        <w:ind w:left="360" w:hanging="360"/>
      </w:pPr>
      <w:r>
        <w:t xml:space="preserve">Vitamin B12 deficiency leads to various known issues, such as megaloblastic </w:t>
      </w:r>
      <w:proofErr w:type="spellStart"/>
      <w:r>
        <w:t>anemia</w:t>
      </w:r>
      <w:proofErr w:type="spellEnd"/>
      <w:r>
        <w:t xml:space="preserve">, subacute degeneration of the spinal cord, peripheral neuropathy, and cognitive decline. However, it is often missed in routine clinical practice. One reason for this is that the most common screening test, total serum B12, does not accurately reflect how much cobalamin actually reaches the body's cells. Approximately 80% of the B12 in the blood is bound to </w:t>
      </w:r>
      <w:proofErr w:type="spellStart"/>
      <w:r>
        <w:t>haptocorrin</w:t>
      </w:r>
      <w:proofErr w:type="spellEnd"/>
      <w:r>
        <w:t xml:space="preserve">, a carrier protein that does not help deliver it to cells. Only about 20% is bound to </w:t>
      </w:r>
      <w:proofErr w:type="spellStart"/>
      <w:r>
        <w:t>transcobalamin</w:t>
      </w:r>
      <w:proofErr w:type="spellEnd"/>
      <w:r>
        <w:t xml:space="preserve"> II, which is measured as </w:t>
      </w:r>
      <w:proofErr w:type="spellStart"/>
      <w:r>
        <w:t>holotranscobalamin</w:t>
      </w:r>
      <w:proofErr w:type="spellEnd"/>
      <w:r>
        <w:t xml:space="preserve">, or Active B12, and is taken up by tissues. Since total B12 includes both fractions, a patient can have a "normal" result while their cells are already lacking sufficient B12. International diagnostic and treatment guidelines highlight the limitations of total serum B12 and recommend functional markers like </w:t>
      </w:r>
      <w:proofErr w:type="spellStart"/>
      <w:r>
        <w:t>holotranscobalamin</w:t>
      </w:r>
      <w:proofErr w:type="spellEnd"/>
      <w:r>
        <w:t xml:space="preserve"> and homocysteine in unclear cases.</w:t>
      </w:r>
    </w:p>
    <w:p w:rsidR="00523F05" w:rsidRDefault="00523F05" w:rsidP="00523F05">
      <w:pPr>
        <w:spacing w:after="60"/>
        <w:ind w:left="360" w:hanging="360"/>
      </w:pPr>
    </w:p>
    <w:p w:rsidR="00523F05" w:rsidRDefault="00523F05" w:rsidP="00523F05">
      <w:pPr>
        <w:spacing w:after="60"/>
        <w:ind w:left="360" w:hanging="360"/>
      </w:pPr>
      <w:r>
        <w:t>This issue is especially important for the growing number of patients on long-term acid-suppressive medications. Proton pump inhibitors (PPIs) and histamine-2 receptor antagonists (H2RAs) are among the most commonly prescribed drugs worldwide. Their prolonged use interferes with the release of food-bound cobalamin, reducing the amount available for absorption. Lam and colleagues showed that long-term use of PPIs or H2RAs increases the risk of B12 deficiency by approximately 65%. However, most patients on these medications are never screened for deficiency. When screening does occur, total B12 is often the chosen test, which, as demonstrated here, frequently overlooks those who are functionally deficient.</w:t>
      </w:r>
    </w:p>
    <w:p w:rsidR="00523F05" w:rsidRDefault="00523F05" w:rsidP="00523F05">
      <w:pPr>
        <w:spacing w:after="60"/>
        <w:ind w:left="360" w:hanging="360"/>
      </w:pPr>
    </w:p>
    <w:p w:rsidR="00523F05" w:rsidRDefault="00523F05" w:rsidP="00523F05">
      <w:pPr>
        <w:spacing w:after="60"/>
        <w:ind w:left="360" w:hanging="360"/>
      </w:pPr>
      <w:r>
        <w:t xml:space="preserve">Another issue is treatment. It has traditionally been assumed that patients with poor gut absorption, whether from pernicious </w:t>
      </w:r>
      <w:proofErr w:type="spellStart"/>
      <w:r>
        <w:t>anemia</w:t>
      </w:r>
      <w:proofErr w:type="spellEnd"/>
      <w:r>
        <w:t xml:space="preserve">, </w:t>
      </w:r>
      <w:proofErr w:type="spellStart"/>
      <w:r>
        <w:t>ileal</w:t>
      </w:r>
      <w:proofErr w:type="spellEnd"/>
      <w:r>
        <w:t xml:space="preserve"> resection, or drug-induced </w:t>
      </w:r>
      <w:proofErr w:type="spellStart"/>
      <w:r>
        <w:t>achlorhydria</w:t>
      </w:r>
      <w:proofErr w:type="spellEnd"/>
      <w:r>
        <w:t xml:space="preserve">, must receive injections. High-dose oral cyanocobalamin (1,000 µg/day) is absorbed via passive diffusion at about 1–2% per dose, independently of intrinsic factor or </w:t>
      </w:r>
      <w:proofErr w:type="spellStart"/>
      <w:r>
        <w:t>ileal</w:t>
      </w:r>
      <w:proofErr w:type="spellEnd"/>
      <w:r>
        <w:t xml:space="preserve"> receptors. </w:t>
      </w:r>
      <w:r>
        <w:lastRenderedPageBreak/>
        <w:t xml:space="preserve">This provides more than enough cobalamin to meet daily needs, even without normal active transport. Several randomized trials have shown that oral therapy is equivalent to IM therapy, yet injections remain the standard in many healthcare </w:t>
      </w:r>
      <w:proofErr w:type="spellStart"/>
      <w:r>
        <w:t>centers</w:t>
      </w:r>
      <w:proofErr w:type="spellEnd"/>
      <w:r>
        <w:t>.</w:t>
      </w:r>
    </w:p>
    <w:p w:rsidR="00523F05" w:rsidRDefault="00523F05" w:rsidP="00523F05">
      <w:pPr>
        <w:spacing w:after="60"/>
        <w:ind w:left="360" w:hanging="360"/>
      </w:pPr>
    </w:p>
    <w:p w:rsidR="00523F05" w:rsidRDefault="00523F05" w:rsidP="00523F05">
      <w:pPr>
        <w:spacing w:after="60"/>
        <w:ind w:left="360" w:hanging="360"/>
      </w:pPr>
      <w:r>
        <w:t>This study addresses two practical questions. First, does Active B12 significantly outperform total B12 in identifying patients who are functionally deficient? What is the correct cut-off for this? Second, is high-dose oral therapy truly equivalent to IM injections in a real-world setting that includes patients with both reversible and irreversible malabsorption? We explore both aspects using data from 2,338 consecutive patients with paired B12 measurements, validated against functional biomarkers, including homocysteine.</w:t>
      </w:r>
    </w:p>
    <w:p w:rsidR="00523F05" w:rsidRDefault="00523F05" w:rsidP="00523F05">
      <w:pPr>
        <w:spacing w:after="60"/>
        <w:ind w:left="360" w:hanging="360"/>
      </w:pPr>
    </w:p>
    <w:p w:rsidR="00523F05" w:rsidRDefault="00523F05" w:rsidP="00523F05">
      <w:pPr>
        <w:spacing w:after="60"/>
        <w:ind w:left="360" w:hanging="360"/>
      </w:pPr>
      <w:r>
        <w:t>2. Methods</w:t>
      </w:r>
    </w:p>
    <w:p w:rsidR="00523F05" w:rsidRDefault="00523F05" w:rsidP="00523F05">
      <w:pPr>
        <w:spacing w:after="60"/>
        <w:ind w:left="360" w:hanging="360"/>
      </w:pPr>
    </w:p>
    <w:p w:rsidR="00523F05" w:rsidRDefault="00523F05" w:rsidP="00523F05">
      <w:pPr>
        <w:spacing w:after="60"/>
        <w:ind w:left="360" w:hanging="360"/>
      </w:pPr>
      <w:r>
        <w:t>2.1 Study design and setting</w:t>
      </w:r>
    </w:p>
    <w:p w:rsidR="00523F05" w:rsidRDefault="00523F05" w:rsidP="00523F05">
      <w:pPr>
        <w:spacing w:after="60"/>
        <w:ind w:left="360" w:hanging="360"/>
      </w:pPr>
    </w:p>
    <w:p w:rsidR="00523F05" w:rsidRDefault="00523F05" w:rsidP="00523F05">
      <w:pPr>
        <w:spacing w:after="60"/>
        <w:ind w:left="360" w:hanging="360"/>
      </w:pPr>
      <w:r>
        <w:t>This was a retrospective cohort study using data extracted from electronic medical records at AIG Hospitals, Hyderabad. All consecutive patients who had both total serum B12 and Active B12 measured on the same visit between June 30 and December 31, 2025, were included.</w:t>
      </w:r>
    </w:p>
    <w:p w:rsidR="00523F05" w:rsidRDefault="00523F05" w:rsidP="00523F05">
      <w:pPr>
        <w:spacing w:after="60"/>
        <w:ind w:left="360" w:hanging="360"/>
      </w:pPr>
    </w:p>
    <w:p w:rsidR="00523F05" w:rsidRDefault="00523F05" w:rsidP="00523F05">
      <w:pPr>
        <w:spacing w:after="60"/>
        <w:ind w:left="360" w:hanging="360"/>
      </w:pPr>
      <w:r>
        <w:t>Ethical statement: The institutional review board waived the need for individual informed consent due to the retrospective design and use of de-identified data.</w:t>
      </w:r>
    </w:p>
    <w:p w:rsidR="00523F05" w:rsidRDefault="00523F05" w:rsidP="00523F05">
      <w:pPr>
        <w:spacing w:after="60"/>
        <w:ind w:left="360" w:hanging="360"/>
      </w:pPr>
    </w:p>
    <w:p w:rsidR="00523F05" w:rsidRDefault="00523F05" w:rsidP="00523F05">
      <w:pPr>
        <w:spacing w:after="60"/>
        <w:ind w:left="360" w:hanging="360"/>
      </w:pPr>
      <w:r>
        <w:t>2.2 Patients</w:t>
      </w:r>
    </w:p>
    <w:p w:rsidR="00523F05" w:rsidRDefault="00523F05" w:rsidP="00523F05">
      <w:pPr>
        <w:spacing w:after="60"/>
        <w:ind w:left="360" w:hanging="360"/>
      </w:pPr>
    </w:p>
    <w:p w:rsidR="00523F05" w:rsidRDefault="00523F05" w:rsidP="00523F05">
      <w:pPr>
        <w:spacing w:after="60"/>
        <w:ind w:left="360" w:hanging="360"/>
      </w:pPr>
      <w:r>
        <w:t xml:space="preserve">We included 2,338 patients aged 18 to 80 years with complete paired B12 measurements. For sub-analyses, patients were classified as having either reversible malabsorption (chronic PPI or H2RA use for more than 12 months) or irreversible malabsorption (pernicious </w:t>
      </w:r>
      <w:proofErr w:type="spellStart"/>
      <w:r>
        <w:t>anemia</w:t>
      </w:r>
      <w:proofErr w:type="spellEnd"/>
      <w:r>
        <w:t xml:space="preserve"> confirmed by anti-intrinsic factor antibodies, or prior </w:t>
      </w:r>
      <w:proofErr w:type="spellStart"/>
      <w:r>
        <w:t>ileal</w:t>
      </w:r>
      <w:proofErr w:type="spellEnd"/>
      <w:r>
        <w:t xml:space="preserve"> resection). We excluded patients with active </w:t>
      </w:r>
      <w:proofErr w:type="spellStart"/>
      <w:r>
        <w:t>hematological</w:t>
      </w:r>
      <w:proofErr w:type="spellEnd"/>
      <w:r>
        <w:t xml:space="preserve"> malignancy, current chemotherapy, or a primary blood disorder.</w:t>
      </w:r>
    </w:p>
    <w:p w:rsidR="00523F05" w:rsidRDefault="00523F05" w:rsidP="00523F05">
      <w:pPr>
        <w:spacing w:after="60"/>
        <w:ind w:left="360" w:hanging="360"/>
      </w:pPr>
    </w:p>
    <w:p w:rsidR="00523F05" w:rsidRDefault="00523F05" w:rsidP="00523F05">
      <w:pPr>
        <w:spacing w:after="60"/>
        <w:ind w:left="360" w:hanging="360"/>
      </w:pPr>
      <w:r>
        <w:t>2.3 Laboratory methods</w:t>
      </w:r>
    </w:p>
    <w:p w:rsidR="00523F05" w:rsidRDefault="00523F05" w:rsidP="00523F05">
      <w:pPr>
        <w:spacing w:after="60"/>
        <w:ind w:left="360" w:hanging="360"/>
      </w:pPr>
    </w:p>
    <w:p w:rsidR="00523F05" w:rsidRDefault="00523F05" w:rsidP="00523F05">
      <w:pPr>
        <w:spacing w:after="60"/>
        <w:ind w:left="360" w:hanging="360"/>
      </w:pPr>
      <w:r>
        <w:t xml:space="preserve">Total serum B12 was measured using </w:t>
      </w:r>
      <w:proofErr w:type="spellStart"/>
      <w:r>
        <w:t>chemiluminescent</w:t>
      </w:r>
      <w:proofErr w:type="spellEnd"/>
      <w:r>
        <w:t xml:space="preserve"> </w:t>
      </w:r>
      <w:proofErr w:type="spellStart"/>
      <w:r>
        <w:t>microparticle</w:t>
      </w:r>
      <w:proofErr w:type="spellEnd"/>
      <w:r>
        <w:t xml:space="preserve"> immunoassay (CMIA; reference range 200–900 </w:t>
      </w:r>
      <w:proofErr w:type="spellStart"/>
      <w:r>
        <w:t>pg</w:t>
      </w:r>
      <w:proofErr w:type="spellEnd"/>
      <w:r>
        <w:t>/mL). Active B12 (</w:t>
      </w:r>
      <w:proofErr w:type="spellStart"/>
      <w:r>
        <w:t>holotranscobalamin</w:t>
      </w:r>
      <w:proofErr w:type="spellEnd"/>
      <w:r>
        <w:t xml:space="preserve">) was measured through a two-step CMIA with </w:t>
      </w:r>
      <w:proofErr w:type="spellStart"/>
      <w:r>
        <w:t>transcobalamin</w:t>
      </w:r>
      <w:proofErr w:type="spellEnd"/>
      <w:r>
        <w:t xml:space="preserve"> II-specific monoclonal antibodies. Values below 35 </w:t>
      </w:r>
      <w:proofErr w:type="spellStart"/>
      <w:r>
        <w:t>pmol</w:t>
      </w:r>
      <w:proofErr w:type="spellEnd"/>
      <w:r>
        <w:t xml:space="preserve">/L were classified as deficient. Additional tests included </w:t>
      </w:r>
      <w:proofErr w:type="spellStart"/>
      <w:r>
        <w:t>hemoglobin</w:t>
      </w:r>
      <w:proofErr w:type="spellEnd"/>
      <w:r>
        <w:t>, mean corpuscular volume, red and white blood cell counts, peripheral blood morphology, serum folate, ferritin, and fasting plasma homocysteine.</w:t>
      </w:r>
    </w:p>
    <w:p w:rsidR="00523F05" w:rsidRDefault="00523F05" w:rsidP="00523F05">
      <w:pPr>
        <w:spacing w:after="60"/>
        <w:ind w:left="360" w:hanging="360"/>
      </w:pPr>
    </w:p>
    <w:p w:rsidR="00523F05" w:rsidRDefault="00523F05" w:rsidP="00523F05">
      <w:pPr>
        <w:spacing w:after="60"/>
        <w:ind w:left="360" w:hanging="360"/>
      </w:pPr>
      <w:r>
        <w:t>2.4 Treatment sub-cohort</w:t>
      </w:r>
    </w:p>
    <w:p w:rsidR="00523F05" w:rsidRDefault="00523F05" w:rsidP="00523F05">
      <w:pPr>
        <w:spacing w:after="60"/>
        <w:ind w:left="360" w:hanging="360"/>
      </w:pPr>
    </w:p>
    <w:p w:rsidR="00523F05" w:rsidRDefault="00523F05" w:rsidP="00523F05">
      <w:pPr>
        <w:spacing w:after="60"/>
        <w:ind w:left="360" w:hanging="360"/>
      </w:pPr>
      <w:r>
        <w:lastRenderedPageBreak/>
        <w:t xml:space="preserve">A subset of patients received either oral cyanocobalamin 1,000 µg once daily or IM </w:t>
      </w:r>
      <w:proofErr w:type="spellStart"/>
      <w:r>
        <w:t>hydroxocobalamin</w:t>
      </w:r>
      <w:proofErr w:type="spellEnd"/>
      <w:r>
        <w:t xml:space="preserve"> 1,000 µg daily for seven days, then 1,000 µg monthly. Both groups were assessed at six and twelve months. Treatment response was defined as normalization of Active B12 to ≥ 35 </w:t>
      </w:r>
      <w:proofErr w:type="spellStart"/>
      <w:r>
        <w:t>pmol</w:t>
      </w:r>
      <w:proofErr w:type="spellEnd"/>
      <w:r>
        <w:t xml:space="preserve">/L, resolution of </w:t>
      </w:r>
      <w:proofErr w:type="spellStart"/>
      <w:r>
        <w:t>anemia</w:t>
      </w:r>
      <w:proofErr w:type="spellEnd"/>
      <w:r>
        <w:t>, and a drop in homocysteine below 15 µ</w:t>
      </w:r>
      <w:proofErr w:type="spellStart"/>
      <w:r>
        <w:t>mol</w:t>
      </w:r>
      <w:proofErr w:type="spellEnd"/>
      <w:r>
        <w:t>/L when measured.</w:t>
      </w:r>
    </w:p>
    <w:p w:rsidR="00523F05" w:rsidRDefault="00523F05" w:rsidP="00523F05">
      <w:pPr>
        <w:spacing w:after="60"/>
        <w:ind w:left="360" w:hanging="360"/>
      </w:pPr>
    </w:p>
    <w:p w:rsidR="00523F05" w:rsidRDefault="00523F05" w:rsidP="00523F05">
      <w:pPr>
        <w:spacing w:after="60"/>
        <w:ind w:left="360" w:hanging="360"/>
      </w:pPr>
      <w:r>
        <w:t>2.5 Statistical analysis</w:t>
      </w:r>
    </w:p>
    <w:p w:rsidR="00523F05" w:rsidRDefault="00523F05" w:rsidP="00523F05">
      <w:pPr>
        <w:spacing w:after="60"/>
        <w:ind w:left="360" w:hanging="360"/>
      </w:pPr>
    </w:p>
    <w:p w:rsidR="00523F05" w:rsidRDefault="00523F05" w:rsidP="00523F05">
      <w:pPr>
        <w:spacing w:after="60"/>
        <w:ind w:left="360" w:hanging="360"/>
      </w:pPr>
      <w:r>
        <w:t xml:space="preserve">Continuous data are expressed as mean ± standard deviation (SD). We used Welch's t-tests for group comparisons, Pearson correlation for bivariate relationships, and multivariable linear regression to identify independent predictors of Active B12 after adjusting for age, </w:t>
      </w:r>
      <w:proofErr w:type="spellStart"/>
      <w:r>
        <w:t>hemoglobin</w:t>
      </w:r>
      <w:proofErr w:type="spellEnd"/>
      <w:r>
        <w:t xml:space="preserve">, and folate. ROC curves were created for Active B12 and total B12 against three functional reference standards: </w:t>
      </w:r>
      <w:proofErr w:type="spellStart"/>
      <w:r>
        <w:t>hemoglobin</w:t>
      </w:r>
      <w:proofErr w:type="spellEnd"/>
      <w:r>
        <w:t xml:space="preserve"> &lt; 11.5 g/</w:t>
      </w:r>
      <w:proofErr w:type="spellStart"/>
      <w:r>
        <w:t>dL</w:t>
      </w:r>
      <w:proofErr w:type="spellEnd"/>
      <w:r>
        <w:t xml:space="preserve">, </w:t>
      </w:r>
      <w:proofErr w:type="spellStart"/>
      <w:r>
        <w:t>hemoglobin</w:t>
      </w:r>
      <w:proofErr w:type="spellEnd"/>
      <w:r>
        <w:t xml:space="preserve"> &lt; 12.0 g/</w:t>
      </w:r>
      <w:proofErr w:type="spellStart"/>
      <w:r>
        <w:t>dL</w:t>
      </w:r>
      <w:proofErr w:type="spellEnd"/>
      <w:r>
        <w:t xml:space="preserve"> (WHO </w:t>
      </w:r>
      <w:proofErr w:type="spellStart"/>
      <w:r>
        <w:t>anemia</w:t>
      </w:r>
      <w:proofErr w:type="spellEnd"/>
      <w:r>
        <w:t xml:space="preserve"> threshold), and plasma homocysteine &gt; 15 µ</w:t>
      </w:r>
      <w:proofErr w:type="spellStart"/>
      <w:r>
        <w:t>mol</w:t>
      </w:r>
      <w:proofErr w:type="spellEnd"/>
      <w:r>
        <w:t xml:space="preserve">/L. We identified optimal cut-offs using </w:t>
      </w:r>
      <w:proofErr w:type="spellStart"/>
      <w:r>
        <w:t>Youden's</w:t>
      </w:r>
      <w:proofErr w:type="spellEnd"/>
      <w:r>
        <w:t xml:space="preserve"> J statistic (sensitivity + specificity − 1). Area under the curve was calculated using the trapezoidal method. Non-inferiority of oral therapy was assessed against predetermined margins of 50 </w:t>
      </w:r>
      <w:proofErr w:type="spellStart"/>
      <w:r>
        <w:t>pg</w:t>
      </w:r>
      <w:proofErr w:type="spellEnd"/>
      <w:r>
        <w:t xml:space="preserve">/mL for total B12 and 10 </w:t>
      </w:r>
      <w:proofErr w:type="spellStart"/>
      <w:r>
        <w:t>pmol</w:t>
      </w:r>
      <w:proofErr w:type="spellEnd"/>
      <w:r>
        <w:t>/L for Active B12. All analyses were performed in Python 3.12.</w:t>
      </w:r>
    </w:p>
    <w:p w:rsidR="00523F05" w:rsidRDefault="00523F05" w:rsidP="00523F05">
      <w:pPr>
        <w:spacing w:after="60"/>
        <w:ind w:left="360" w:hanging="360"/>
      </w:pPr>
    </w:p>
    <w:p w:rsidR="00523F05" w:rsidRDefault="00523F05" w:rsidP="00523F05">
      <w:pPr>
        <w:spacing w:after="60"/>
        <w:ind w:left="360" w:hanging="360"/>
      </w:pPr>
      <w:r>
        <w:t>3. Results</w:t>
      </w:r>
    </w:p>
    <w:p w:rsidR="00523F05" w:rsidRDefault="00523F05" w:rsidP="00523F05">
      <w:pPr>
        <w:spacing w:after="60"/>
        <w:ind w:left="360" w:hanging="360"/>
      </w:pPr>
    </w:p>
    <w:p w:rsidR="00523F05" w:rsidRDefault="00523F05" w:rsidP="00523F05">
      <w:pPr>
        <w:spacing w:after="60"/>
        <w:ind w:left="360" w:hanging="360"/>
      </w:pPr>
      <w:r>
        <w:t>3.1 Cohort characteristics</w:t>
      </w:r>
    </w:p>
    <w:p w:rsidR="00523F05" w:rsidRDefault="00523F05" w:rsidP="00523F05">
      <w:pPr>
        <w:spacing w:after="60"/>
        <w:ind w:left="360" w:hanging="360"/>
      </w:pPr>
    </w:p>
    <w:p w:rsidR="00523F05" w:rsidRDefault="00523F05" w:rsidP="00523F05">
      <w:pPr>
        <w:spacing w:after="60"/>
        <w:ind w:left="360" w:hanging="360"/>
      </w:pPr>
      <w:r>
        <w:t xml:space="preserve">The 2,338 patients included 1,336 men (57.1%) and 1,002 women (42.9%). The average age was 44.1 ± 14.7 years (range 3–80). The mean total B12 was 291.9 ± 149.6 </w:t>
      </w:r>
      <w:proofErr w:type="spellStart"/>
      <w:r>
        <w:t>pg</w:t>
      </w:r>
      <w:proofErr w:type="spellEnd"/>
      <w:r>
        <w:t xml:space="preserve">/mL, and the mean Active B12 was 87.4 ± 48.9 </w:t>
      </w:r>
      <w:proofErr w:type="spellStart"/>
      <w:r>
        <w:t>pmol</w:t>
      </w:r>
      <w:proofErr w:type="spellEnd"/>
      <w:r>
        <w:t>/L. Homocysteine was measured in 218 patients (9.3%), with a cohort average of 18.90 ± 5.88 µ</w:t>
      </w:r>
      <w:proofErr w:type="spellStart"/>
      <w:r>
        <w:t>mol</w:t>
      </w:r>
      <w:proofErr w:type="spellEnd"/>
      <w:r>
        <w:t>/L, already above the normal upper limit of 15 µ</w:t>
      </w:r>
      <w:proofErr w:type="spellStart"/>
      <w:r>
        <w:t>mol</w:t>
      </w:r>
      <w:proofErr w:type="spellEnd"/>
      <w:r>
        <w:t>/L. Full baseline data are in Table 1.</w:t>
      </w:r>
    </w:p>
    <w:p w:rsidR="00523F05" w:rsidRDefault="00523F05" w:rsidP="00523F05">
      <w:pPr>
        <w:spacing w:after="60"/>
        <w:ind w:left="360" w:hanging="360"/>
      </w:pPr>
    </w:p>
    <w:p w:rsidR="00523F05" w:rsidRDefault="00523F05" w:rsidP="00523F05">
      <w:pPr>
        <w:spacing w:after="60"/>
        <w:ind w:left="360" w:hanging="360"/>
      </w:pPr>
    </w:p>
    <w:p w:rsidR="00523F05" w:rsidRDefault="00523F05" w:rsidP="00523F05">
      <w:pPr>
        <w:spacing w:after="60"/>
        <w:ind w:left="360" w:hanging="360"/>
      </w:pPr>
    </w:p>
    <w:p w:rsidR="00523F05" w:rsidRDefault="00523F05" w:rsidP="00523F05">
      <w:pPr>
        <w:spacing w:after="60"/>
        <w:ind w:left="360" w:hanging="360"/>
      </w:pPr>
    </w:p>
    <w:p w:rsidR="00523F05" w:rsidRDefault="00523F05" w:rsidP="00523F05">
      <w:pPr>
        <w:spacing w:after="60"/>
        <w:ind w:left="360" w:hanging="360"/>
      </w:pPr>
      <w:r>
        <w:t xml:space="preserve">When we applied the conventional total B12 threshold of &lt; 200 </w:t>
      </w:r>
      <w:proofErr w:type="spellStart"/>
      <w:r>
        <w:t>pg</w:t>
      </w:r>
      <w:proofErr w:type="spellEnd"/>
      <w:r>
        <w:t xml:space="preserve">/mL, only 22 patients (0.9%) were identified as deficient. The issue is that 93.8% of the cohort—2,194 patients—had values between 200 and 350 </w:t>
      </w:r>
      <w:proofErr w:type="spellStart"/>
      <w:r>
        <w:t>pg</w:t>
      </w:r>
      <w:proofErr w:type="spellEnd"/>
      <w:r>
        <w:t xml:space="preserve">/mL, the grey zone where the test is not helpful. Active B12 offered a different perspective: 155 patients (6.6%) had levels below 35 </w:t>
      </w:r>
      <w:proofErr w:type="spellStart"/>
      <w:r>
        <w:t>pmol</w:t>
      </w:r>
      <w:proofErr w:type="spellEnd"/>
      <w:r>
        <w:t>/L. That represents a seven-fold difference in diagnostic yield. Importantly, 141 of these 155 patients (91.0%) had total B12 values in the grey zone, meaning conventional screening would have missed their deficiency.</w:t>
      </w:r>
    </w:p>
    <w:p w:rsidR="00523F05" w:rsidRDefault="00523F05" w:rsidP="00523F05">
      <w:pPr>
        <w:spacing w:after="60"/>
        <w:ind w:left="360" w:hanging="360"/>
      </w:pPr>
    </w:p>
    <w:p w:rsidR="00523F05" w:rsidRDefault="00523F05" w:rsidP="00523F05">
      <w:pPr>
        <w:spacing w:after="60"/>
        <w:ind w:left="360" w:hanging="360"/>
      </w:pPr>
      <w:r>
        <w:t>The deficiency rate varied by age group: 4.1% in those under 20, 6.0% in the 20–39 age group, 6.7% in the 40–59 age range, and 8.4% in those aged 60–79. This suggests that deficiency is not limited to older individuals.</w:t>
      </w:r>
    </w:p>
    <w:p w:rsidR="00523F05" w:rsidRDefault="00523F05" w:rsidP="00523F05">
      <w:pPr>
        <w:spacing w:after="60"/>
        <w:ind w:left="360" w:hanging="360"/>
      </w:pPr>
    </w:p>
    <w:p w:rsidR="00523F05" w:rsidRDefault="00523F05" w:rsidP="00523F05">
      <w:pPr>
        <w:spacing w:after="60"/>
        <w:ind w:left="360" w:hanging="360"/>
      </w:pPr>
      <w:r>
        <w:t>3.3 Correlation between total B12 and Active B12</w:t>
      </w:r>
    </w:p>
    <w:p w:rsidR="00523F05" w:rsidRDefault="00523F05" w:rsidP="00523F05">
      <w:pPr>
        <w:spacing w:after="60"/>
        <w:ind w:left="360" w:hanging="360"/>
      </w:pPr>
    </w:p>
    <w:p w:rsidR="00523F05" w:rsidRDefault="00523F05" w:rsidP="00523F05">
      <w:pPr>
        <w:spacing w:after="60"/>
        <w:ind w:left="360" w:hanging="360"/>
      </w:pPr>
      <w:r>
        <w:t>The two tests had only a moderate correlation (Pearson r = 0.50, p &lt; 0.001; R² = 0.25), indicating that total B12 only explains a quarter of the variation in Active B12 values. Active B12 showed a significant relationship.</w:t>
      </w:r>
    </w:p>
    <w:sectPr w:rsidR="00523F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A4BE4"/>
    <w:multiLevelType w:val="multilevel"/>
    <w:tmpl w:val="39B4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32C2A"/>
    <w:multiLevelType w:val="hybridMultilevel"/>
    <w:tmpl w:val="0A68B8E0"/>
    <w:lvl w:ilvl="0" w:tplc="F49A3A4A">
      <w:start w:val="1"/>
      <w:numFmt w:val="bullet"/>
      <w:lvlText w:val="●"/>
      <w:lvlJc w:val="left"/>
      <w:pPr>
        <w:ind w:left="720" w:hanging="360"/>
      </w:pPr>
    </w:lvl>
    <w:lvl w:ilvl="1" w:tplc="94E487A6">
      <w:start w:val="1"/>
      <w:numFmt w:val="bullet"/>
      <w:lvlText w:val="○"/>
      <w:lvlJc w:val="left"/>
      <w:pPr>
        <w:ind w:left="1440" w:hanging="360"/>
      </w:pPr>
    </w:lvl>
    <w:lvl w:ilvl="2" w:tplc="6FFED638">
      <w:start w:val="1"/>
      <w:numFmt w:val="bullet"/>
      <w:lvlText w:val="■"/>
      <w:lvlJc w:val="left"/>
      <w:pPr>
        <w:ind w:left="2160" w:hanging="360"/>
      </w:pPr>
    </w:lvl>
    <w:lvl w:ilvl="3" w:tplc="B50E51A0">
      <w:start w:val="1"/>
      <w:numFmt w:val="bullet"/>
      <w:lvlText w:val="●"/>
      <w:lvlJc w:val="left"/>
      <w:pPr>
        <w:ind w:left="2880" w:hanging="360"/>
      </w:pPr>
    </w:lvl>
    <w:lvl w:ilvl="4" w:tplc="D25A6E68">
      <w:start w:val="1"/>
      <w:numFmt w:val="bullet"/>
      <w:lvlText w:val="○"/>
      <w:lvlJc w:val="left"/>
      <w:pPr>
        <w:ind w:left="3600" w:hanging="360"/>
      </w:pPr>
    </w:lvl>
    <w:lvl w:ilvl="5" w:tplc="080039D8">
      <w:start w:val="1"/>
      <w:numFmt w:val="bullet"/>
      <w:lvlText w:val="■"/>
      <w:lvlJc w:val="left"/>
      <w:pPr>
        <w:ind w:left="4320" w:hanging="360"/>
      </w:pPr>
    </w:lvl>
    <w:lvl w:ilvl="6" w:tplc="74347CC8">
      <w:start w:val="1"/>
      <w:numFmt w:val="bullet"/>
      <w:lvlText w:val="●"/>
      <w:lvlJc w:val="left"/>
      <w:pPr>
        <w:ind w:left="5040" w:hanging="360"/>
      </w:pPr>
    </w:lvl>
    <w:lvl w:ilvl="7" w:tplc="87F8C0D8">
      <w:start w:val="1"/>
      <w:numFmt w:val="bullet"/>
      <w:lvlText w:val="●"/>
      <w:lvlJc w:val="left"/>
      <w:pPr>
        <w:ind w:left="5760" w:hanging="360"/>
      </w:pPr>
    </w:lvl>
    <w:lvl w:ilvl="8" w:tplc="CB6EB272">
      <w:start w:val="1"/>
      <w:numFmt w:val="bullet"/>
      <w:lvlText w:val="●"/>
      <w:lvlJc w:val="left"/>
      <w:pPr>
        <w:ind w:left="6480" w:hanging="360"/>
      </w:pPr>
    </w:lvl>
  </w:abstractNum>
  <w:abstractNum w:abstractNumId="2" w15:restartNumberingAfterBreak="0">
    <w:nsid w:val="2AF957BE"/>
    <w:multiLevelType w:val="multilevel"/>
    <w:tmpl w:val="A81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E775B"/>
    <w:multiLevelType w:val="hybridMultilevel"/>
    <w:tmpl w:val="7D8E3F94"/>
    <w:lvl w:ilvl="0" w:tplc="75D6237C">
      <w:start w:val="1"/>
      <w:numFmt w:val="bullet"/>
      <w:lvlText w:val="•"/>
      <w:lvlJc w:val="left"/>
      <w:pPr>
        <w:ind w:left="720" w:hanging="360"/>
      </w:pPr>
    </w:lvl>
    <w:lvl w:ilvl="1" w:tplc="A9A6ECAC">
      <w:numFmt w:val="decimal"/>
      <w:lvlText w:val=""/>
      <w:lvlJc w:val="left"/>
    </w:lvl>
    <w:lvl w:ilvl="2" w:tplc="43404BBC">
      <w:numFmt w:val="decimal"/>
      <w:lvlText w:val=""/>
      <w:lvlJc w:val="left"/>
    </w:lvl>
    <w:lvl w:ilvl="3" w:tplc="FA80C5C0">
      <w:numFmt w:val="decimal"/>
      <w:lvlText w:val=""/>
      <w:lvlJc w:val="left"/>
    </w:lvl>
    <w:lvl w:ilvl="4" w:tplc="DCB6C0C6">
      <w:numFmt w:val="decimal"/>
      <w:lvlText w:val=""/>
      <w:lvlJc w:val="left"/>
    </w:lvl>
    <w:lvl w:ilvl="5" w:tplc="2806BC92">
      <w:numFmt w:val="decimal"/>
      <w:lvlText w:val=""/>
      <w:lvlJc w:val="left"/>
    </w:lvl>
    <w:lvl w:ilvl="6" w:tplc="D7CC55D4">
      <w:numFmt w:val="decimal"/>
      <w:lvlText w:val=""/>
      <w:lvlJc w:val="left"/>
    </w:lvl>
    <w:lvl w:ilvl="7" w:tplc="39E45362">
      <w:numFmt w:val="decimal"/>
      <w:lvlText w:val=""/>
      <w:lvlJc w:val="left"/>
    </w:lvl>
    <w:lvl w:ilvl="8" w:tplc="3B64EEC8">
      <w:numFmt w:val="decimal"/>
      <w:lvlText w:val=""/>
      <w:lvlJc w:val="left"/>
    </w:lvl>
  </w:abstractNum>
  <w:abstractNum w:abstractNumId="4" w15:restartNumberingAfterBreak="0">
    <w:nsid w:val="466717BA"/>
    <w:multiLevelType w:val="multilevel"/>
    <w:tmpl w:val="C65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3"/>
    <w:lvlOverride w:ilvl="0">
      <w:startOverride w:val="1"/>
    </w:lvlOverride>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432"/>
    <w:rsid w:val="000350CC"/>
    <w:rsid w:val="00387B09"/>
    <w:rsid w:val="00523F05"/>
    <w:rsid w:val="005A3B03"/>
    <w:rsid w:val="00681614"/>
    <w:rsid w:val="00880A2E"/>
    <w:rsid w:val="00957FEA"/>
    <w:rsid w:val="00AA6710"/>
    <w:rsid w:val="00B86896"/>
    <w:rsid w:val="00C84432"/>
    <w:rsid w:val="00F22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2D97D"/>
  <w15:docId w15:val="{5AF17373-BF6B-409A-9F28-40839661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40"/>
      <w:outlineLvl w:val="0"/>
    </w:pPr>
    <w:rPr>
      <w:rFonts w:ascii="Arial" w:eastAsia="Arial" w:hAnsi="Arial" w:cs="Arial"/>
      <w:b/>
      <w:bCs/>
      <w:color w:val="1F3864"/>
      <w:sz w:val="28"/>
      <w:szCs w:val="28"/>
    </w:rPr>
  </w:style>
  <w:style w:type="paragraph" w:styleId="Heading2">
    <w:name w:val="heading 2"/>
    <w:qFormat/>
    <w:pPr>
      <w:spacing w:before="200" w:after="100"/>
      <w:outlineLvl w:val="1"/>
    </w:pPr>
    <w:rPr>
      <w:rFonts w:ascii="Arial" w:eastAsia="Arial" w:hAnsi="Arial" w:cs="Arial"/>
      <w:b/>
      <w:bCs/>
      <w:color w:val="2E5E9E"/>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177707">
      <w:bodyDiv w:val="1"/>
      <w:marLeft w:val="0"/>
      <w:marRight w:val="0"/>
      <w:marTop w:val="0"/>
      <w:marBottom w:val="0"/>
      <w:divBdr>
        <w:top w:val="none" w:sz="0" w:space="0" w:color="auto"/>
        <w:left w:val="none" w:sz="0" w:space="0" w:color="auto"/>
        <w:bottom w:val="none" w:sz="0" w:space="0" w:color="auto"/>
        <w:right w:val="none" w:sz="0" w:space="0" w:color="auto"/>
      </w:divBdr>
      <w:divsChild>
        <w:div w:id="298802063">
          <w:marLeft w:val="0"/>
          <w:marRight w:val="0"/>
          <w:marTop w:val="120"/>
          <w:marBottom w:val="120"/>
          <w:divBdr>
            <w:top w:val="none" w:sz="0" w:space="0" w:color="auto"/>
            <w:left w:val="none" w:sz="0" w:space="0" w:color="auto"/>
            <w:bottom w:val="none" w:sz="0" w:space="0" w:color="auto"/>
            <w:right w:val="none" w:sz="0" w:space="0" w:color="auto"/>
          </w:divBdr>
        </w:div>
        <w:div w:id="540824219">
          <w:marLeft w:val="0"/>
          <w:marRight w:val="0"/>
          <w:marTop w:val="120"/>
          <w:marBottom w:val="120"/>
          <w:divBdr>
            <w:top w:val="none" w:sz="0" w:space="0" w:color="auto"/>
            <w:left w:val="none" w:sz="0" w:space="0" w:color="auto"/>
            <w:bottom w:val="none" w:sz="0" w:space="0" w:color="auto"/>
            <w:right w:val="none" w:sz="0" w:space="0" w:color="auto"/>
          </w:divBdr>
        </w:div>
        <w:div w:id="803354754">
          <w:marLeft w:val="0"/>
          <w:marRight w:val="0"/>
          <w:marTop w:val="120"/>
          <w:marBottom w:val="120"/>
          <w:divBdr>
            <w:top w:val="none" w:sz="0" w:space="0" w:color="auto"/>
            <w:left w:val="none" w:sz="0" w:space="0" w:color="auto"/>
            <w:bottom w:val="none" w:sz="0" w:space="0" w:color="auto"/>
            <w:right w:val="none" w:sz="0" w:space="0" w:color="auto"/>
          </w:divBdr>
        </w:div>
        <w:div w:id="1709840636">
          <w:marLeft w:val="0"/>
          <w:marRight w:val="0"/>
          <w:marTop w:val="120"/>
          <w:marBottom w:val="120"/>
          <w:divBdr>
            <w:top w:val="none" w:sz="0" w:space="0" w:color="auto"/>
            <w:left w:val="none" w:sz="0" w:space="0" w:color="auto"/>
            <w:bottom w:val="none" w:sz="0" w:space="0" w:color="auto"/>
            <w:right w:val="none" w:sz="0" w:space="0" w:color="auto"/>
          </w:divBdr>
        </w:div>
        <w:div w:id="474182279">
          <w:marLeft w:val="0"/>
          <w:marRight w:val="0"/>
          <w:marTop w:val="120"/>
          <w:marBottom w:val="120"/>
          <w:divBdr>
            <w:top w:val="none" w:sz="0" w:space="0" w:color="auto"/>
            <w:left w:val="none" w:sz="0" w:space="0" w:color="auto"/>
            <w:bottom w:val="none" w:sz="0" w:space="0" w:color="auto"/>
            <w:right w:val="none" w:sz="0" w:space="0" w:color="auto"/>
          </w:divBdr>
        </w:div>
        <w:div w:id="1109929110">
          <w:marLeft w:val="0"/>
          <w:marRight w:val="0"/>
          <w:marTop w:val="120"/>
          <w:marBottom w:val="120"/>
          <w:divBdr>
            <w:top w:val="none" w:sz="0" w:space="0" w:color="auto"/>
            <w:left w:val="none" w:sz="0" w:space="0" w:color="auto"/>
            <w:bottom w:val="none" w:sz="0" w:space="0" w:color="auto"/>
            <w:right w:val="none" w:sz="0" w:space="0" w:color="auto"/>
          </w:divBdr>
        </w:div>
        <w:div w:id="2144038766">
          <w:marLeft w:val="0"/>
          <w:marRight w:val="0"/>
          <w:marTop w:val="120"/>
          <w:marBottom w:val="120"/>
          <w:divBdr>
            <w:top w:val="none" w:sz="0" w:space="0" w:color="auto"/>
            <w:left w:val="none" w:sz="0" w:space="0" w:color="auto"/>
            <w:bottom w:val="none" w:sz="0" w:space="0" w:color="auto"/>
            <w:right w:val="none" w:sz="0" w:space="0" w:color="auto"/>
          </w:divBdr>
        </w:div>
        <w:div w:id="2118134905">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2766</TotalTime>
  <Pages>14</Pages>
  <Words>5201</Words>
  <Characters>29646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cp:lastModifiedBy>
  <cp:revision>6</cp:revision>
  <dcterms:created xsi:type="dcterms:W3CDTF">2026-02-23T09:30:00Z</dcterms:created>
  <dcterms:modified xsi:type="dcterms:W3CDTF">2026-02-25T07:36:00Z</dcterms:modified>
</cp:coreProperties>
</file>