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C7F" w:rsidRDefault="00310D3E">
      <w:pPr>
        <w:spacing w:after="280"/>
        <w:jc w:val="center"/>
      </w:pPr>
      <w:r>
        <w:rPr>
          <w:b/>
          <w:bCs/>
          <w:color w:val="666666"/>
          <w:spacing w:val="60"/>
          <w:sz w:val="20"/>
          <w:szCs w:val="20"/>
        </w:rPr>
        <w:t>ORIGINAL RESEARCH</w:t>
      </w:r>
    </w:p>
    <w:p w:rsidR="00582C7F" w:rsidRDefault="00310D3E">
      <w:pPr>
        <w:spacing w:after="360" w:line="360" w:lineRule="auto"/>
        <w:jc w:val="center"/>
      </w:pPr>
      <w:r>
        <w:rPr>
          <w:b/>
          <w:bCs/>
          <w:sz w:val="28"/>
          <w:szCs w:val="28"/>
        </w:rPr>
        <w:t>High-Sensitivity Cardiac Troponin I for Post-COVID Cardiovascular Risk Stratification in the Era of Artificial Intelligence: A Three-Year Longitudinal Cohort Study from a South Indian Tertiary Centre</w:t>
      </w:r>
    </w:p>
    <w:p w:rsidR="00582C7F" w:rsidRDefault="00310D3E">
      <w:pPr>
        <w:spacing w:after="100"/>
        <w:jc w:val="center"/>
      </w:pPr>
      <w:proofErr w:type="spellStart"/>
      <w:r>
        <w:rPr>
          <w:b/>
          <w:bCs/>
        </w:rPr>
        <w:t>Deepika</w:t>
      </w:r>
      <w:proofErr w:type="spellEnd"/>
      <w:r>
        <w:rPr>
          <w:b/>
          <w:bCs/>
        </w:rPr>
        <w:t xml:space="preserve"> </w:t>
      </w:r>
      <w:proofErr w:type="spellStart"/>
      <w:r>
        <w:rPr>
          <w:b/>
          <w:bCs/>
        </w:rPr>
        <w:t>Gujjarlapudi</w:t>
      </w:r>
      <w:proofErr w:type="spellEnd"/>
      <w:r>
        <w:rPr>
          <w:b/>
          <w:bCs/>
        </w:rPr>
        <w:t>, MD</w:t>
      </w:r>
      <w:proofErr w:type="gramStart"/>
      <w:r>
        <w:rPr>
          <w:sz w:val="20"/>
          <w:szCs w:val="20"/>
          <w:vertAlign w:val="superscript"/>
        </w:rPr>
        <w:t>¹</w:t>
      </w:r>
      <w:r>
        <w:t xml:space="preserve">  •</w:t>
      </w:r>
      <w:proofErr w:type="gramEnd"/>
      <w:r>
        <w:t xml:space="preserve">  </w:t>
      </w:r>
      <w:proofErr w:type="spellStart"/>
      <w:r>
        <w:t>Vidyavathi</w:t>
      </w:r>
      <w:proofErr w:type="spellEnd"/>
      <w:r>
        <w:t xml:space="preserve"> Devi </w:t>
      </w:r>
      <w:proofErr w:type="spellStart"/>
      <w:r>
        <w:t>Gajapathi</w:t>
      </w:r>
      <w:proofErr w:type="spellEnd"/>
      <w:r>
        <w:t xml:space="preserve"> Raju, MD</w:t>
      </w:r>
      <w:r>
        <w:rPr>
          <w:sz w:val="20"/>
          <w:szCs w:val="20"/>
          <w:vertAlign w:val="superscript"/>
        </w:rPr>
        <w:t>²</w:t>
      </w:r>
      <w:r>
        <w:t xml:space="preserve">  •  Uma Mahesh K S </w:t>
      </w:r>
      <w:proofErr w:type="spellStart"/>
      <w:r>
        <w:t>S</w:t>
      </w:r>
      <w:proofErr w:type="spellEnd"/>
      <w:r>
        <w:t>, MD</w:t>
      </w:r>
      <w:r>
        <w:rPr>
          <w:sz w:val="20"/>
          <w:szCs w:val="20"/>
          <w:vertAlign w:val="superscript"/>
        </w:rPr>
        <w:t>²</w:t>
      </w:r>
      <w:r>
        <w:t xml:space="preserve">  •  </w:t>
      </w:r>
      <w:proofErr w:type="spellStart"/>
      <w:r>
        <w:t>Srihita</w:t>
      </w:r>
      <w:proofErr w:type="spellEnd"/>
      <w:r>
        <w:t xml:space="preserve"> </w:t>
      </w:r>
      <w:proofErr w:type="spellStart"/>
      <w:r>
        <w:t>Mahavadi</w:t>
      </w:r>
      <w:proofErr w:type="spellEnd"/>
      <w:r>
        <w:t>, MD</w:t>
      </w:r>
      <w:r>
        <w:rPr>
          <w:sz w:val="20"/>
          <w:szCs w:val="20"/>
          <w:vertAlign w:val="superscript"/>
        </w:rPr>
        <w:t>²</w:t>
      </w:r>
    </w:p>
    <w:p w:rsidR="00582C7F" w:rsidRDefault="00310D3E">
      <w:pPr>
        <w:spacing w:after="60"/>
        <w:jc w:val="center"/>
      </w:pPr>
      <w:r>
        <w:rPr>
          <w:i/>
          <w:iCs/>
          <w:sz w:val="20"/>
          <w:szCs w:val="20"/>
        </w:rPr>
        <w:t xml:space="preserve">¹ Director &amp; Head of Department, </w:t>
      </w:r>
      <w:proofErr w:type="gramStart"/>
      <w:r>
        <w:rPr>
          <w:i/>
          <w:iCs/>
          <w:sz w:val="20"/>
          <w:szCs w:val="20"/>
        </w:rPr>
        <w:t>Biochemistry  •</w:t>
      </w:r>
      <w:proofErr w:type="gramEnd"/>
      <w:r>
        <w:rPr>
          <w:i/>
          <w:iCs/>
          <w:sz w:val="20"/>
          <w:szCs w:val="20"/>
        </w:rPr>
        <w:t xml:space="preserve">  ² Consultant, Department of Biochemistry</w:t>
      </w:r>
    </w:p>
    <w:p w:rsidR="009151E1" w:rsidRDefault="00310D3E" w:rsidP="009151E1">
      <w:pPr>
        <w:spacing w:after="240"/>
        <w:jc w:val="center"/>
      </w:pPr>
      <w:r>
        <w:rPr>
          <w:sz w:val="20"/>
          <w:szCs w:val="20"/>
        </w:rPr>
        <w:t xml:space="preserve">AIG Hospitals, Mind Space Road, </w:t>
      </w:r>
      <w:proofErr w:type="spellStart"/>
      <w:r>
        <w:rPr>
          <w:sz w:val="20"/>
          <w:szCs w:val="20"/>
        </w:rPr>
        <w:t>Gachibowli</w:t>
      </w:r>
      <w:proofErr w:type="spellEnd"/>
      <w:r>
        <w:rPr>
          <w:sz w:val="20"/>
          <w:szCs w:val="20"/>
        </w:rPr>
        <w:t>, Hyderabad, Telangana 500032, India</w:t>
      </w:r>
    </w:p>
    <w:p w:rsidR="00582C7F" w:rsidRDefault="00310D3E" w:rsidP="009151E1">
      <w:pPr>
        <w:spacing w:after="240"/>
        <w:jc w:val="center"/>
      </w:pPr>
      <w:r>
        <w:rPr>
          <w:b/>
          <w:bCs/>
          <w:sz w:val="26"/>
          <w:szCs w:val="26"/>
        </w:rPr>
        <w:t>Abstract</w:t>
      </w:r>
    </w:p>
    <w:p w:rsidR="00582C7F" w:rsidRDefault="00310D3E">
      <w:pPr>
        <w:spacing w:before="80" w:after="80" w:line="264" w:lineRule="auto"/>
        <w:ind w:firstLine="720"/>
        <w:jc w:val="both"/>
      </w:pPr>
      <w:r>
        <w:rPr>
          <w:b/>
          <w:bCs/>
          <w:sz w:val="22"/>
          <w:szCs w:val="22"/>
        </w:rPr>
        <w:t>Background.</w:t>
      </w:r>
      <w:r>
        <w:rPr>
          <w:sz w:val="22"/>
          <w:szCs w:val="22"/>
        </w:rPr>
        <w:t xml:space="preserve"> The COVID-19 pandemic has left a cardiovascular legacy that extends well beyond the acute illness. SARS-CoV-2 injures the myocardium through direct viral invasion via ACE2 receptors, systemic cytokine-mediated inflammation, and a </w:t>
      </w:r>
      <w:proofErr w:type="spellStart"/>
      <w:r>
        <w:rPr>
          <w:sz w:val="22"/>
          <w:szCs w:val="22"/>
        </w:rPr>
        <w:t>hypercoagulable</w:t>
      </w:r>
      <w:proofErr w:type="spellEnd"/>
      <w:r>
        <w:rPr>
          <w:sz w:val="22"/>
          <w:szCs w:val="22"/>
        </w:rPr>
        <w:t xml:space="preserve"> state that promotes microvascular thrombosis. In those who survive — particularly those who develop Long COVID — these insults do not resolve cleanly. High-sensitivity cardiac troponin I (</w:t>
      </w:r>
      <w:proofErr w:type="spellStart"/>
      <w:r>
        <w:rPr>
          <w:sz w:val="22"/>
          <w:szCs w:val="22"/>
        </w:rPr>
        <w:t>hs-cTnI</w:t>
      </w:r>
      <w:proofErr w:type="spellEnd"/>
      <w:r>
        <w:rPr>
          <w:sz w:val="22"/>
          <w:szCs w:val="22"/>
        </w:rPr>
        <w:t xml:space="preserve">), measured against sex-specific thresholds, detects subclinical myocardial injury missed by conventional assays. The emergence of artificial intelligence in clinical risk modelling opens the possibility of integrating multi-biomarker panels, demographic data, and illness severity into algorithms that predict individual cardiac trajectories with a precision no single test can achieve. This study characterises </w:t>
      </w:r>
      <w:proofErr w:type="spellStart"/>
      <w:r>
        <w:rPr>
          <w:sz w:val="22"/>
          <w:szCs w:val="22"/>
        </w:rPr>
        <w:t>hs</w:t>
      </w:r>
      <w:proofErr w:type="spellEnd"/>
      <w:r>
        <w:rPr>
          <w:sz w:val="22"/>
          <w:szCs w:val="22"/>
        </w:rPr>
        <w:t>-</w:t>
      </w:r>
      <w:proofErr w:type="spellStart"/>
      <w:r>
        <w:rPr>
          <w:sz w:val="22"/>
          <w:szCs w:val="22"/>
        </w:rPr>
        <w:t>cTnI</w:t>
      </w:r>
      <w:proofErr w:type="spellEnd"/>
      <w:r>
        <w:rPr>
          <w:sz w:val="22"/>
          <w:szCs w:val="22"/>
        </w:rPr>
        <w:t>-based cardiovascular risk across illness severities over three years and explores AI-augmented modelling for post-COVID cardiac risk prediction in an Indian tertiary centre population.</w:t>
      </w:r>
    </w:p>
    <w:p w:rsidR="00582C7F" w:rsidRDefault="00310D3E">
      <w:pPr>
        <w:spacing w:before="80" w:after="80" w:line="264" w:lineRule="auto"/>
        <w:ind w:firstLine="720"/>
        <w:jc w:val="both"/>
      </w:pPr>
      <w:r>
        <w:rPr>
          <w:b/>
          <w:bCs/>
          <w:sz w:val="22"/>
          <w:szCs w:val="22"/>
        </w:rPr>
        <w:t>Methods.</w:t>
      </w:r>
      <w:r>
        <w:rPr>
          <w:sz w:val="22"/>
          <w:szCs w:val="22"/>
        </w:rPr>
        <w:t xml:space="preserve"> We conducted a retrospective longitudinal cohort study at AIG Hospitals, Hyderabad, between June 2020 and June 2023, enrolling 2,063 RT-PCR-confirmed COVID-19 patients (1,425 men, 638 women) after excluding those with pre-existing cerebrovascular disease, malignancy, or primary immunodeficiency. Illness severity was graded by WHO criteria into mild (n = 436), moderate (n = 820), and severe (n = 807) categories. Peak </w:t>
      </w:r>
      <w:proofErr w:type="spellStart"/>
      <w:r>
        <w:rPr>
          <w:sz w:val="22"/>
          <w:szCs w:val="22"/>
        </w:rPr>
        <w:t>hs-cTnI</w:t>
      </w:r>
      <w:proofErr w:type="spellEnd"/>
      <w:r>
        <w:rPr>
          <w:sz w:val="22"/>
          <w:szCs w:val="22"/>
        </w:rPr>
        <w:t xml:space="preserve"> was measured on the Abbott ARCHITECT i2000 and classified using sex-specific HUNT study thresholds. Five co-biomarkers — NT-</w:t>
      </w:r>
      <w:proofErr w:type="spellStart"/>
      <w:r>
        <w:rPr>
          <w:sz w:val="22"/>
          <w:szCs w:val="22"/>
        </w:rPr>
        <w:t>proBNP</w:t>
      </w:r>
      <w:proofErr w:type="spellEnd"/>
      <w:r>
        <w:rPr>
          <w:sz w:val="22"/>
          <w:szCs w:val="22"/>
        </w:rPr>
        <w:t>, D-dimer, CRP, ferritin, and IL-6 — were measured in parallel. All patients were reassessed at six months. Statistical analyses included chi-square tests, odds ratios with 95% CIs, and logistic regression; an AI risk model was evaluated by five-fold cross-validation with ROC-AUC analysis.</w:t>
      </w:r>
    </w:p>
    <w:p w:rsidR="00582C7F" w:rsidRDefault="00310D3E">
      <w:pPr>
        <w:spacing w:before="80" w:after="80" w:line="264" w:lineRule="auto"/>
        <w:ind w:firstLine="720"/>
        <w:jc w:val="both"/>
      </w:pPr>
      <w:r>
        <w:rPr>
          <w:b/>
          <w:bCs/>
          <w:sz w:val="22"/>
          <w:szCs w:val="22"/>
        </w:rPr>
        <w:t>Results.</w:t>
      </w:r>
      <w:r>
        <w:rPr>
          <w:sz w:val="22"/>
          <w:szCs w:val="22"/>
        </w:rPr>
        <w:t xml:space="preserve"> At baseline, 52.3% of patients had elevated </w:t>
      </w:r>
      <w:proofErr w:type="spellStart"/>
      <w:r>
        <w:rPr>
          <w:sz w:val="22"/>
          <w:szCs w:val="22"/>
        </w:rPr>
        <w:t>hs-cTnI</w:t>
      </w:r>
      <w:proofErr w:type="spellEnd"/>
      <w:r>
        <w:rPr>
          <w:sz w:val="22"/>
          <w:szCs w:val="22"/>
        </w:rPr>
        <w:t xml:space="preserve">. Among those below the positivity threshold, 31.8% were classified as high-risk and 28.3% as moderate-risk — only four in ten apparently troponin-negative patients could be genuinely reassured. Men were nearly four times as likely as women to fall in the high-risk category (OR = 4.07, 95% CI: 2.50–6.60; χ² = 57.4, p &lt; 0.001). Six-month follow-up documented substantial ongoing deterioration: 63.0% of initially low-risk men with severe illness had migrated to high-risk or overt troponin positivity, and 56.2% of moderate-risk women with severe illness converted to positive. Even outpatient-managed patients were not spared: 28.6–31.2% of initially low-risk mild-illness patients converted to positive </w:t>
      </w:r>
      <w:proofErr w:type="spellStart"/>
      <w:r>
        <w:rPr>
          <w:sz w:val="22"/>
          <w:szCs w:val="22"/>
        </w:rPr>
        <w:t>hs-cTnI</w:t>
      </w:r>
      <w:proofErr w:type="spellEnd"/>
      <w:r>
        <w:rPr>
          <w:sz w:val="22"/>
          <w:szCs w:val="22"/>
        </w:rPr>
        <w:t xml:space="preserve"> by six months. D-dimer was elevated in 88.7–92.4% of patients across all severity groups. The AI logistic regression model achieved AUC = 0.944 (SD ±0.012), with illness severity as the dominant predictor (β = 2.951), outperforming </w:t>
      </w:r>
      <w:proofErr w:type="spellStart"/>
      <w:r>
        <w:rPr>
          <w:sz w:val="22"/>
          <w:szCs w:val="22"/>
        </w:rPr>
        <w:t>hs-cTnI</w:t>
      </w:r>
      <w:proofErr w:type="spellEnd"/>
      <w:r>
        <w:rPr>
          <w:sz w:val="22"/>
          <w:szCs w:val="22"/>
        </w:rPr>
        <w:t xml:space="preserve"> alone (AUC = 0.891) by 5.3 percentage points.</w:t>
      </w:r>
    </w:p>
    <w:p w:rsidR="00582C7F" w:rsidRDefault="00310D3E">
      <w:pPr>
        <w:spacing w:before="80" w:after="80" w:line="264" w:lineRule="auto"/>
        <w:ind w:firstLine="720"/>
        <w:jc w:val="both"/>
      </w:pPr>
      <w:r>
        <w:rPr>
          <w:b/>
          <w:bCs/>
          <w:sz w:val="22"/>
          <w:szCs w:val="22"/>
        </w:rPr>
        <w:lastRenderedPageBreak/>
        <w:t>Conclusions.</w:t>
      </w:r>
      <w:r>
        <w:rPr>
          <w:sz w:val="22"/>
          <w:szCs w:val="22"/>
        </w:rPr>
        <w:t xml:space="preserve"> COVID-19 induces clinically meaningful, sex-differentiated cardiovascular injury that escalates over six months following acute illness, irrespective of initial severity. Troponin-negative patients carry substantial subclinical risk that standard clinical review misses unless sex-specific thresholds are applied. Integrating </w:t>
      </w:r>
      <w:proofErr w:type="spellStart"/>
      <w:r>
        <w:rPr>
          <w:sz w:val="22"/>
          <w:szCs w:val="22"/>
        </w:rPr>
        <w:t>hs-cTnI</w:t>
      </w:r>
      <w:proofErr w:type="spellEnd"/>
      <w:r>
        <w:rPr>
          <w:sz w:val="22"/>
          <w:szCs w:val="22"/>
        </w:rPr>
        <w:t xml:space="preserve"> with AI-based multi-variable risk models substantially improves cardiac risk prediction. Structured post-COVID cardiac surveillance guided by </w:t>
      </w:r>
      <w:proofErr w:type="spellStart"/>
      <w:r>
        <w:rPr>
          <w:sz w:val="22"/>
          <w:szCs w:val="22"/>
        </w:rPr>
        <w:t>hs-cTnI</w:t>
      </w:r>
      <w:proofErr w:type="spellEnd"/>
      <w:r>
        <w:rPr>
          <w:sz w:val="22"/>
          <w:szCs w:val="22"/>
        </w:rPr>
        <w:t xml:space="preserve"> and algorithmic risk scoring is not an optional refinement — it is a clinical and public health necessity, particularly in India where the post-COVID cardiovascular burden falls on an already-stretched healthcare system.</w:t>
      </w:r>
    </w:p>
    <w:p w:rsidR="00582C7F" w:rsidRDefault="00582C7F"/>
    <w:p w:rsidR="00582C7F" w:rsidRDefault="00310D3E">
      <w:pPr>
        <w:spacing w:before="60" w:after="40"/>
      </w:pPr>
      <w:r>
        <w:rPr>
          <w:b/>
          <w:bCs/>
          <w:i/>
          <w:iCs/>
          <w:sz w:val="20"/>
          <w:szCs w:val="20"/>
        </w:rPr>
        <w:t xml:space="preserve">Keywords: </w:t>
      </w:r>
      <w:r>
        <w:rPr>
          <w:i/>
          <w:iCs/>
          <w:sz w:val="20"/>
          <w:szCs w:val="20"/>
        </w:rPr>
        <w:t xml:space="preserve">COVID-19 · Long COVID · </w:t>
      </w:r>
      <w:proofErr w:type="spellStart"/>
      <w:r>
        <w:rPr>
          <w:i/>
          <w:iCs/>
          <w:sz w:val="20"/>
          <w:szCs w:val="20"/>
        </w:rPr>
        <w:t>hs-cTnI</w:t>
      </w:r>
      <w:proofErr w:type="spellEnd"/>
      <w:r>
        <w:rPr>
          <w:i/>
          <w:iCs/>
          <w:sz w:val="20"/>
          <w:szCs w:val="20"/>
        </w:rPr>
        <w:t xml:space="preserve"> · cardiovascular risk stratification · artificial intelligence · machine learning · post-COVID syndrome · biomarkers · India</w:t>
      </w:r>
    </w:p>
    <w:p w:rsidR="00416610" w:rsidRDefault="00310D3E" w:rsidP="009151E1">
      <w:r>
        <w:br/>
      </w:r>
    </w:p>
    <w:p w:rsidR="00582C7F" w:rsidRDefault="00310D3E" w:rsidP="009151E1">
      <w:r>
        <w:rPr>
          <w:b/>
          <w:bCs/>
          <w:sz w:val="26"/>
          <w:szCs w:val="26"/>
        </w:rPr>
        <w:t>1. Introduction</w:t>
      </w:r>
    </w:p>
    <w:p w:rsidR="00582C7F" w:rsidRDefault="00310D3E">
      <w:pPr>
        <w:spacing w:before="120" w:after="60" w:line="480" w:lineRule="auto"/>
        <w:ind w:firstLine="720"/>
        <w:jc w:val="both"/>
      </w:pPr>
      <w:r>
        <w:t>Cardiovascular disease claims close to 18 million lives annually, with India accounting for approximately one fifth of global cardiovascular mortality.</w:t>
      </w:r>
      <w:r>
        <w:rPr>
          <w:b/>
          <w:bCs/>
          <w:color w:val="1A1A2E"/>
          <w:sz w:val="20"/>
          <w:szCs w:val="20"/>
          <w:vertAlign w:val="superscript"/>
        </w:rPr>
        <w:t>[1,2]</w:t>
      </w:r>
      <w:r>
        <w:t xml:space="preserve"> COVID-19 arrived in 2020 as a cardiovascular emergency as much as a respiratory one: elevated troponin was present in 46% of fatal cases and barely 1% of survivors.</w:t>
      </w:r>
      <w:r>
        <w:rPr>
          <w:b/>
          <w:bCs/>
          <w:color w:val="1A1A2E"/>
          <w:sz w:val="20"/>
          <w:szCs w:val="20"/>
          <w:vertAlign w:val="superscript"/>
        </w:rPr>
        <w:t>[3,4]</w:t>
      </w:r>
      <w:r>
        <w:t xml:space="preserve"> SARS-CoV-2 damages the myocardium through direct ACE2-mediated viral invasion, cytokine storm-induced endothelial injury, and a </w:t>
      </w:r>
      <w:proofErr w:type="spellStart"/>
      <w:r>
        <w:t>hypercoagulable</w:t>
      </w:r>
      <w:proofErr w:type="spellEnd"/>
      <w:r>
        <w:t xml:space="preserve"> state seeding microvascular thrombi.</w:t>
      </w:r>
      <w:r>
        <w:rPr>
          <w:b/>
          <w:bCs/>
          <w:color w:val="1A1A2E"/>
          <w:sz w:val="20"/>
          <w:szCs w:val="20"/>
          <w:vertAlign w:val="superscript"/>
        </w:rPr>
        <w:t>[5,6,7,10,23]</w:t>
      </w:r>
      <w:r>
        <w:t xml:space="preserve"> Long COVID -- affecting an estimated 10-20% of survivors -- sustains risks of myocardial infarction, heart failure, stroke, and arrhythmia, driven by viral RNA persistence, NLRP3 </w:t>
      </w:r>
      <w:proofErr w:type="spellStart"/>
      <w:r>
        <w:t>inflammasome</w:t>
      </w:r>
      <w:proofErr w:type="spellEnd"/>
      <w:r>
        <w:t xml:space="preserve"> activation, and autoimmune cardiac cross-reactivity.</w:t>
      </w:r>
      <w:r>
        <w:rPr>
          <w:b/>
          <w:bCs/>
          <w:color w:val="1A1A2E"/>
          <w:sz w:val="20"/>
          <w:szCs w:val="20"/>
          <w:vertAlign w:val="superscript"/>
        </w:rPr>
        <w:t>[8,9,16,17,18]</w:t>
      </w:r>
    </w:p>
    <w:p w:rsidR="00582C7F" w:rsidRDefault="00310D3E">
      <w:pPr>
        <w:spacing w:before="120" w:after="60" w:line="480" w:lineRule="auto"/>
        <w:ind w:firstLine="720"/>
        <w:jc w:val="both"/>
      </w:pPr>
      <w:r>
        <w:t>High-sensitivity cardiac troponin I (</w:t>
      </w:r>
      <w:proofErr w:type="spellStart"/>
      <w:r>
        <w:t>hs-cTnI</w:t>
      </w:r>
      <w:proofErr w:type="spellEnd"/>
      <w:r>
        <w:t xml:space="preserve">) detects subclinical </w:t>
      </w:r>
      <w:proofErr w:type="spellStart"/>
      <w:r>
        <w:t>cardiomyocyte</w:t>
      </w:r>
      <w:proofErr w:type="spellEnd"/>
      <w:r>
        <w:t xml:space="preserve"> injury at concentrations far below the threshold of acute infarction.</w:t>
      </w:r>
      <w:r>
        <w:rPr>
          <w:b/>
          <w:bCs/>
          <w:color w:val="1A1A2E"/>
          <w:sz w:val="20"/>
          <w:szCs w:val="20"/>
          <w:vertAlign w:val="superscript"/>
        </w:rPr>
        <w:t>[12,13,14]</w:t>
      </w:r>
      <w:r>
        <w:t xml:space="preserve"> The HUNT study established sex-specific reference ranges that, when correctly applied, reveal female cardiovascular risk systematically missed by universal male-calibrated thresholds.</w:t>
      </w:r>
      <w:r>
        <w:rPr>
          <w:b/>
          <w:bCs/>
          <w:color w:val="1A1A2E"/>
          <w:sz w:val="20"/>
          <w:szCs w:val="20"/>
          <w:vertAlign w:val="superscript"/>
        </w:rPr>
        <w:t>[11]</w:t>
      </w:r>
      <w:r>
        <w:t xml:space="preserve"> Artificial intelligence frameworks integrating troponin, inflammatory biomarkers, and illness severity can improve risk discrimination beyond any single test, yet prospective validation in South Asian populations is lacking.</w:t>
      </w:r>
      <w:r>
        <w:rPr>
          <w:b/>
          <w:bCs/>
          <w:color w:val="1A1A2E"/>
          <w:sz w:val="20"/>
          <w:szCs w:val="20"/>
          <w:vertAlign w:val="superscript"/>
        </w:rPr>
        <w:t>[14,15]</w:t>
      </w:r>
      <w:r>
        <w:t xml:space="preserve"> Between June 2020 and June 2023, we enrolled 2,063 RT-PCR-confirmed COVID-19 patients at AIG Hospitals, Hyderabad, measuring </w:t>
      </w:r>
      <w:proofErr w:type="spellStart"/>
      <w:r>
        <w:t>hs-cTnI</w:t>
      </w:r>
      <w:proofErr w:type="spellEnd"/>
      <w:r>
        <w:t xml:space="preserve"> and five co-biomarkers at presentation and at six months, </w:t>
      </w:r>
      <w:r>
        <w:lastRenderedPageBreak/>
        <w:t>with the aim of characterising sex-stratified cardiovascular risk trajectories and evaluating an AI-augmented prediction model.</w:t>
      </w:r>
    </w:p>
    <w:p w:rsidR="00582C7F" w:rsidRDefault="00310D3E">
      <w:pPr>
        <w:pBdr>
          <w:bottom w:val="single" w:sz="8" w:space="0" w:color="1A1A2E"/>
        </w:pBdr>
        <w:spacing w:before="480" w:after="120"/>
      </w:pPr>
      <w:r>
        <w:rPr>
          <w:b/>
          <w:bCs/>
          <w:sz w:val="26"/>
          <w:szCs w:val="26"/>
        </w:rPr>
        <w:t>2. Materials and Methods</w:t>
      </w:r>
    </w:p>
    <w:p w:rsidR="00582C7F" w:rsidRDefault="00310D3E">
      <w:pPr>
        <w:spacing w:before="360" w:after="80"/>
      </w:pPr>
      <w:r>
        <w:rPr>
          <w:b/>
          <w:bCs/>
          <w:i/>
          <w:iCs/>
        </w:rPr>
        <w:t>2.1 Study Design and Setting</w:t>
      </w:r>
    </w:p>
    <w:p w:rsidR="00582C7F" w:rsidRDefault="00310D3E">
      <w:pPr>
        <w:spacing w:before="120" w:after="60" w:line="480" w:lineRule="auto"/>
        <w:ind w:firstLine="720"/>
        <w:jc w:val="both"/>
      </w:pPr>
      <w:r>
        <w:t xml:space="preserve">This is a retrospective, observational, longitudinal cohort study conducted at AIG Hospitals, </w:t>
      </w:r>
      <w:proofErr w:type="spellStart"/>
      <w:r>
        <w:t>Gachibowli</w:t>
      </w:r>
      <w:proofErr w:type="spellEnd"/>
      <w:r>
        <w:t>, Hyderabad, between June 2020 and June 2023. The study period spans India's first three pandemic waves, encompassing infection with the ancestral SARS-CoV-2 strain, the Delta (B.1.617.2) variant, and the Omicron (B.1.1.529) variant. Ethical clearance was granted by the AIG Hospitals Institutional Ethics Committee, with a waiver of individual patient consent approved for retrospective review of de-identified clinical data.</w:t>
      </w:r>
    </w:p>
    <w:p w:rsidR="00582C7F" w:rsidRDefault="00310D3E">
      <w:pPr>
        <w:spacing w:before="360" w:after="80"/>
      </w:pPr>
      <w:r>
        <w:rPr>
          <w:b/>
          <w:bCs/>
          <w:i/>
          <w:iCs/>
        </w:rPr>
        <w:t>2.2 Patient Selection</w:t>
      </w:r>
    </w:p>
    <w:p w:rsidR="00582C7F" w:rsidRDefault="00310D3E">
      <w:pPr>
        <w:spacing w:before="120" w:after="60" w:line="480" w:lineRule="auto"/>
        <w:ind w:firstLine="720"/>
        <w:jc w:val="both"/>
      </w:pPr>
      <w:r>
        <w:t xml:space="preserve">Of 13,687 RT-PCR-positive patients recorded at AIG Hospitals between June 2020 and June 2023, those with </w:t>
      </w:r>
      <w:proofErr w:type="spellStart"/>
      <w:r>
        <w:t>hs-cTnI</w:t>
      </w:r>
      <w:proofErr w:type="spellEnd"/>
      <w:r>
        <w:t xml:space="preserve"> measured as part of routine workup were eligible. Excluded were patients with pre-existing cerebrovascular disease, active malignancy, primary immunodeficiency, or other major chronic conditions independently capable of altering biomarker profiles, and those who did not attend six-month follow-up. After exclusions, 2,063 patients were enrolled: 1,425 men (69.1%) and 638 women (30.9%).</w:t>
      </w:r>
    </w:p>
    <w:p w:rsidR="00582C7F" w:rsidRDefault="00310D3E">
      <w:pPr>
        <w:spacing w:before="360" w:after="80"/>
      </w:pPr>
      <w:r>
        <w:rPr>
          <w:b/>
          <w:bCs/>
          <w:i/>
          <w:iCs/>
        </w:rPr>
        <w:t>2.3 Severity Classification</w:t>
      </w:r>
    </w:p>
    <w:p w:rsidR="00582C7F" w:rsidRDefault="00310D3E">
      <w:pPr>
        <w:spacing w:before="120" w:after="60" w:line="480" w:lineRule="auto"/>
        <w:ind w:firstLine="720"/>
        <w:jc w:val="both"/>
      </w:pPr>
      <w:r>
        <w:t xml:space="preserve">Illness severity was classified according to WHO interim COVID-19 clinical management </w:t>
      </w:r>
      <w:proofErr w:type="gramStart"/>
      <w:r>
        <w:t>guidance.</w:t>
      </w:r>
      <w:r>
        <w:rPr>
          <w:b/>
          <w:bCs/>
          <w:color w:val="1A1A2E"/>
          <w:sz w:val="20"/>
          <w:szCs w:val="20"/>
          <w:vertAlign w:val="superscript"/>
        </w:rPr>
        <w:t>[</w:t>
      </w:r>
      <w:proofErr w:type="gramEnd"/>
      <w:r>
        <w:rPr>
          <w:b/>
          <w:bCs/>
          <w:color w:val="1A1A2E"/>
          <w:sz w:val="20"/>
          <w:szCs w:val="20"/>
          <w:vertAlign w:val="superscript"/>
        </w:rPr>
        <w:t>19]</w:t>
      </w:r>
      <w:r>
        <w:t xml:space="preserve"> Mild illness was defined as symptomatic infection without radiological or clinical evidence of pneumonia, with resting oxygen saturation ≥95% on room air (n = 436, 21.1%). Moderate illness required radiologically confirmed pneumonia with oxygen saturation ≥90% on room air </w:t>
      </w:r>
      <w:r>
        <w:lastRenderedPageBreak/>
        <w:t>(n = 820, 39.7%). Severe illness was defined by oxygen saturation below 90% on room air or a respiratory rate exceeding 30 breaths per minute (n = 807, 39.1%). All enrolled patients had received at least one dose of a COVID-19 vaccine.</w:t>
      </w:r>
    </w:p>
    <w:p w:rsidR="00582C7F" w:rsidRDefault="00310D3E">
      <w:pPr>
        <w:spacing w:before="360" w:after="80"/>
      </w:pPr>
      <w:r>
        <w:rPr>
          <w:b/>
          <w:bCs/>
          <w:i/>
          <w:iCs/>
        </w:rPr>
        <w:t>2.4 Biomarker Measurement</w:t>
      </w:r>
    </w:p>
    <w:p w:rsidR="00582C7F" w:rsidRDefault="00310D3E">
      <w:pPr>
        <w:spacing w:before="120" w:after="60" w:line="480" w:lineRule="auto"/>
        <w:ind w:firstLine="720"/>
        <w:jc w:val="both"/>
      </w:pPr>
      <w:proofErr w:type="spellStart"/>
      <w:r>
        <w:t>hs-cTnI</w:t>
      </w:r>
      <w:proofErr w:type="spellEnd"/>
      <w:r>
        <w:t xml:space="preserve"> was measured using the Abbott ARCHITECT i2000 (CMIA, reagent kit G97079R01</w:t>
      </w:r>
      <w:proofErr w:type="gramStart"/>
      <w:r>
        <w:t>).</w:t>
      </w:r>
      <w:r>
        <w:rPr>
          <w:b/>
          <w:bCs/>
          <w:color w:val="1A1A2E"/>
          <w:sz w:val="20"/>
          <w:szCs w:val="20"/>
          <w:vertAlign w:val="superscript"/>
        </w:rPr>
        <w:t>[</w:t>
      </w:r>
      <w:proofErr w:type="gramEnd"/>
      <w:r>
        <w:rPr>
          <w:b/>
          <w:bCs/>
          <w:color w:val="1A1A2E"/>
          <w:sz w:val="20"/>
          <w:szCs w:val="20"/>
          <w:vertAlign w:val="superscript"/>
        </w:rPr>
        <w:t>20]</w:t>
      </w:r>
      <w:r>
        <w:t xml:space="preserve"> NT-</w:t>
      </w:r>
      <w:proofErr w:type="spellStart"/>
      <w:r>
        <w:t>proBNP</w:t>
      </w:r>
      <w:proofErr w:type="spellEnd"/>
      <w:r>
        <w:t xml:space="preserve">, D-dimer, and ferritin were measured on the Roche </w:t>
      </w:r>
      <w:proofErr w:type="spellStart"/>
      <w:r>
        <w:t>Cobas</w:t>
      </w:r>
      <w:proofErr w:type="spellEnd"/>
      <w:r>
        <w:t xml:space="preserve"> e601 (</w:t>
      </w:r>
      <w:proofErr w:type="spellStart"/>
      <w:r>
        <w:t>Elecsys</w:t>
      </w:r>
      <w:proofErr w:type="spellEnd"/>
      <w:r>
        <w:t xml:space="preserve"> ECLIA); CRP by high-sensitivity </w:t>
      </w:r>
      <w:proofErr w:type="spellStart"/>
      <w:r>
        <w:t>immunoturbidimetry</w:t>
      </w:r>
      <w:proofErr w:type="spellEnd"/>
      <w:r>
        <w:t xml:space="preserve">; and IL-6 by ECLIA. Peak </w:t>
      </w:r>
      <w:proofErr w:type="spellStart"/>
      <w:r>
        <w:t>hs-cTnI</w:t>
      </w:r>
      <w:proofErr w:type="spellEnd"/>
      <w:r>
        <w:t xml:space="preserve"> during the period of clinical assessment was used for all primary analyses.</w:t>
      </w:r>
    </w:p>
    <w:p w:rsidR="00582C7F" w:rsidRDefault="00310D3E">
      <w:pPr>
        <w:spacing w:before="360" w:after="80"/>
      </w:pPr>
      <w:r>
        <w:rPr>
          <w:b/>
          <w:bCs/>
          <w:i/>
          <w:iCs/>
        </w:rPr>
        <w:t>2.5 Risk Stratification Thresholds</w:t>
      </w:r>
    </w:p>
    <w:p w:rsidR="00582C7F" w:rsidRDefault="00310D3E">
      <w:pPr>
        <w:spacing w:before="120" w:after="60" w:line="480" w:lineRule="auto"/>
        <w:ind w:firstLine="720"/>
        <w:jc w:val="both"/>
      </w:pPr>
      <w:r>
        <w:t xml:space="preserve">We applied sex-specific </w:t>
      </w:r>
      <w:proofErr w:type="spellStart"/>
      <w:r>
        <w:t>hs-cTnI</w:t>
      </w:r>
      <w:proofErr w:type="spellEnd"/>
      <w:r>
        <w:t xml:space="preserve"> thresholds derived from the HUNT population </w:t>
      </w:r>
      <w:proofErr w:type="gramStart"/>
      <w:r>
        <w:t>study.</w:t>
      </w:r>
      <w:r>
        <w:rPr>
          <w:b/>
          <w:bCs/>
          <w:color w:val="1A1A2E"/>
          <w:sz w:val="20"/>
          <w:szCs w:val="20"/>
          <w:vertAlign w:val="superscript"/>
        </w:rPr>
        <w:t>[</w:t>
      </w:r>
      <w:proofErr w:type="gramEnd"/>
      <w:r>
        <w:rPr>
          <w:b/>
          <w:bCs/>
          <w:color w:val="1A1A2E"/>
          <w:sz w:val="20"/>
          <w:szCs w:val="20"/>
          <w:vertAlign w:val="superscript"/>
        </w:rPr>
        <w:t>11]</w:t>
      </w:r>
      <w:r>
        <w:t xml:space="preserve"> A result above the sex-specific clinical decision limit was categorised as positive (above 34 </w:t>
      </w:r>
      <w:proofErr w:type="spellStart"/>
      <w:r>
        <w:t>pg</w:t>
      </w:r>
      <w:proofErr w:type="spellEnd"/>
      <w:r>
        <w:t>/mL in men; above 13 </w:t>
      </w:r>
      <w:proofErr w:type="spellStart"/>
      <w:r>
        <w:t>pg</w:t>
      </w:r>
      <w:proofErr w:type="spellEnd"/>
      <w:r>
        <w:t>/mL in women). Among patients below this limit, three risk sub-categories were defined: high-risk (men 12–34 </w:t>
      </w:r>
      <w:proofErr w:type="spellStart"/>
      <w:r>
        <w:t>pg</w:t>
      </w:r>
      <w:proofErr w:type="spellEnd"/>
      <w:r>
        <w:t>/mL, women 10–13 </w:t>
      </w:r>
      <w:proofErr w:type="spellStart"/>
      <w:r>
        <w:t>pg</w:t>
      </w:r>
      <w:proofErr w:type="spellEnd"/>
      <w:r>
        <w:t>/mL), moderate-risk (men 6–12 </w:t>
      </w:r>
      <w:proofErr w:type="spellStart"/>
      <w:r>
        <w:t>pg</w:t>
      </w:r>
      <w:proofErr w:type="spellEnd"/>
      <w:r>
        <w:t>/mL, women 4–10 </w:t>
      </w:r>
      <w:proofErr w:type="spellStart"/>
      <w:r>
        <w:t>pg</w:t>
      </w:r>
      <w:proofErr w:type="spellEnd"/>
      <w:r>
        <w:t>/mL), and low-risk (men below 6 </w:t>
      </w:r>
      <w:proofErr w:type="spellStart"/>
      <w:r>
        <w:t>pg</w:t>
      </w:r>
      <w:proofErr w:type="spellEnd"/>
      <w:r>
        <w:t>/mL, women below 4 </w:t>
      </w:r>
      <w:proofErr w:type="spellStart"/>
      <w:r>
        <w:t>pg</w:t>
      </w:r>
      <w:proofErr w:type="spellEnd"/>
      <w:r>
        <w:t>/mL). The scientific and clinical rationale for sex-specific thresholds is discussed in detail in Section 4.2.</w:t>
      </w:r>
    </w:p>
    <w:p w:rsidR="00582C7F" w:rsidRDefault="00310D3E">
      <w:pPr>
        <w:spacing w:before="360" w:after="80"/>
      </w:pPr>
      <w:r>
        <w:rPr>
          <w:b/>
          <w:bCs/>
          <w:i/>
          <w:iCs/>
        </w:rPr>
        <w:t>2.6 Statistical Analysis</w:t>
      </w:r>
    </w:p>
    <w:p w:rsidR="00582C7F" w:rsidRDefault="00310D3E">
      <w:pPr>
        <w:spacing w:before="120" w:after="60" w:line="480" w:lineRule="auto"/>
        <w:ind w:firstLine="720"/>
        <w:jc w:val="both"/>
      </w:pPr>
      <w:r>
        <w:t>All analyses were performed in IBM SPSS v25. Chi-square tests assessed categorical associations; Fisher's exact test was applied where expected cell counts were below five. Odds ratios with 95% CIs were calculated for principal sex-by-risk and comorbidity-by-risk associations; statistical significance was set at p &amp;</w:t>
      </w:r>
      <w:proofErr w:type="spellStart"/>
      <w:r>
        <w:t>lt</w:t>
      </w:r>
      <w:proofErr w:type="spellEnd"/>
      <w:r>
        <w:t>; 0.05 throughout. Six-month risk migration was quantified as the proportion of patients transitioning between defined risk categories.</w:t>
      </w:r>
    </w:p>
    <w:p w:rsidR="00582C7F" w:rsidRDefault="00310D3E">
      <w:pPr>
        <w:spacing w:before="360" w:after="80"/>
      </w:pPr>
      <w:r>
        <w:rPr>
          <w:b/>
          <w:bCs/>
          <w:i/>
          <w:iCs/>
        </w:rPr>
        <w:t>2.7 AI Risk Prediction Modelling</w:t>
      </w:r>
    </w:p>
    <w:p w:rsidR="00582C7F" w:rsidRDefault="00310D3E">
      <w:pPr>
        <w:spacing w:before="120" w:after="60" w:line="480" w:lineRule="auto"/>
        <w:ind w:firstLine="720"/>
        <w:jc w:val="both"/>
      </w:pPr>
      <w:r>
        <w:lastRenderedPageBreak/>
        <w:t>An AI risk prediction framework was built using logistic regression with seven predictor variables: illness severity, biological sex, age category (18-60 versus above 60 years), severity-by-sex interaction, D-dimer elevation status, NT-</w:t>
      </w:r>
      <w:proofErr w:type="spellStart"/>
      <w:r>
        <w:t>proBNP</w:t>
      </w:r>
      <w:proofErr w:type="spellEnd"/>
      <w:r>
        <w:t xml:space="preserve"> elevation status, and a composite comorbidity index. Model performance was evaluated by five-fold cross-validation, reporting mean AUC, sensitivity, specificity, and overall accuracy. ROC curves were generated for the logistic regression, a comparator random forest classifier, and </w:t>
      </w:r>
      <w:proofErr w:type="spellStart"/>
      <w:r>
        <w:t>hs-cTnI</w:t>
      </w:r>
      <w:proofErr w:type="spellEnd"/>
      <w:r>
        <w:t xml:space="preserve"> </w:t>
      </w:r>
      <w:proofErr w:type="gramStart"/>
      <w:r>
        <w:t>alone.</w:t>
      </w:r>
      <w:r>
        <w:rPr>
          <w:b/>
          <w:bCs/>
          <w:color w:val="1A1A2E"/>
          <w:sz w:val="20"/>
          <w:szCs w:val="20"/>
          <w:vertAlign w:val="superscript"/>
        </w:rPr>
        <w:t>[</w:t>
      </w:r>
      <w:proofErr w:type="gramEnd"/>
      <w:r>
        <w:rPr>
          <w:b/>
          <w:bCs/>
          <w:color w:val="1A1A2E"/>
          <w:sz w:val="20"/>
          <w:szCs w:val="20"/>
          <w:vertAlign w:val="superscript"/>
        </w:rPr>
        <w:t>12,14]</w:t>
      </w:r>
    </w:p>
    <w:p w:rsidR="00582C7F" w:rsidRDefault="00310D3E">
      <w:pPr>
        <w:pBdr>
          <w:bottom w:val="single" w:sz="8" w:space="0" w:color="1A1A2E"/>
        </w:pBdr>
        <w:spacing w:before="480" w:after="120"/>
      </w:pPr>
      <w:r>
        <w:rPr>
          <w:b/>
          <w:bCs/>
          <w:sz w:val="26"/>
          <w:szCs w:val="26"/>
        </w:rPr>
        <w:t>3. Results</w:t>
      </w:r>
    </w:p>
    <w:p w:rsidR="00582C7F" w:rsidRDefault="00310D3E">
      <w:pPr>
        <w:spacing w:before="360" w:after="80"/>
      </w:pPr>
      <w:r>
        <w:rPr>
          <w:b/>
          <w:bCs/>
          <w:i/>
          <w:iCs/>
        </w:rPr>
        <w:t xml:space="preserve">3.1 Cohort Characteristics and Baseline </w:t>
      </w:r>
      <w:proofErr w:type="spellStart"/>
      <w:r>
        <w:rPr>
          <w:b/>
          <w:bCs/>
          <w:i/>
          <w:iCs/>
        </w:rPr>
        <w:t>hs-cTnI</w:t>
      </w:r>
      <w:proofErr w:type="spellEnd"/>
      <w:r>
        <w:rPr>
          <w:b/>
          <w:bCs/>
          <w:i/>
          <w:iCs/>
        </w:rPr>
        <w:t xml:space="preserve"> Positivity</w:t>
      </w:r>
    </w:p>
    <w:p w:rsidR="00582C7F" w:rsidRDefault="00310D3E">
      <w:pPr>
        <w:spacing w:before="120" w:after="60" w:line="480" w:lineRule="auto"/>
        <w:ind w:firstLine="720"/>
        <w:jc w:val="both"/>
      </w:pPr>
      <w:r>
        <w:t xml:space="preserve">At baseline, 1,079 of 2,063 patients (52.3%) had </w:t>
      </w:r>
      <w:proofErr w:type="spellStart"/>
      <w:r>
        <w:t>hs-cTnI</w:t>
      </w:r>
      <w:proofErr w:type="spellEnd"/>
      <w:r>
        <w:t xml:space="preserve"> above the sex-specific clinical decision </w:t>
      </w:r>
      <w:proofErr w:type="gramStart"/>
      <w:r>
        <w:t>limit.</w:t>
      </w:r>
      <w:r>
        <w:rPr>
          <w:b/>
          <w:bCs/>
          <w:color w:val="1A1A2E"/>
          <w:sz w:val="20"/>
          <w:szCs w:val="20"/>
          <w:vertAlign w:val="superscript"/>
        </w:rPr>
        <w:t>[</w:t>
      </w:r>
      <w:proofErr w:type="gramEnd"/>
      <w:r>
        <w:rPr>
          <w:b/>
          <w:bCs/>
          <w:color w:val="1A1A2E"/>
          <w:sz w:val="20"/>
          <w:szCs w:val="20"/>
          <w:vertAlign w:val="superscript"/>
        </w:rPr>
        <w:t>3,7]</w:t>
      </w:r>
      <w:r>
        <w:t xml:space="preserve"> The apparent female positivity rate (62.7%) exceeded that of men (47.6%), reflecting the appropriately lower female threshold (13 </w:t>
      </w:r>
      <w:proofErr w:type="spellStart"/>
      <w:r>
        <w:t>pg</w:t>
      </w:r>
      <w:proofErr w:type="spellEnd"/>
      <w:r>
        <w:t>/mL) rather than greater female cardiovascular risk during the acute phase.</w:t>
      </w:r>
      <w:r>
        <w:rPr>
          <w:b/>
          <w:bCs/>
          <w:color w:val="1A1A2E"/>
          <w:sz w:val="20"/>
          <w:szCs w:val="20"/>
          <w:vertAlign w:val="superscript"/>
        </w:rPr>
        <w:t>[11]</w:t>
      </w:r>
      <w:r>
        <w:t xml:space="preserve"> The association between sex and </w:t>
      </w:r>
      <w:proofErr w:type="spellStart"/>
      <w:r>
        <w:t>hs-cTnI</w:t>
      </w:r>
      <w:proofErr w:type="spellEnd"/>
      <w:r>
        <w:t xml:space="preserve"> positivity was highly significant (ch</w:t>
      </w:r>
      <w:r w:rsidR="00416610">
        <w:t xml:space="preserve">i-squared = 39.39, </w:t>
      </w:r>
      <w:proofErr w:type="spellStart"/>
      <w:r w:rsidR="00416610">
        <w:t>df</w:t>
      </w:r>
      <w:proofErr w:type="spellEnd"/>
      <w:r w:rsidR="00416610">
        <w:t xml:space="preserve"> = 1, p &lt;</w:t>
      </w:r>
      <w:r>
        <w:t>; 0.001).</w:t>
      </w:r>
    </w:p>
    <w:p w:rsidR="00582C7F" w:rsidRDefault="00310D3E">
      <w:pPr>
        <w:spacing w:before="120" w:after="60"/>
        <w:jc w:val="center"/>
      </w:pPr>
      <w:r>
        <w:rPr>
          <w:noProof/>
        </w:rPr>
        <w:drawing>
          <wp:inline distT="0" distB="0" distL="0" distR="0">
            <wp:extent cx="5905500" cy="2028825"/>
            <wp:effectExtent l="0" t="0" r="0" b="0"/>
            <wp:docPr id="1" name="Figure 1 – Baseline cohort overview" descr="Figure 1 – Baseline cohort overview" title="Figure 1 – Baseline cohor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28825"/>
                    </a:xfrm>
                    <a:prstGeom prst="rect">
                      <a:avLst/>
                    </a:prstGeom>
                  </pic:spPr>
                </pic:pic>
              </a:graphicData>
            </a:graphic>
          </wp:inline>
        </w:drawing>
      </w:r>
    </w:p>
    <w:p w:rsidR="00582C7F" w:rsidRDefault="00310D3E">
      <w:pPr>
        <w:spacing w:before="60" w:after="200"/>
      </w:pPr>
      <w:r>
        <w:rPr>
          <w:i/>
          <w:iCs/>
          <w:sz w:val="20"/>
          <w:szCs w:val="20"/>
        </w:rPr>
        <w:t xml:space="preserve">Figure 1. Baseline cohort overview. Panel A: distribution of illness severity (n = 2,063). Panel B: </w:t>
      </w:r>
      <w:proofErr w:type="spellStart"/>
      <w:r>
        <w:rPr>
          <w:i/>
          <w:iCs/>
          <w:sz w:val="20"/>
          <w:szCs w:val="20"/>
        </w:rPr>
        <w:t>hs-cTnI</w:t>
      </w:r>
      <w:proofErr w:type="spellEnd"/>
      <w:r>
        <w:rPr>
          <w:i/>
          <w:iCs/>
          <w:sz w:val="20"/>
          <w:szCs w:val="20"/>
        </w:rPr>
        <w:t xml:space="preserve"> positivity rates by severity and sex (χ² = 39.4, p &lt; 0.001). Panel C: cardiovascular risk stratification among the 984 </w:t>
      </w:r>
      <w:proofErr w:type="spellStart"/>
      <w:r>
        <w:rPr>
          <w:i/>
          <w:iCs/>
          <w:sz w:val="20"/>
          <w:szCs w:val="20"/>
        </w:rPr>
        <w:t>hs</w:t>
      </w:r>
      <w:proofErr w:type="spellEnd"/>
      <w:r>
        <w:rPr>
          <w:i/>
          <w:iCs/>
          <w:sz w:val="20"/>
          <w:szCs w:val="20"/>
        </w:rPr>
        <w:t>-</w:t>
      </w:r>
      <w:proofErr w:type="spellStart"/>
      <w:r>
        <w:rPr>
          <w:i/>
          <w:iCs/>
          <w:sz w:val="20"/>
          <w:szCs w:val="20"/>
        </w:rPr>
        <w:t>cTnI</w:t>
      </w:r>
      <w:proofErr w:type="spellEnd"/>
      <w:r>
        <w:rPr>
          <w:i/>
          <w:iCs/>
          <w:sz w:val="20"/>
          <w:szCs w:val="20"/>
        </w:rPr>
        <w:t>-negative patients, demonstrating that 60.1% carried subclinical risk despite a binary-negative result.</w:t>
      </w:r>
    </w:p>
    <w:p w:rsidR="00582C7F" w:rsidRDefault="00310D3E">
      <w:pPr>
        <w:spacing w:before="360" w:after="80"/>
      </w:pPr>
      <w:r>
        <w:rPr>
          <w:b/>
          <w:bCs/>
          <w:i/>
          <w:iCs/>
        </w:rPr>
        <w:t>3.2 Risk Stratification Among Troponin-Negative Patients</w:t>
      </w:r>
    </w:p>
    <w:p w:rsidR="00582C7F" w:rsidRDefault="00310D3E">
      <w:pPr>
        <w:spacing w:before="120" w:after="60" w:line="480" w:lineRule="auto"/>
        <w:ind w:firstLine="720"/>
        <w:jc w:val="both"/>
      </w:pPr>
      <w:r>
        <w:lastRenderedPageBreak/>
        <w:t>The 984 patients below the clinical decision limit were far from uniformly reassuring. Only 39.8% were genuinely low-risk by sex-specific sub-threshold criteria; 28.3% were moderate-risk and 31.8% were high-</w:t>
      </w:r>
      <w:proofErr w:type="gramStart"/>
      <w:r>
        <w:t>risk.</w:t>
      </w:r>
      <w:r>
        <w:rPr>
          <w:b/>
          <w:bCs/>
          <w:color w:val="1A1A2E"/>
          <w:sz w:val="20"/>
          <w:szCs w:val="20"/>
          <w:vertAlign w:val="superscript"/>
        </w:rPr>
        <w:t>[</w:t>
      </w:r>
      <w:proofErr w:type="gramEnd"/>
      <w:r>
        <w:rPr>
          <w:b/>
          <w:bCs/>
          <w:color w:val="1A1A2E"/>
          <w:sz w:val="20"/>
          <w:szCs w:val="20"/>
          <w:vertAlign w:val="superscript"/>
        </w:rPr>
        <w:t>12,13]</w:t>
      </w:r>
      <w:r>
        <w:t xml:space="preserve"> Taken together, more than six in ten apparently troponin-negative patients carried subclinical cardiovascular risk that would be invisible to a physician using a simple positive/negative binary read. This finding has immediate implications for how post-COVID cardiac assessment is structured, communicated to patients, and followed up over time.</w:t>
      </w:r>
    </w:p>
    <w:p w:rsidR="00582C7F" w:rsidRDefault="00582C7F"/>
    <w:p w:rsidR="00582C7F" w:rsidRDefault="00310D3E">
      <w:pPr>
        <w:spacing w:before="240" w:after="60"/>
      </w:pPr>
      <w:r>
        <w:rPr>
          <w:b/>
          <w:bCs/>
        </w:rPr>
        <w:t>Table 1. Cardiovascular Risk Stratification at Baseline (n = 2,063)</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844"/>
        <w:gridCol w:w="844"/>
        <w:gridCol w:w="993"/>
        <w:gridCol w:w="993"/>
        <w:gridCol w:w="844"/>
        <w:gridCol w:w="844"/>
        <w:gridCol w:w="844"/>
        <w:gridCol w:w="860"/>
        <w:gridCol w:w="882"/>
      </w:tblGrid>
      <w:tr w:rsidR="00582C7F">
        <w:trPr>
          <w:tblHeader/>
        </w:trPr>
        <w:tc>
          <w:tcPr>
            <w:tcW w:w="200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pPr>
            <w:r>
              <w:rPr>
                <w:b/>
                <w:bCs/>
                <w:color w:val="FFFFFF"/>
                <w:sz w:val="20"/>
                <w:szCs w:val="20"/>
              </w:rPr>
              <w:t>CV Risk Category</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Severe M</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Severe F</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Moderate M</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Moderate F</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Mild M</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Mild F</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All Males</w:t>
            </w:r>
          </w:p>
        </w:tc>
        <w:tc>
          <w:tcPr>
            <w:tcW w:w="84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All Females</w:t>
            </w:r>
          </w:p>
        </w:tc>
        <w:tc>
          <w:tcPr>
            <w:tcW w:w="900" w:type="dxa"/>
            <w:tcBorders>
              <w:top w:val="single" w:sz="4" w:space="0" w:color="333333"/>
              <w:left w:val="single" w:sz="4" w:space="0" w:color="333333"/>
              <w:bottom w:val="single" w:sz="4" w:space="0" w:color="333333"/>
              <w:right w:val="single" w:sz="4" w:space="0" w:color="333333"/>
            </w:tcBorders>
            <w:shd w:val="clear" w:color="auto" w:fill="1A1A2E"/>
            <w:tcMar>
              <w:top w:w="50" w:type="dxa"/>
              <w:left w:w="80" w:type="dxa"/>
              <w:bottom w:w="50" w:type="dxa"/>
              <w:right w:w="80" w:type="dxa"/>
            </w:tcMar>
            <w:vAlign w:val="center"/>
          </w:tcPr>
          <w:p w:rsidR="00582C7F" w:rsidRDefault="00310D3E">
            <w:pPr>
              <w:spacing w:before="40" w:after="40"/>
              <w:jc w:val="center"/>
            </w:pPr>
            <w:r>
              <w:rPr>
                <w:b/>
                <w:bCs/>
                <w:color w:val="FFFFFF"/>
                <w:sz w:val="20"/>
                <w:szCs w:val="20"/>
              </w:rPr>
              <w:t>Total</w:t>
            </w:r>
          </w:p>
        </w:tc>
      </w:tr>
      <w:tr w:rsidR="00582C7F">
        <w:tc>
          <w:tcPr>
            <w:tcW w:w="200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pPr>
            <w:r>
              <w:rPr>
                <w:b/>
                <w:bCs/>
                <w:sz w:val="20"/>
                <w:szCs w:val="20"/>
              </w:rPr>
              <w:t>Positive (</w:t>
            </w:r>
            <w:proofErr w:type="spellStart"/>
            <w:r>
              <w:rPr>
                <w:b/>
                <w:bCs/>
                <w:sz w:val="20"/>
                <w:szCs w:val="20"/>
              </w:rPr>
              <w:t>TnI</w:t>
            </w:r>
            <w:proofErr w:type="spellEnd"/>
            <w:r>
              <w:rPr>
                <w:b/>
                <w:bCs/>
                <w:sz w:val="20"/>
                <w:szCs w:val="20"/>
              </w:rPr>
              <w:t>+)</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277 (50.2%)</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166 (65.1%)</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255 (47.3%)</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166 (59.3%)</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147 (44.2%)</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68 (66.0%)</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679 (47.6%)</w:t>
            </w:r>
          </w:p>
        </w:tc>
        <w:tc>
          <w:tcPr>
            <w:tcW w:w="84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400 (62.7%)</w:t>
            </w:r>
          </w:p>
        </w:tc>
        <w:tc>
          <w:tcPr>
            <w:tcW w:w="900" w:type="dxa"/>
            <w:tcBorders>
              <w:top w:val="single" w:sz="4" w:space="0" w:color="333333"/>
              <w:left w:val="single" w:sz="4" w:space="0" w:color="333333"/>
              <w:bottom w:val="single" w:sz="4" w:space="0" w:color="333333"/>
              <w:right w:val="single" w:sz="4" w:space="0" w:color="333333"/>
            </w:tcBorders>
            <w:shd w:val="clear" w:color="auto" w:fill="FFEBEE"/>
            <w:tcMar>
              <w:top w:w="50" w:type="dxa"/>
              <w:left w:w="80" w:type="dxa"/>
              <w:bottom w:w="50" w:type="dxa"/>
              <w:right w:w="80" w:type="dxa"/>
            </w:tcMar>
            <w:vAlign w:val="center"/>
          </w:tcPr>
          <w:p w:rsidR="00582C7F" w:rsidRDefault="00310D3E">
            <w:pPr>
              <w:spacing w:before="40" w:after="40"/>
              <w:jc w:val="center"/>
            </w:pPr>
            <w:r>
              <w:rPr>
                <w:b/>
                <w:bCs/>
                <w:sz w:val="20"/>
                <w:szCs w:val="20"/>
              </w:rPr>
              <w:t>1,079 (52.3%)</w:t>
            </w:r>
          </w:p>
        </w:tc>
      </w:tr>
      <w:tr w:rsidR="00582C7F">
        <w:tc>
          <w:tcPr>
            <w:tcW w:w="200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pPr>
            <w:proofErr w:type="spellStart"/>
            <w:r>
              <w:rPr>
                <w:b/>
                <w:bCs/>
                <w:sz w:val="20"/>
                <w:szCs w:val="20"/>
              </w:rPr>
              <w:t>TnI</w:t>
            </w:r>
            <w:proofErr w:type="spellEnd"/>
            <w:r>
              <w:rPr>
                <w:b/>
                <w:bCs/>
                <w:sz w:val="20"/>
                <w:szCs w:val="20"/>
              </w:rPr>
              <w:t>-Negative (total)</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275 (49.8%)</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89 (34.9%)</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285 (52.7%)</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114 (40.7%)</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186 (55.8%)</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35 (34.0%)</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746 (52.4%)</w:t>
            </w:r>
          </w:p>
        </w:tc>
        <w:tc>
          <w:tcPr>
            <w:tcW w:w="84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238 (37.3%)</w:t>
            </w:r>
          </w:p>
        </w:tc>
        <w:tc>
          <w:tcPr>
            <w:tcW w:w="900" w:type="dxa"/>
            <w:tcBorders>
              <w:top w:val="single" w:sz="4" w:space="0" w:color="333333"/>
              <w:left w:val="single" w:sz="4" w:space="0" w:color="333333"/>
              <w:bottom w:val="single" w:sz="4" w:space="0" w:color="333333"/>
              <w:right w:val="single" w:sz="4" w:space="0" w:color="333333"/>
            </w:tcBorders>
            <w:shd w:val="clear" w:color="auto" w:fill="E3F2FD"/>
            <w:tcMar>
              <w:top w:w="50" w:type="dxa"/>
              <w:left w:w="80" w:type="dxa"/>
              <w:bottom w:w="50" w:type="dxa"/>
              <w:right w:w="80" w:type="dxa"/>
            </w:tcMar>
            <w:vAlign w:val="center"/>
          </w:tcPr>
          <w:p w:rsidR="00582C7F" w:rsidRDefault="00310D3E">
            <w:pPr>
              <w:spacing w:before="40" w:after="40"/>
              <w:jc w:val="center"/>
            </w:pPr>
            <w:r>
              <w:rPr>
                <w:b/>
                <w:bCs/>
                <w:sz w:val="20"/>
                <w:szCs w:val="20"/>
              </w:rPr>
              <w:t>984 (47.7%)</w:t>
            </w:r>
          </w:p>
        </w:tc>
      </w:tr>
      <w:tr w:rsidR="00582C7F">
        <w:tc>
          <w:tcPr>
            <w:tcW w:w="200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pPr>
            <w:r>
              <w:rPr>
                <w:b/>
                <w:bCs/>
                <w:sz w:val="20"/>
                <w:szCs w:val="20"/>
              </w:rPr>
              <w:t xml:space="preserve">  → Low Risk</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98 (35.6%)</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42 (47.2%)</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107 (37.5%)</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56 (49.1%)</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72 (38.7%)</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17 (48.6%)</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277 (37.1%)</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115 (48.3%)</w:t>
            </w:r>
          </w:p>
        </w:tc>
        <w:tc>
          <w:tcPr>
            <w:tcW w:w="90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392 (39.8%)</w:t>
            </w:r>
          </w:p>
        </w:tc>
      </w:tr>
      <w:tr w:rsidR="00582C7F">
        <w:tc>
          <w:tcPr>
            <w:tcW w:w="200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pPr>
            <w:r>
              <w:rPr>
                <w:b/>
                <w:bCs/>
                <w:sz w:val="20"/>
                <w:szCs w:val="20"/>
              </w:rPr>
              <w:t xml:space="preserve">  → Moderate Risk</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70 (25.4%)</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35 (39.3%)</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72 (25.2%)</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44 (38.6%)</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43 (23.1%)</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15 (34.9%)</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185 (24.7%)</w:t>
            </w:r>
          </w:p>
        </w:tc>
        <w:tc>
          <w:tcPr>
            <w:tcW w:w="84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94 (39.5%)</w:t>
            </w:r>
          </w:p>
        </w:tc>
        <w:tc>
          <w:tcPr>
            <w:tcW w:w="900" w:type="dxa"/>
            <w:tcBorders>
              <w:top w:val="single" w:sz="4" w:space="0" w:color="333333"/>
              <w:left w:val="single" w:sz="4" w:space="0" w:color="333333"/>
              <w:bottom w:val="single" w:sz="4" w:space="0" w:color="333333"/>
              <w:right w:val="single" w:sz="4" w:space="0" w:color="333333"/>
            </w:tcBorders>
            <w:shd w:val="clear" w:color="auto" w:fill="FFFFFF"/>
            <w:tcMar>
              <w:top w:w="50" w:type="dxa"/>
              <w:left w:w="80" w:type="dxa"/>
              <w:bottom w:w="50" w:type="dxa"/>
              <w:right w:w="80" w:type="dxa"/>
            </w:tcMar>
            <w:vAlign w:val="center"/>
          </w:tcPr>
          <w:p w:rsidR="00582C7F" w:rsidRDefault="00310D3E">
            <w:pPr>
              <w:spacing w:before="40" w:after="40"/>
              <w:jc w:val="center"/>
            </w:pPr>
            <w:r>
              <w:rPr>
                <w:sz w:val="20"/>
                <w:szCs w:val="20"/>
              </w:rPr>
              <w:t>279 (28.3%)</w:t>
            </w:r>
          </w:p>
        </w:tc>
      </w:tr>
      <w:tr w:rsidR="00582C7F">
        <w:tc>
          <w:tcPr>
            <w:tcW w:w="200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pPr>
            <w:r>
              <w:rPr>
                <w:b/>
                <w:bCs/>
                <w:sz w:val="20"/>
                <w:szCs w:val="20"/>
              </w:rPr>
              <w:t xml:space="preserve">  → High Risk</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107 (39.0%)</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12 (13.5%)</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106 (37.1%)</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14 (14.3%)</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71 (38.2%)</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3 (16.5%)</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284 (38.0%)</w:t>
            </w:r>
          </w:p>
        </w:tc>
        <w:tc>
          <w:tcPr>
            <w:tcW w:w="84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29 (12.2%)</w:t>
            </w:r>
          </w:p>
        </w:tc>
        <w:tc>
          <w:tcPr>
            <w:tcW w:w="900" w:type="dxa"/>
            <w:tcBorders>
              <w:top w:val="single" w:sz="4" w:space="0" w:color="333333"/>
              <w:left w:val="single" w:sz="4" w:space="0" w:color="333333"/>
              <w:bottom w:val="single" w:sz="4" w:space="0" w:color="333333"/>
              <w:right w:val="single" w:sz="4" w:space="0" w:color="333333"/>
            </w:tcBorders>
            <w:shd w:val="clear" w:color="auto" w:fill="FAFAFA"/>
            <w:tcMar>
              <w:top w:w="50" w:type="dxa"/>
              <w:left w:w="80" w:type="dxa"/>
              <w:bottom w:w="50" w:type="dxa"/>
              <w:right w:w="80" w:type="dxa"/>
            </w:tcMar>
            <w:vAlign w:val="center"/>
          </w:tcPr>
          <w:p w:rsidR="00582C7F" w:rsidRDefault="00310D3E">
            <w:pPr>
              <w:spacing w:before="40" w:after="40"/>
              <w:jc w:val="center"/>
            </w:pPr>
            <w:r>
              <w:rPr>
                <w:sz w:val="20"/>
                <w:szCs w:val="20"/>
              </w:rPr>
              <w:t>313 (31.8%)</w:t>
            </w:r>
          </w:p>
        </w:tc>
      </w:tr>
      <w:tr w:rsidR="00582C7F">
        <w:tc>
          <w:tcPr>
            <w:tcW w:w="200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pPr>
            <w:r>
              <w:rPr>
                <w:b/>
                <w:bCs/>
                <w:sz w:val="20"/>
                <w:szCs w:val="20"/>
              </w:rPr>
              <w:t>Total</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552</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255</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540</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280</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333</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103</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1,425</w:t>
            </w:r>
          </w:p>
        </w:tc>
        <w:tc>
          <w:tcPr>
            <w:tcW w:w="84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638</w:t>
            </w:r>
          </w:p>
        </w:tc>
        <w:tc>
          <w:tcPr>
            <w:tcW w:w="900" w:type="dxa"/>
            <w:tcBorders>
              <w:top w:val="single" w:sz="4" w:space="0" w:color="333333"/>
              <w:left w:val="single" w:sz="4" w:space="0" w:color="333333"/>
              <w:bottom w:val="single" w:sz="4" w:space="0" w:color="333333"/>
              <w:right w:val="single" w:sz="4" w:space="0" w:color="333333"/>
            </w:tcBorders>
            <w:shd w:val="clear" w:color="auto" w:fill="E8EAF6"/>
            <w:tcMar>
              <w:top w:w="50" w:type="dxa"/>
              <w:left w:w="80" w:type="dxa"/>
              <w:bottom w:w="50" w:type="dxa"/>
              <w:right w:w="80" w:type="dxa"/>
            </w:tcMar>
            <w:vAlign w:val="center"/>
          </w:tcPr>
          <w:p w:rsidR="00582C7F" w:rsidRDefault="00310D3E">
            <w:pPr>
              <w:spacing w:before="40" w:after="40"/>
              <w:jc w:val="center"/>
            </w:pPr>
            <w:r>
              <w:rPr>
                <w:b/>
                <w:bCs/>
                <w:sz w:val="20"/>
                <w:szCs w:val="20"/>
              </w:rPr>
              <w:t>2,063</w:t>
            </w:r>
          </w:p>
        </w:tc>
      </w:tr>
    </w:tbl>
    <w:p w:rsidR="00582C7F" w:rsidRDefault="00310D3E">
      <w:pPr>
        <w:spacing w:before="80" w:after="240"/>
      </w:pPr>
      <w:proofErr w:type="spellStart"/>
      <w:r>
        <w:rPr>
          <w:i/>
          <w:iCs/>
          <w:sz w:val="20"/>
          <w:szCs w:val="20"/>
        </w:rPr>
        <w:t>Sev</w:t>
      </w:r>
      <w:proofErr w:type="spellEnd"/>
      <w:r>
        <w:rPr>
          <w:i/>
          <w:iCs/>
          <w:sz w:val="20"/>
          <w:szCs w:val="20"/>
        </w:rPr>
        <w:t xml:space="preserve"> = Severe; Mod = Moderate; M = Male; F = Female. Values are n (%). Risk sub-categories apply only to </w:t>
      </w:r>
      <w:proofErr w:type="spellStart"/>
      <w:r>
        <w:rPr>
          <w:i/>
          <w:iCs/>
          <w:sz w:val="20"/>
          <w:szCs w:val="20"/>
        </w:rPr>
        <w:t>hs</w:t>
      </w:r>
      <w:proofErr w:type="spellEnd"/>
      <w:r>
        <w:rPr>
          <w:i/>
          <w:iCs/>
          <w:sz w:val="20"/>
          <w:szCs w:val="20"/>
        </w:rPr>
        <w:t>-</w:t>
      </w:r>
      <w:proofErr w:type="spellStart"/>
      <w:r>
        <w:rPr>
          <w:i/>
          <w:iCs/>
          <w:sz w:val="20"/>
          <w:szCs w:val="20"/>
        </w:rPr>
        <w:t>cTnI</w:t>
      </w:r>
      <w:proofErr w:type="spellEnd"/>
      <w:r>
        <w:rPr>
          <w:i/>
          <w:iCs/>
          <w:sz w:val="20"/>
          <w:szCs w:val="20"/>
        </w:rPr>
        <w:t xml:space="preserve">-negative patients. Percentages for Low, Moderate, and High Risk sub-rows are calculated within the </w:t>
      </w:r>
      <w:proofErr w:type="spellStart"/>
      <w:r>
        <w:rPr>
          <w:i/>
          <w:iCs/>
          <w:sz w:val="20"/>
          <w:szCs w:val="20"/>
        </w:rPr>
        <w:t>TnI</w:t>
      </w:r>
      <w:proofErr w:type="spellEnd"/>
      <w:r>
        <w:rPr>
          <w:i/>
          <w:iCs/>
          <w:sz w:val="20"/>
          <w:szCs w:val="20"/>
        </w:rPr>
        <w:t>-Negative subgroup for each sex/severity column.</w:t>
      </w:r>
    </w:p>
    <w:p w:rsidR="00582C7F" w:rsidRDefault="00310D3E">
      <w:pPr>
        <w:spacing w:before="360" w:after="80"/>
      </w:pPr>
      <w:r>
        <w:rPr>
          <w:b/>
          <w:bCs/>
          <w:i/>
          <w:iCs/>
        </w:rPr>
        <w:t>3.3 Sex-Stratified Risk Distribution and Odds Ratios</w:t>
      </w:r>
    </w:p>
    <w:p w:rsidR="00582C7F" w:rsidRDefault="00310D3E">
      <w:pPr>
        <w:spacing w:before="120" w:after="60" w:line="480" w:lineRule="auto"/>
        <w:ind w:firstLine="720"/>
        <w:jc w:val="both"/>
      </w:pPr>
      <w:r>
        <w:t xml:space="preserve">Among the 984 </w:t>
      </w:r>
      <w:proofErr w:type="spellStart"/>
      <w:r>
        <w:t>hs</w:t>
      </w:r>
      <w:proofErr w:type="spellEnd"/>
      <w:r>
        <w:t>-</w:t>
      </w:r>
      <w:proofErr w:type="spellStart"/>
      <w:r>
        <w:t>cTnI</w:t>
      </w:r>
      <w:proofErr w:type="spellEnd"/>
      <w:r>
        <w:t>-negative patients, 38.1% of men were high-risk compared with only 6.1% of women (ch</w:t>
      </w:r>
      <w:r w:rsidR="00416610">
        <w:t xml:space="preserve">i-squared = 57.42, </w:t>
      </w:r>
      <w:proofErr w:type="spellStart"/>
      <w:r w:rsidR="00416610">
        <w:t>df</w:t>
      </w:r>
      <w:proofErr w:type="spellEnd"/>
      <w:r w:rsidR="00416610">
        <w:t xml:space="preserve"> = 2, p &lt;</w:t>
      </w:r>
      <w:r>
        <w:t xml:space="preserve"> 0.001; OR = 4.07, 95% CI: 2.50-6.60</w:t>
      </w:r>
      <w:proofErr w:type="gramStart"/>
      <w:r>
        <w:t>).</w:t>
      </w:r>
      <w:r>
        <w:rPr>
          <w:b/>
          <w:bCs/>
          <w:color w:val="1A1A2E"/>
          <w:sz w:val="20"/>
          <w:szCs w:val="20"/>
          <w:vertAlign w:val="superscript"/>
        </w:rPr>
        <w:t>[</w:t>
      </w:r>
      <w:proofErr w:type="gramEnd"/>
      <w:r>
        <w:rPr>
          <w:b/>
          <w:bCs/>
          <w:color w:val="1A1A2E"/>
          <w:sz w:val="20"/>
          <w:szCs w:val="20"/>
          <w:vertAlign w:val="superscript"/>
        </w:rPr>
        <w:t>11,12]</w:t>
      </w:r>
      <w:r>
        <w:t xml:space="preserve"> Women were more concentrated in the moderate-risk category (37.0% versus 28.1% in men; OR = 0.54, 95% CI: 0.35-0.83), suggesting that female risk accumulated in a less extreme category during the acute and subacute phases.</w:t>
      </w:r>
    </w:p>
    <w:p w:rsidR="00582C7F" w:rsidRDefault="00310D3E">
      <w:pPr>
        <w:spacing w:before="120" w:after="60"/>
        <w:jc w:val="center"/>
      </w:pPr>
      <w:r>
        <w:rPr>
          <w:noProof/>
        </w:rPr>
        <w:lastRenderedPageBreak/>
        <w:drawing>
          <wp:inline distT="0" distB="0" distL="0" distR="0">
            <wp:extent cx="5905500" cy="2705100"/>
            <wp:effectExtent l="0" t="0" r="0" b="0"/>
            <wp:docPr id="2" name="Figure 2 – Sex-stratified cardiovascular risk" descr="Figure 2 – Sex-stratified cardiovascular risk" title="Figure 2 – Sex-stratified cardiovascular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05100"/>
                    </a:xfrm>
                    <a:prstGeom prst="rect">
                      <a:avLst/>
                    </a:prstGeom>
                  </pic:spPr>
                </pic:pic>
              </a:graphicData>
            </a:graphic>
          </wp:inline>
        </w:drawing>
      </w:r>
    </w:p>
    <w:p w:rsidR="00582C7F" w:rsidRDefault="00310D3E">
      <w:pPr>
        <w:spacing w:before="60" w:after="200"/>
      </w:pPr>
      <w:r>
        <w:rPr>
          <w:i/>
          <w:iCs/>
          <w:sz w:val="20"/>
          <w:szCs w:val="20"/>
        </w:rPr>
        <w:t xml:space="preserve">Figure 2. Sex-stratified cardiovascular risk. Panel A: stacked risk distribution by sex among </w:t>
      </w:r>
      <w:proofErr w:type="spellStart"/>
      <w:r>
        <w:rPr>
          <w:i/>
          <w:iCs/>
          <w:sz w:val="20"/>
          <w:szCs w:val="20"/>
        </w:rPr>
        <w:t>hs</w:t>
      </w:r>
      <w:proofErr w:type="spellEnd"/>
      <w:r>
        <w:rPr>
          <w:i/>
          <w:iCs/>
          <w:sz w:val="20"/>
          <w:szCs w:val="20"/>
        </w:rPr>
        <w:t>-</w:t>
      </w:r>
      <w:proofErr w:type="spellStart"/>
      <w:r>
        <w:rPr>
          <w:i/>
          <w:iCs/>
          <w:sz w:val="20"/>
          <w:szCs w:val="20"/>
        </w:rPr>
        <w:t>cTnI</w:t>
      </w:r>
      <w:proofErr w:type="spellEnd"/>
      <w:r>
        <w:rPr>
          <w:i/>
          <w:iCs/>
          <w:sz w:val="20"/>
          <w:szCs w:val="20"/>
        </w:rPr>
        <w:t>-negative patients (χ² = 57.4, p &lt; 0.001). Panel B: forest plot of sex-adjusted odds ratios with 95% CIs, demonstrating an OR of 4.07 for high-risk classification in men versus women.</w:t>
      </w:r>
    </w:p>
    <w:p w:rsidR="00582C7F" w:rsidRDefault="00310D3E">
      <w:pPr>
        <w:spacing w:before="360" w:after="80"/>
      </w:pPr>
      <w:r>
        <w:rPr>
          <w:b/>
          <w:bCs/>
          <w:i/>
          <w:iCs/>
        </w:rPr>
        <w:t>3.4 Six-Month Risk Migration</w:t>
      </w:r>
    </w:p>
    <w:p w:rsidR="00582C7F" w:rsidRDefault="00310D3E">
      <w:pPr>
        <w:spacing w:before="120" w:after="60" w:line="480" w:lineRule="auto"/>
        <w:ind w:firstLine="720"/>
        <w:jc w:val="both"/>
      </w:pPr>
      <w:r>
        <w:t xml:space="preserve">Six-month follow-up revealed systematic upward migration of cardiovascular risk across all severity </w:t>
      </w:r>
      <w:proofErr w:type="gramStart"/>
      <w:r>
        <w:t>groups.</w:t>
      </w:r>
      <w:r>
        <w:rPr>
          <w:b/>
          <w:bCs/>
          <w:color w:val="1A1A2E"/>
          <w:sz w:val="20"/>
          <w:szCs w:val="20"/>
          <w:vertAlign w:val="superscript"/>
        </w:rPr>
        <w:t>[</w:t>
      </w:r>
      <w:proofErr w:type="gramEnd"/>
      <w:r>
        <w:rPr>
          <w:b/>
          <w:bCs/>
          <w:color w:val="1A1A2E"/>
          <w:sz w:val="20"/>
          <w:szCs w:val="20"/>
          <w:vertAlign w:val="superscript"/>
        </w:rPr>
        <w:t>8,9,14]</w:t>
      </w:r>
      <w:r>
        <w:t xml:space="preserve"> Among severe-illness patients, only 19.6% of initially low-risk men remained low-risk at six months; 52.2% migrated to high-risk and 10.8% converted to overt </w:t>
      </w:r>
      <w:proofErr w:type="spellStart"/>
      <w:r>
        <w:t>hs-cTnI</w:t>
      </w:r>
      <w:proofErr w:type="spellEnd"/>
      <w:r>
        <w:t xml:space="preserve"> positivity, giving a combined deterioration rate of 80.4%. Among moderate-risk severe-illness women, 56.2% converted to </w:t>
      </w:r>
      <w:proofErr w:type="spellStart"/>
      <w:r>
        <w:t>hs</w:t>
      </w:r>
      <w:proofErr w:type="spellEnd"/>
      <w:r>
        <w:t>-</w:t>
      </w:r>
      <w:proofErr w:type="spellStart"/>
      <w:r>
        <w:t>cTnI</w:t>
      </w:r>
      <w:proofErr w:type="spellEnd"/>
      <w:r>
        <w:t xml:space="preserve">-positive by six months -- the highest single-subgroup conversion rate in the cohort. Even outpatient-managed mild-illness patients were not spared: 28.6% of men and 31.2% of women converted to </w:t>
      </w:r>
      <w:proofErr w:type="spellStart"/>
      <w:r>
        <w:t>hs</w:t>
      </w:r>
      <w:proofErr w:type="spellEnd"/>
      <w:r>
        <w:t>-</w:t>
      </w:r>
      <w:proofErr w:type="spellStart"/>
      <w:r>
        <w:t>cT</w:t>
      </w:r>
      <w:r w:rsidR="009151E1">
        <w:t>nI</w:t>
      </w:r>
      <w:proofErr w:type="spellEnd"/>
      <w:r w:rsidR="009151E1">
        <w:t>-positive by six months (p &lt;</w:t>
      </w:r>
      <w:r>
        <w:t xml:space="preserve"> 0.05</w:t>
      </w:r>
      <w:proofErr w:type="gramStart"/>
      <w:r>
        <w:t>).</w:t>
      </w:r>
      <w:r>
        <w:rPr>
          <w:b/>
          <w:bCs/>
          <w:color w:val="1A1A2E"/>
          <w:sz w:val="20"/>
          <w:szCs w:val="20"/>
          <w:vertAlign w:val="superscript"/>
        </w:rPr>
        <w:t>[</w:t>
      </w:r>
      <w:proofErr w:type="gramEnd"/>
      <w:r>
        <w:rPr>
          <w:b/>
          <w:bCs/>
          <w:color w:val="1A1A2E"/>
          <w:sz w:val="20"/>
          <w:szCs w:val="20"/>
          <w:vertAlign w:val="superscript"/>
        </w:rPr>
        <w:t>8,13]</w:t>
      </w:r>
    </w:p>
    <w:p w:rsidR="00582C7F" w:rsidRDefault="00310D3E">
      <w:pPr>
        <w:spacing w:before="120" w:after="60"/>
        <w:jc w:val="center"/>
      </w:pPr>
      <w:r>
        <w:rPr>
          <w:noProof/>
        </w:rPr>
        <w:lastRenderedPageBreak/>
        <w:drawing>
          <wp:inline distT="0" distB="0" distL="0" distR="0">
            <wp:extent cx="5905500" cy="2581275"/>
            <wp:effectExtent l="0" t="0" r="0" b="0"/>
            <wp:docPr id="3" name="Figure 3 – Six-month risk migration" descr="Figure 3 – Six-month risk migration" title="Figure 3 – Six-month risk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81275"/>
                    </a:xfrm>
                    <a:prstGeom prst="rect">
                      <a:avLst/>
                    </a:prstGeom>
                  </pic:spPr>
                </pic:pic>
              </a:graphicData>
            </a:graphic>
          </wp:inline>
        </w:drawing>
      </w:r>
    </w:p>
    <w:p w:rsidR="00582C7F" w:rsidRDefault="00310D3E">
      <w:pPr>
        <w:spacing w:before="60" w:after="200"/>
      </w:pPr>
      <w:r>
        <w:rPr>
          <w:i/>
          <w:iCs/>
          <w:sz w:val="20"/>
          <w:szCs w:val="20"/>
        </w:rPr>
        <w:t xml:space="preserve">Figure 3. Six-month cardiovascular risk migration by illness severity and initial risk category. Panel A: male patients. Panel B: female patients. Each stacked bar shows the outcome distribution at six months for patients starting in a given initial risk category. Note the near-complete upward migration in severe/low-risk men (80.4% deterioration) and the 56.2% </w:t>
      </w:r>
      <w:proofErr w:type="spellStart"/>
      <w:r>
        <w:rPr>
          <w:i/>
          <w:iCs/>
          <w:sz w:val="20"/>
          <w:szCs w:val="20"/>
        </w:rPr>
        <w:t>TnI</w:t>
      </w:r>
      <w:proofErr w:type="spellEnd"/>
      <w:r>
        <w:rPr>
          <w:i/>
          <w:iCs/>
          <w:sz w:val="20"/>
          <w:szCs w:val="20"/>
        </w:rPr>
        <w:t>+ conversion in severe/moderate-risk women.</w:t>
      </w:r>
    </w:p>
    <w:p w:rsidR="00582C7F" w:rsidRDefault="00310D3E">
      <w:pPr>
        <w:spacing w:before="240" w:after="80"/>
      </w:pPr>
      <w:r>
        <w:rPr>
          <w:b/>
          <w:sz w:val="20"/>
        </w:rPr>
        <w:t>Table 2. Six-Month Cardiovascular Risk Migration by Baseline Category, Severity, and Sex</w:t>
      </w:r>
    </w:p>
    <w:tbl>
      <w:tblPr>
        <w:tblW w:w="9360" w:type="dxa"/>
        <w:tblBorders>
          <w:top w:val="single" w:sz="6" w:space="0" w:color="2E4057"/>
          <w:left w:val="single" w:sz="6" w:space="0" w:color="2E4057"/>
          <w:bottom w:val="single" w:sz="6" w:space="0" w:color="2E4057"/>
          <w:right w:val="single" w:sz="6" w:space="0" w:color="2E4057"/>
          <w:insideH w:val="single" w:sz="2" w:space="0" w:color="C8D4DC"/>
          <w:insideV w:val="single" w:sz="2" w:space="0" w:color="C8D4DC"/>
        </w:tblBorders>
        <w:tblCellMar>
          <w:left w:w="10" w:type="dxa"/>
          <w:right w:w="10" w:type="dxa"/>
        </w:tblCellMar>
        <w:tblLook w:val="04A0" w:firstRow="1" w:lastRow="0" w:firstColumn="1" w:lastColumn="0" w:noHBand="0" w:noVBand="1"/>
      </w:tblPr>
      <w:tblGrid>
        <w:gridCol w:w="1500"/>
        <w:gridCol w:w="1000"/>
        <w:gridCol w:w="858"/>
        <w:gridCol w:w="858"/>
        <w:gridCol w:w="858"/>
        <w:gridCol w:w="858"/>
        <w:gridCol w:w="857"/>
        <w:gridCol w:w="857"/>
        <w:gridCol w:w="857"/>
        <w:gridCol w:w="857"/>
      </w:tblGrid>
      <w:tr w:rsidR="00582C7F">
        <w:trPr>
          <w:trHeight w:val="420"/>
        </w:trPr>
        <w:tc>
          <w:tcPr>
            <w:tcW w:w="1500" w:type="dxa"/>
            <w:shd w:val="clear" w:color="auto" w:fill="2E4057"/>
            <w:tcMar>
              <w:top w:w="80" w:type="dxa"/>
              <w:left w:w="100" w:type="dxa"/>
              <w:bottom w:w="80" w:type="dxa"/>
              <w:right w:w="100" w:type="dxa"/>
            </w:tcMar>
          </w:tcPr>
          <w:p w:rsidR="00582C7F" w:rsidRDefault="00310D3E">
            <w:pPr>
              <w:rPr>
                <w:b/>
                <w:color w:val="FFFFFF"/>
                <w:sz w:val="18"/>
              </w:rPr>
            </w:pPr>
            <w:r>
              <w:rPr>
                <w:b/>
                <w:color w:val="FFFFFF"/>
                <w:sz w:val="18"/>
              </w:rPr>
              <w:t>Baseline Risk Category</w:t>
            </w:r>
          </w:p>
        </w:tc>
        <w:tc>
          <w:tcPr>
            <w:tcW w:w="1000" w:type="dxa"/>
            <w:shd w:val="clear" w:color="auto" w:fill="2E4057"/>
            <w:tcMar>
              <w:top w:w="80" w:type="dxa"/>
              <w:left w:w="100" w:type="dxa"/>
              <w:bottom w:w="80" w:type="dxa"/>
              <w:right w:w="100" w:type="dxa"/>
            </w:tcMar>
          </w:tcPr>
          <w:p w:rsidR="00582C7F" w:rsidRDefault="00310D3E">
            <w:pPr>
              <w:rPr>
                <w:b/>
                <w:color w:val="FFFFFF"/>
                <w:sz w:val="18"/>
              </w:rPr>
            </w:pPr>
            <w:r>
              <w:rPr>
                <w:b/>
                <w:color w:val="FFFFFF"/>
                <w:sz w:val="18"/>
              </w:rPr>
              <w:t>Illness Severity</w:t>
            </w:r>
          </w:p>
        </w:tc>
        <w:tc>
          <w:tcPr>
            <w:tcW w:w="0" w:type="auto"/>
            <w:gridSpan w:val="4"/>
            <w:shd w:val="clear" w:color="auto" w:fill="2E4057"/>
            <w:tcMar>
              <w:top w:w="80" w:type="dxa"/>
              <w:left w:w="100" w:type="dxa"/>
              <w:bottom w:w="80" w:type="dxa"/>
              <w:right w:w="100" w:type="dxa"/>
            </w:tcMar>
          </w:tcPr>
          <w:p w:rsidR="00582C7F" w:rsidRDefault="00310D3E">
            <w:pPr>
              <w:jc w:val="center"/>
              <w:rPr>
                <w:b/>
                <w:color w:val="FFFFFF"/>
                <w:sz w:val="18"/>
              </w:rPr>
            </w:pPr>
            <w:r>
              <w:rPr>
                <w:b/>
                <w:color w:val="FFFFFF"/>
                <w:sz w:val="18"/>
              </w:rPr>
              <w:t>Male Patients at 6 Months (%)</w:t>
            </w:r>
          </w:p>
        </w:tc>
        <w:tc>
          <w:tcPr>
            <w:tcW w:w="0" w:type="auto"/>
            <w:gridSpan w:val="4"/>
            <w:shd w:val="clear" w:color="auto" w:fill="2E4057"/>
            <w:tcMar>
              <w:top w:w="80" w:type="dxa"/>
              <w:left w:w="100" w:type="dxa"/>
              <w:bottom w:w="80" w:type="dxa"/>
              <w:right w:w="100" w:type="dxa"/>
            </w:tcMar>
          </w:tcPr>
          <w:p w:rsidR="00582C7F" w:rsidRDefault="00310D3E">
            <w:pPr>
              <w:jc w:val="center"/>
              <w:rPr>
                <w:b/>
                <w:color w:val="FFFFFF"/>
                <w:sz w:val="18"/>
              </w:rPr>
            </w:pPr>
            <w:r>
              <w:rPr>
                <w:b/>
                <w:color w:val="FFFFFF"/>
                <w:sz w:val="18"/>
              </w:rPr>
              <w:t>Female Patients at 6 Months (%)</w:t>
            </w:r>
          </w:p>
        </w:tc>
      </w:tr>
      <w:tr w:rsidR="00582C7F">
        <w:trPr>
          <w:trHeight w:val="360"/>
        </w:trPr>
        <w:tc>
          <w:tcPr>
            <w:tcW w:w="1500" w:type="dxa"/>
            <w:shd w:val="clear" w:color="auto" w:fill="4A6FA5"/>
            <w:tcMar>
              <w:top w:w="80" w:type="dxa"/>
              <w:left w:w="100" w:type="dxa"/>
              <w:bottom w:w="80" w:type="dxa"/>
              <w:right w:w="100" w:type="dxa"/>
            </w:tcMar>
          </w:tcPr>
          <w:p w:rsidR="00582C7F" w:rsidRDefault="00582C7F">
            <w:pPr>
              <w:jc w:val="center"/>
              <w:rPr>
                <w:sz w:val="18"/>
              </w:rPr>
            </w:pPr>
          </w:p>
        </w:tc>
        <w:tc>
          <w:tcPr>
            <w:tcW w:w="1000" w:type="dxa"/>
            <w:shd w:val="clear" w:color="auto" w:fill="4A6FA5"/>
            <w:tcMar>
              <w:top w:w="80" w:type="dxa"/>
              <w:left w:w="100" w:type="dxa"/>
              <w:bottom w:w="80" w:type="dxa"/>
              <w:right w:w="100" w:type="dxa"/>
            </w:tcMar>
          </w:tcPr>
          <w:p w:rsidR="00582C7F" w:rsidRDefault="00582C7F">
            <w:pPr>
              <w:jc w:val="center"/>
              <w:rPr>
                <w:sz w:val="18"/>
              </w:rPr>
            </w:pPr>
          </w:p>
        </w:tc>
        <w:tc>
          <w:tcPr>
            <w:tcW w:w="858" w:type="dxa"/>
            <w:shd w:val="clear" w:color="auto" w:fill="4A6FA5"/>
            <w:tcMar>
              <w:top w:w="80" w:type="dxa"/>
              <w:left w:w="100" w:type="dxa"/>
              <w:bottom w:w="80" w:type="dxa"/>
              <w:right w:w="100" w:type="dxa"/>
            </w:tcMar>
          </w:tcPr>
          <w:p w:rsidR="00582C7F" w:rsidRDefault="00310D3E">
            <w:pPr>
              <w:jc w:val="center"/>
              <w:rPr>
                <w:b/>
                <w:color w:val="FFFFFF"/>
                <w:sz w:val="17"/>
              </w:rPr>
            </w:pPr>
            <w:r>
              <w:rPr>
                <w:b/>
                <w:color w:val="FFFFFF"/>
                <w:sz w:val="17"/>
              </w:rPr>
              <w:t>Low</w:t>
            </w:r>
          </w:p>
        </w:tc>
        <w:tc>
          <w:tcPr>
            <w:tcW w:w="858" w:type="dxa"/>
            <w:shd w:val="clear" w:color="auto" w:fill="4A6FA5"/>
            <w:tcMar>
              <w:top w:w="80" w:type="dxa"/>
              <w:left w:w="100" w:type="dxa"/>
              <w:bottom w:w="80" w:type="dxa"/>
              <w:right w:w="100" w:type="dxa"/>
            </w:tcMar>
          </w:tcPr>
          <w:p w:rsidR="00582C7F" w:rsidRDefault="00310D3E">
            <w:pPr>
              <w:jc w:val="center"/>
              <w:rPr>
                <w:b/>
                <w:color w:val="FFFFFF"/>
                <w:sz w:val="17"/>
              </w:rPr>
            </w:pPr>
            <w:r>
              <w:rPr>
                <w:b/>
                <w:color w:val="FFFFFF"/>
                <w:sz w:val="17"/>
              </w:rPr>
              <w:t>Mod</w:t>
            </w:r>
          </w:p>
        </w:tc>
        <w:tc>
          <w:tcPr>
            <w:tcW w:w="858" w:type="dxa"/>
            <w:shd w:val="clear" w:color="auto" w:fill="4A6FA5"/>
            <w:tcMar>
              <w:top w:w="80" w:type="dxa"/>
              <w:left w:w="100" w:type="dxa"/>
              <w:bottom w:w="80" w:type="dxa"/>
              <w:right w:w="100" w:type="dxa"/>
            </w:tcMar>
          </w:tcPr>
          <w:p w:rsidR="00582C7F" w:rsidRDefault="00310D3E">
            <w:pPr>
              <w:jc w:val="center"/>
              <w:rPr>
                <w:b/>
                <w:color w:val="FFFFFF"/>
                <w:sz w:val="17"/>
              </w:rPr>
            </w:pPr>
            <w:r>
              <w:rPr>
                <w:b/>
                <w:color w:val="FFFFFF"/>
                <w:sz w:val="17"/>
              </w:rPr>
              <w:t>High</w:t>
            </w:r>
          </w:p>
        </w:tc>
        <w:tc>
          <w:tcPr>
            <w:tcW w:w="858" w:type="dxa"/>
            <w:shd w:val="clear" w:color="auto" w:fill="4A6FA5"/>
            <w:tcMar>
              <w:top w:w="80" w:type="dxa"/>
              <w:left w:w="100" w:type="dxa"/>
              <w:bottom w:w="80" w:type="dxa"/>
              <w:right w:w="100" w:type="dxa"/>
            </w:tcMar>
          </w:tcPr>
          <w:p w:rsidR="00582C7F" w:rsidRDefault="00310D3E">
            <w:pPr>
              <w:jc w:val="center"/>
              <w:rPr>
                <w:b/>
                <w:color w:val="FFFFFF"/>
                <w:sz w:val="17"/>
              </w:rPr>
            </w:pPr>
            <w:proofErr w:type="spellStart"/>
            <w:r>
              <w:rPr>
                <w:b/>
                <w:color w:val="FFFFFF"/>
                <w:sz w:val="17"/>
              </w:rPr>
              <w:t>TnI</w:t>
            </w:r>
            <w:proofErr w:type="spellEnd"/>
            <w:r>
              <w:rPr>
                <w:b/>
                <w:color w:val="FFFFFF"/>
                <w:sz w:val="17"/>
              </w:rPr>
              <w:t>+</w:t>
            </w:r>
          </w:p>
        </w:tc>
        <w:tc>
          <w:tcPr>
            <w:tcW w:w="857" w:type="dxa"/>
            <w:shd w:val="clear" w:color="auto" w:fill="4A6FA5"/>
            <w:tcMar>
              <w:top w:w="80" w:type="dxa"/>
              <w:left w:w="100" w:type="dxa"/>
              <w:bottom w:w="80" w:type="dxa"/>
              <w:right w:w="100" w:type="dxa"/>
            </w:tcMar>
          </w:tcPr>
          <w:p w:rsidR="00582C7F" w:rsidRDefault="00310D3E">
            <w:pPr>
              <w:jc w:val="center"/>
              <w:rPr>
                <w:b/>
                <w:color w:val="FFFFFF"/>
                <w:sz w:val="17"/>
              </w:rPr>
            </w:pPr>
            <w:r>
              <w:rPr>
                <w:b/>
                <w:color w:val="FFFFFF"/>
                <w:sz w:val="17"/>
              </w:rPr>
              <w:t>Low</w:t>
            </w:r>
          </w:p>
        </w:tc>
        <w:tc>
          <w:tcPr>
            <w:tcW w:w="857" w:type="dxa"/>
            <w:shd w:val="clear" w:color="auto" w:fill="4A6FA5"/>
            <w:tcMar>
              <w:top w:w="80" w:type="dxa"/>
              <w:left w:w="100" w:type="dxa"/>
              <w:bottom w:w="80" w:type="dxa"/>
              <w:right w:w="100" w:type="dxa"/>
            </w:tcMar>
          </w:tcPr>
          <w:p w:rsidR="00582C7F" w:rsidRDefault="00310D3E">
            <w:pPr>
              <w:jc w:val="center"/>
              <w:rPr>
                <w:b/>
                <w:color w:val="FFFFFF"/>
                <w:sz w:val="17"/>
              </w:rPr>
            </w:pPr>
            <w:r>
              <w:rPr>
                <w:b/>
                <w:color w:val="FFFFFF"/>
                <w:sz w:val="17"/>
              </w:rPr>
              <w:t>Mod</w:t>
            </w:r>
          </w:p>
        </w:tc>
        <w:tc>
          <w:tcPr>
            <w:tcW w:w="857" w:type="dxa"/>
            <w:shd w:val="clear" w:color="auto" w:fill="4A6FA5"/>
            <w:tcMar>
              <w:top w:w="80" w:type="dxa"/>
              <w:left w:w="100" w:type="dxa"/>
              <w:bottom w:w="80" w:type="dxa"/>
              <w:right w:w="100" w:type="dxa"/>
            </w:tcMar>
          </w:tcPr>
          <w:p w:rsidR="00582C7F" w:rsidRDefault="00310D3E">
            <w:pPr>
              <w:jc w:val="center"/>
              <w:rPr>
                <w:b/>
                <w:color w:val="FFFFFF"/>
                <w:sz w:val="17"/>
              </w:rPr>
            </w:pPr>
            <w:r>
              <w:rPr>
                <w:b/>
                <w:color w:val="FFFFFF"/>
                <w:sz w:val="17"/>
              </w:rPr>
              <w:t>High</w:t>
            </w:r>
          </w:p>
        </w:tc>
        <w:tc>
          <w:tcPr>
            <w:tcW w:w="857" w:type="dxa"/>
            <w:shd w:val="clear" w:color="auto" w:fill="4A6FA5"/>
            <w:tcMar>
              <w:top w:w="80" w:type="dxa"/>
              <w:left w:w="100" w:type="dxa"/>
              <w:bottom w:w="80" w:type="dxa"/>
              <w:right w:w="100" w:type="dxa"/>
            </w:tcMar>
          </w:tcPr>
          <w:p w:rsidR="00582C7F" w:rsidRDefault="00310D3E">
            <w:pPr>
              <w:jc w:val="center"/>
              <w:rPr>
                <w:b/>
                <w:color w:val="FFFFFF"/>
                <w:sz w:val="17"/>
              </w:rPr>
            </w:pPr>
            <w:proofErr w:type="spellStart"/>
            <w:r>
              <w:rPr>
                <w:b/>
                <w:color w:val="FFFFFF"/>
                <w:sz w:val="17"/>
              </w:rPr>
              <w:t>TnI</w:t>
            </w:r>
            <w:proofErr w:type="spellEnd"/>
            <w:r>
              <w:rPr>
                <w:b/>
                <w:color w:val="FFFFFF"/>
                <w:sz w:val="17"/>
              </w:rPr>
              <w:t>+</w:t>
            </w:r>
          </w:p>
        </w:tc>
      </w:tr>
      <w:tr w:rsidR="00582C7F">
        <w:trPr>
          <w:trHeight w:val="300"/>
        </w:trPr>
        <w:tc>
          <w:tcPr>
            <w:tcW w:w="1500" w:type="dxa"/>
            <w:shd w:val="clear" w:color="auto" w:fill="E8EEF4"/>
            <w:tcMar>
              <w:top w:w="80" w:type="dxa"/>
              <w:left w:w="100" w:type="dxa"/>
              <w:bottom w:w="80" w:type="dxa"/>
              <w:right w:w="100" w:type="dxa"/>
            </w:tcMar>
          </w:tcPr>
          <w:p w:rsidR="00582C7F" w:rsidRDefault="00310D3E">
            <w:pPr>
              <w:rPr>
                <w:b/>
                <w:sz w:val="18"/>
              </w:rPr>
            </w:pPr>
            <w:r>
              <w:rPr>
                <w:b/>
                <w:sz w:val="18"/>
              </w:rPr>
              <w:t>Low Risk</w:t>
            </w:r>
          </w:p>
        </w:tc>
        <w:tc>
          <w:tcPr>
            <w:tcW w:w="1000" w:type="dxa"/>
            <w:shd w:val="clear" w:color="auto" w:fill="E8EEF4"/>
            <w:tcMar>
              <w:top w:w="80" w:type="dxa"/>
              <w:left w:w="100" w:type="dxa"/>
              <w:bottom w:w="80" w:type="dxa"/>
              <w:right w:w="100" w:type="dxa"/>
            </w:tcMar>
          </w:tcPr>
          <w:p w:rsidR="00582C7F" w:rsidRDefault="00310D3E">
            <w:pPr>
              <w:rPr>
                <w:sz w:val="18"/>
              </w:rPr>
            </w:pPr>
            <w:r>
              <w:rPr>
                <w:sz w:val="18"/>
              </w:rPr>
              <w:t>Severe</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19.6</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17.4</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52.2</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10.8</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38.1</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24.6</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27.8</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9.5</w:t>
            </w:r>
          </w:p>
        </w:tc>
      </w:tr>
      <w:tr w:rsidR="00582C7F">
        <w:trPr>
          <w:trHeight w:val="300"/>
        </w:trPr>
        <w:tc>
          <w:tcPr>
            <w:tcW w:w="1500" w:type="dxa"/>
            <w:shd w:val="clear" w:color="auto" w:fill="FFFFFF"/>
            <w:tcMar>
              <w:top w:w="80" w:type="dxa"/>
              <w:left w:w="100" w:type="dxa"/>
              <w:bottom w:w="80" w:type="dxa"/>
              <w:right w:w="100" w:type="dxa"/>
            </w:tcMar>
          </w:tcPr>
          <w:p w:rsidR="00582C7F" w:rsidRDefault="00310D3E">
            <w:pPr>
              <w:rPr>
                <w:b/>
                <w:sz w:val="18"/>
              </w:rPr>
            </w:pPr>
            <w:r>
              <w:rPr>
                <w:b/>
                <w:sz w:val="18"/>
              </w:rPr>
              <w:t>Low Risk</w:t>
            </w:r>
          </w:p>
        </w:tc>
        <w:tc>
          <w:tcPr>
            <w:tcW w:w="1000" w:type="dxa"/>
            <w:shd w:val="clear" w:color="auto" w:fill="FFFFFF"/>
            <w:tcMar>
              <w:top w:w="80" w:type="dxa"/>
              <w:left w:w="100" w:type="dxa"/>
              <w:bottom w:w="80" w:type="dxa"/>
              <w:right w:w="100" w:type="dxa"/>
            </w:tcMar>
          </w:tcPr>
          <w:p w:rsidR="00582C7F" w:rsidRDefault="00310D3E">
            <w:pPr>
              <w:rPr>
                <w:sz w:val="18"/>
              </w:rPr>
            </w:pPr>
            <w:r>
              <w:rPr>
                <w:sz w:val="18"/>
              </w:rPr>
              <w:t>Moderate</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42.1</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31.6</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21.9</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4.4</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55.3</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28.2</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14.1</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2.4</w:t>
            </w:r>
          </w:p>
        </w:tc>
      </w:tr>
      <w:tr w:rsidR="00582C7F">
        <w:trPr>
          <w:trHeight w:val="300"/>
        </w:trPr>
        <w:tc>
          <w:tcPr>
            <w:tcW w:w="1500" w:type="dxa"/>
            <w:shd w:val="clear" w:color="auto" w:fill="E8EEF4"/>
            <w:tcMar>
              <w:top w:w="80" w:type="dxa"/>
              <w:left w:w="100" w:type="dxa"/>
              <w:bottom w:w="80" w:type="dxa"/>
              <w:right w:w="100" w:type="dxa"/>
            </w:tcMar>
          </w:tcPr>
          <w:p w:rsidR="00582C7F" w:rsidRDefault="00310D3E">
            <w:pPr>
              <w:rPr>
                <w:b/>
                <w:sz w:val="18"/>
              </w:rPr>
            </w:pPr>
            <w:r>
              <w:rPr>
                <w:b/>
                <w:sz w:val="18"/>
              </w:rPr>
              <w:t>Low Risk</w:t>
            </w:r>
          </w:p>
        </w:tc>
        <w:tc>
          <w:tcPr>
            <w:tcW w:w="1000" w:type="dxa"/>
            <w:shd w:val="clear" w:color="auto" w:fill="E8EEF4"/>
            <w:tcMar>
              <w:top w:w="80" w:type="dxa"/>
              <w:left w:w="100" w:type="dxa"/>
              <w:bottom w:w="80" w:type="dxa"/>
              <w:right w:w="100" w:type="dxa"/>
            </w:tcMar>
          </w:tcPr>
          <w:p w:rsidR="00582C7F" w:rsidRDefault="00310D3E">
            <w:pPr>
              <w:rPr>
                <w:sz w:val="18"/>
              </w:rPr>
            </w:pPr>
            <w:r>
              <w:rPr>
                <w:sz w:val="18"/>
              </w:rPr>
              <w:t>Mild</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54.2</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17.2</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21.5</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7.1</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47.8</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20.9</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18.5</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12.8</w:t>
            </w:r>
          </w:p>
        </w:tc>
      </w:tr>
      <w:tr w:rsidR="00582C7F">
        <w:trPr>
          <w:trHeight w:val="300"/>
        </w:trPr>
        <w:tc>
          <w:tcPr>
            <w:tcW w:w="1500" w:type="dxa"/>
            <w:shd w:val="clear" w:color="auto" w:fill="FFFFFF"/>
            <w:tcMar>
              <w:top w:w="80" w:type="dxa"/>
              <w:left w:w="100" w:type="dxa"/>
              <w:bottom w:w="80" w:type="dxa"/>
              <w:right w:w="100" w:type="dxa"/>
            </w:tcMar>
          </w:tcPr>
          <w:p w:rsidR="00582C7F" w:rsidRDefault="00310D3E">
            <w:pPr>
              <w:rPr>
                <w:b/>
                <w:sz w:val="18"/>
              </w:rPr>
            </w:pPr>
            <w:r>
              <w:rPr>
                <w:b/>
                <w:sz w:val="18"/>
              </w:rPr>
              <w:t>Moderate Risk</w:t>
            </w:r>
          </w:p>
        </w:tc>
        <w:tc>
          <w:tcPr>
            <w:tcW w:w="1000" w:type="dxa"/>
            <w:shd w:val="clear" w:color="auto" w:fill="FFFFFF"/>
            <w:tcMar>
              <w:top w:w="80" w:type="dxa"/>
              <w:left w:w="100" w:type="dxa"/>
              <w:bottom w:w="80" w:type="dxa"/>
              <w:right w:w="100" w:type="dxa"/>
            </w:tcMar>
          </w:tcPr>
          <w:p w:rsidR="00582C7F" w:rsidRDefault="00310D3E">
            <w:pPr>
              <w:rPr>
                <w:sz w:val="18"/>
              </w:rPr>
            </w:pPr>
            <w:r>
              <w:rPr>
                <w:sz w:val="18"/>
              </w:rPr>
              <w:t>Severe</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18.3</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26.5</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32.5</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22.7</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13.2</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26.8</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37.4</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22.6</w:t>
            </w:r>
          </w:p>
        </w:tc>
      </w:tr>
      <w:tr w:rsidR="00582C7F">
        <w:trPr>
          <w:trHeight w:val="300"/>
        </w:trPr>
        <w:tc>
          <w:tcPr>
            <w:tcW w:w="1500" w:type="dxa"/>
            <w:shd w:val="clear" w:color="auto" w:fill="E8EEF4"/>
            <w:tcMar>
              <w:top w:w="80" w:type="dxa"/>
              <w:left w:w="100" w:type="dxa"/>
              <w:bottom w:w="80" w:type="dxa"/>
              <w:right w:w="100" w:type="dxa"/>
            </w:tcMar>
          </w:tcPr>
          <w:p w:rsidR="00582C7F" w:rsidRDefault="00310D3E">
            <w:pPr>
              <w:rPr>
                <w:b/>
                <w:sz w:val="18"/>
              </w:rPr>
            </w:pPr>
            <w:r>
              <w:rPr>
                <w:b/>
                <w:sz w:val="18"/>
              </w:rPr>
              <w:t>Moderate Risk</w:t>
            </w:r>
          </w:p>
        </w:tc>
        <w:tc>
          <w:tcPr>
            <w:tcW w:w="1000" w:type="dxa"/>
            <w:shd w:val="clear" w:color="auto" w:fill="E8EEF4"/>
            <w:tcMar>
              <w:top w:w="80" w:type="dxa"/>
              <w:left w:w="100" w:type="dxa"/>
              <w:bottom w:w="80" w:type="dxa"/>
              <w:right w:w="100" w:type="dxa"/>
            </w:tcMar>
          </w:tcPr>
          <w:p w:rsidR="00582C7F" w:rsidRDefault="00310D3E">
            <w:pPr>
              <w:rPr>
                <w:sz w:val="18"/>
              </w:rPr>
            </w:pPr>
            <w:r>
              <w:rPr>
                <w:sz w:val="18"/>
              </w:rPr>
              <w:t>Moderate</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31.4</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38.2</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22.3</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8.1</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28.6</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42.3</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20.5</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8.6</w:t>
            </w:r>
          </w:p>
        </w:tc>
      </w:tr>
      <w:tr w:rsidR="00582C7F">
        <w:trPr>
          <w:trHeight w:val="300"/>
        </w:trPr>
        <w:tc>
          <w:tcPr>
            <w:tcW w:w="1500" w:type="dxa"/>
            <w:shd w:val="clear" w:color="auto" w:fill="FFFFFF"/>
            <w:tcMar>
              <w:top w:w="80" w:type="dxa"/>
              <w:left w:w="100" w:type="dxa"/>
              <w:bottom w:w="80" w:type="dxa"/>
              <w:right w:w="100" w:type="dxa"/>
            </w:tcMar>
          </w:tcPr>
          <w:p w:rsidR="00582C7F" w:rsidRDefault="00310D3E">
            <w:pPr>
              <w:rPr>
                <w:b/>
                <w:sz w:val="18"/>
              </w:rPr>
            </w:pPr>
            <w:r>
              <w:rPr>
                <w:b/>
                <w:sz w:val="18"/>
              </w:rPr>
              <w:t>Moderate Risk</w:t>
            </w:r>
          </w:p>
        </w:tc>
        <w:tc>
          <w:tcPr>
            <w:tcW w:w="1000" w:type="dxa"/>
            <w:shd w:val="clear" w:color="auto" w:fill="FFFFFF"/>
            <w:tcMar>
              <w:top w:w="80" w:type="dxa"/>
              <w:left w:w="100" w:type="dxa"/>
              <w:bottom w:w="80" w:type="dxa"/>
              <w:right w:w="100" w:type="dxa"/>
            </w:tcMar>
          </w:tcPr>
          <w:p w:rsidR="00582C7F" w:rsidRDefault="00310D3E">
            <w:pPr>
              <w:rPr>
                <w:sz w:val="18"/>
              </w:rPr>
            </w:pPr>
            <w:r>
              <w:rPr>
                <w:sz w:val="18"/>
              </w:rPr>
              <w:t>Mild</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45.8</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33.1</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15.7</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5.4</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41.2</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35.6</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17.9</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5.3</w:t>
            </w:r>
          </w:p>
        </w:tc>
      </w:tr>
      <w:tr w:rsidR="00582C7F">
        <w:trPr>
          <w:trHeight w:val="300"/>
        </w:trPr>
        <w:tc>
          <w:tcPr>
            <w:tcW w:w="1500" w:type="dxa"/>
            <w:shd w:val="clear" w:color="auto" w:fill="E8EEF4"/>
            <w:tcMar>
              <w:top w:w="80" w:type="dxa"/>
              <w:left w:w="100" w:type="dxa"/>
              <w:bottom w:w="80" w:type="dxa"/>
              <w:right w:w="100" w:type="dxa"/>
            </w:tcMar>
          </w:tcPr>
          <w:p w:rsidR="00582C7F" w:rsidRDefault="00310D3E">
            <w:pPr>
              <w:rPr>
                <w:b/>
                <w:sz w:val="18"/>
              </w:rPr>
            </w:pPr>
            <w:r>
              <w:rPr>
                <w:b/>
                <w:sz w:val="18"/>
              </w:rPr>
              <w:t>High Risk</w:t>
            </w:r>
          </w:p>
        </w:tc>
        <w:tc>
          <w:tcPr>
            <w:tcW w:w="1000" w:type="dxa"/>
            <w:shd w:val="clear" w:color="auto" w:fill="E8EEF4"/>
            <w:tcMar>
              <w:top w:w="80" w:type="dxa"/>
              <w:left w:w="100" w:type="dxa"/>
              <w:bottom w:w="80" w:type="dxa"/>
              <w:right w:w="100" w:type="dxa"/>
            </w:tcMar>
          </w:tcPr>
          <w:p w:rsidR="00582C7F" w:rsidRDefault="00310D3E">
            <w:pPr>
              <w:rPr>
                <w:sz w:val="18"/>
              </w:rPr>
            </w:pPr>
            <w:r>
              <w:rPr>
                <w:sz w:val="18"/>
              </w:rPr>
              <w:t>Severe</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5.6</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12.3</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48.9</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33.2</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7.1</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15.4</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52.3</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25.2</w:t>
            </w:r>
          </w:p>
        </w:tc>
      </w:tr>
      <w:tr w:rsidR="00582C7F">
        <w:trPr>
          <w:trHeight w:val="300"/>
        </w:trPr>
        <w:tc>
          <w:tcPr>
            <w:tcW w:w="1500" w:type="dxa"/>
            <w:shd w:val="clear" w:color="auto" w:fill="FFFFFF"/>
            <w:tcMar>
              <w:top w:w="80" w:type="dxa"/>
              <w:left w:w="100" w:type="dxa"/>
              <w:bottom w:w="80" w:type="dxa"/>
              <w:right w:w="100" w:type="dxa"/>
            </w:tcMar>
          </w:tcPr>
          <w:p w:rsidR="00582C7F" w:rsidRDefault="00310D3E">
            <w:pPr>
              <w:rPr>
                <w:b/>
                <w:sz w:val="18"/>
              </w:rPr>
            </w:pPr>
            <w:r>
              <w:rPr>
                <w:b/>
                <w:sz w:val="18"/>
              </w:rPr>
              <w:t>High Risk</w:t>
            </w:r>
          </w:p>
        </w:tc>
        <w:tc>
          <w:tcPr>
            <w:tcW w:w="1000" w:type="dxa"/>
            <w:shd w:val="clear" w:color="auto" w:fill="FFFFFF"/>
            <w:tcMar>
              <w:top w:w="80" w:type="dxa"/>
              <w:left w:w="100" w:type="dxa"/>
              <w:bottom w:w="80" w:type="dxa"/>
              <w:right w:w="100" w:type="dxa"/>
            </w:tcMar>
          </w:tcPr>
          <w:p w:rsidR="00582C7F" w:rsidRDefault="00310D3E">
            <w:pPr>
              <w:rPr>
                <w:sz w:val="18"/>
              </w:rPr>
            </w:pPr>
            <w:r>
              <w:rPr>
                <w:sz w:val="18"/>
              </w:rPr>
              <w:t>Moderate</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12.4</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21.6</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51.3</w:t>
            </w:r>
          </w:p>
        </w:tc>
        <w:tc>
          <w:tcPr>
            <w:tcW w:w="858" w:type="dxa"/>
            <w:shd w:val="clear" w:color="auto" w:fill="FFFFFF"/>
            <w:tcMar>
              <w:top w:w="80" w:type="dxa"/>
              <w:left w:w="100" w:type="dxa"/>
              <w:bottom w:w="80" w:type="dxa"/>
              <w:right w:w="100" w:type="dxa"/>
            </w:tcMar>
          </w:tcPr>
          <w:p w:rsidR="00582C7F" w:rsidRDefault="00310D3E">
            <w:pPr>
              <w:jc w:val="center"/>
              <w:rPr>
                <w:sz w:val="18"/>
              </w:rPr>
            </w:pPr>
            <w:r>
              <w:rPr>
                <w:sz w:val="18"/>
              </w:rPr>
              <w:t>14.7</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14.8</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23.1</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48.6</w:t>
            </w:r>
          </w:p>
        </w:tc>
        <w:tc>
          <w:tcPr>
            <w:tcW w:w="857" w:type="dxa"/>
            <w:shd w:val="clear" w:color="auto" w:fill="FFFFFF"/>
            <w:tcMar>
              <w:top w:w="80" w:type="dxa"/>
              <w:left w:w="100" w:type="dxa"/>
              <w:bottom w:w="80" w:type="dxa"/>
              <w:right w:w="100" w:type="dxa"/>
            </w:tcMar>
          </w:tcPr>
          <w:p w:rsidR="00582C7F" w:rsidRDefault="00310D3E">
            <w:pPr>
              <w:jc w:val="center"/>
              <w:rPr>
                <w:sz w:val="18"/>
              </w:rPr>
            </w:pPr>
            <w:r>
              <w:rPr>
                <w:sz w:val="18"/>
              </w:rPr>
              <w:t>13.5</w:t>
            </w:r>
          </w:p>
        </w:tc>
      </w:tr>
      <w:tr w:rsidR="00582C7F">
        <w:trPr>
          <w:trHeight w:val="300"/>
        </w:trPr>
        <w:tc>
          <w:tcPr>
            <w:tcW w:w="1500" w:type="dxa"/>
            <w:shd w:val="clear" w:color="auto" w:fill="E8EEF4"/>
            <w:tcMar>
              <w:top w:w="80" w:type="dxa"/>
              <w:left w:w="100" w:type="dxa"/>
              <w:bottom w:w="80" w:type="dxa"/>
              <w:right w:w="100" w:type="dxa"/>
            </w:tcMar>
          </w:tcPr>
          <w:p w:rsidR="00582C7F" w:rsidRDefault="00310D3E">
            <w:pPr>
              <w:rPr>
                <w:b/>
                <w:sz w:val="18"/>
              </w:rPr>
            </w:pPr>
            <w:r>
              <w:rPr>
                <w:b/>
                <w:sz w:val="18"/>
              </w:rPr>
              <w:t>High Risk</w:t>
            </w:r>
          </w:p>
        </w:tc>
        <w:tc>
          <w:tcPr>
            <w:tcW w:w="1000" w:type="dxa"/>
            <w:shd w:val="clear" w:color="auto" w:fill="E8EEF4"/>
            <w:tcMar>
              <w:top w:w="80" w:type="dxa"/>
              <w:left w:w="100" w:type="dxa"/>
              <w:bottom w:w="80" w:type="dxa"/>
              <w:right w:w="100" w:type="dxa"/>
            </w:tcMar>
          </w:tcPr>
          <w:p w:rsidR="00582C7F" w:rsidRDefault="00310D3E">
            <w:pPr>
              <w:rPr>
                <w:sz w:val="18"/>
              </w:rPr>
            </w:pPr>
            <w:r>
              <w:rPr>
                <w:sz w:val="18"/>
              </w:rPr>
              <w:t>Mild</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18.7</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28.4</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43.6</w:t>
            </w:r>
          </w:p>
        </w:tc>
        <w:tc>
          <w:tcPr>
            <w:tcW w:w="858" w:type="dxa"/>
            <w:shd w:val="clear" w:color="auto" w:fill="E8EEF4"/>
            <w:tcMar>
              <w:top w:w="80" w:type="dxa"/>
              <w:left w:w="100" w:type="dxa"/>
              <w:bottom w:w="80" w:type="dxa"/>
              <w:right w:w="100" w:type="dxa"/>
            </w:tcMar>
          </w:tcPr>
          <w:p w:rsidR="00582C7F" w:rsidRDefault="00310D3E">
            <w:pPr>
              <w:jc w:val="center"/>
              <w:rPr>
                <w:sz w:val="18"/>
              </w:rPr>
            </w:pPr>
            <w:r>
              <w:rPr>
                <w:sz w:val="18"/>
              </w:rPr>
              <w:t>9.3</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20.3</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30.2</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39.8</w:t>
            </w:r>
          </w:p>
        </w:tc>
        <w:tc>
          <w:tcPr>
            <w:tcW w:w="857" w:type="dxa"/>
            <w:shd w:val="clear" w:color="auto" w:fill="E8EEF4"/>
            <w:tcMar>
              <w:top w:w="80" w:type="dxa"/>
              <w:left w:w="100" w:type="dxa"/>
              <w:bottom w:w="80" w:type="dxa"/>
              <w:right w:w="100" w:type="dxa"/>
            </w:tcMar>
          </w:tcPr>
          <w:p w:rsidR="00582C7F" w:rsidRDefault="00310D3E">
            <w:pPr>
              <w:jc w:val="center"/>
              <w:rPr>
                <w:sz w:val="18"/>
              </w:rPr>
            </w:pPr>
            <w:r>
              <w:rPr>
                <w:sz w:val="18"/>
              </w:rPr>
              <w:t>9.7</w:t>
            </w:r>
          </w:p>
        </w:tc>
      </w:tr>
    </w:tbl>
    <w:p w:rsidR="00582C7F" w:rsidRDefault="00310D3E">
      <w:pPr>
        <w:spacing w:before="60" w:after="180"/>
      </w:pPr>
      <w:r>
        <w:rPr>
          <w:i/>
          <w:sz w:val="18"/>
        </w:rPr>
        <w:t xml:space="preserve">Values represent percentage of patients in each baseline risk category migrating to each outcome category at six months. </w:t>
      </w:r>
      <w:proofErr w:type="spellStart"/>
      <w:r>
        <w:rPr>
          <w:i/>
          <w:sz w:val="18"/>
        </w:rPr>
        <w:t>TnI</w:t>
      </w:r>
      <w:proofErr w:type="spellEnd"/>
      <w:r>
        <w:rPr>
          <w:i/>
          <w:sz w:val="18"/>
        </w:rPr>
        <w:t xml:space="preserve">+ = </w:t>
      </w:r>
      <w:proofErr w:type="spellStart"/>
      <w:r>
        <w:rPr>
          <w:i/>
          <w:sz w:val="18"/>
        </w:rPr>
        <w:t>hs-cTnI</w:t>
      </w:r>
      <w:proofErr w:type="spellEnd"/>
      <w:r>
        <w:rPr>
          <w:i/>
          <w:sz w:val="18"/>
        </w:rPr>
        <w:t xml:space="preserve"> above sex-specific clinical decision limit. Mod = Moderate risk sub-category.</w:t>
      </w:r>
    </w:p>
    <w:p w:rsidR="00582C7F" w:rsidRDefault="00310D3E">
      <w:pPr>
        <w:spacing w:before="360" w:after="80"/>
      </w:pPr>
      <w:r>
        <w:rPr>
          <w:b/>
          <w:bCs/>
          <w:i/>
          <w:iCs/>
        </w:rPr>
        <w:t>3.5 Biomarker Co-Elevations</w:t>
      </w:r>
    </w:p>
    <w:p w:rsidR="00582C7F" w:rsidRDefault="00310D3E">
      <w:pPr>
        <w:spacing w:before="120" w:after="60" w:line="480" w:lineRule="auto"/>
        <w:ind w:firstLine="720"/>
        <w:jc w:val="both"/>
      </w:pPr>
      <w:r>
        <w:lastRenderedPageBreak/>
        <w:t xml:space="preserve">D-dimer was elevated in 92.4% of severe-illness, 88.7% of moderate-illness, and 90.7% of mild-illness </w:t>
      </w:r>
      <w:proofErr w:type="spellStart"/>
      <w:r>
        <w:t>hs</w:t>
      </w:r>
      <w:proofErr w:type="spellEnd"/>
      <w:r>
        <w:t>-</w:t>
      </w:r>
      <w:proofErr w:type="spellStart"/>
      <w:r>
        <w:t>cTnI</w:t>
      </w:r>
      <w:proofErr w:type="spellEnd"/>
      <w:r>
        <w:t xml:space="preserve">-negative </w:t>
      </w:r>
      <w:proofErr w:type="gramStart"/>
      <w:r>
        <w:t>patients.</w:t>
      </w:r>
      <w:r>
        <w:rPr>
          <w:b/>
          <w:bCs/>
          <w:color w:val="1A1A2E"/>
          <w:sz w:val="20"/>
          <w:szCs w:val="20"/>
          <w:vertAlign w:val="superscript"/>
        </w:rPr>
        <w:t>[</w:t>
      </w:r>
      <w:proofErr w:type="gramEnd"/>
      <w:r>
        <w:rPr>
          <w:b/>
          <w:bCs/>
          <w:color w:val="1A1A2E"/>
          <w:sz w:val="20"/>
          <w:szCs w:val="20"/>
          <w:vertAlign w:val="superscript"/>
        </w:rPr>
        <w:t>10,23]</w:t>
      </w:r>
      <w:r>
        <w:t xml:space="preserve"> NT-</w:t>
      </w:r>
      <w:proofErr w:type="spellStart"/>
      <w:r>
        <w:t>proBNP</w:t>
      </w:r>
      <w:proofErr w:type="spellEnd"/>
      <w:r>
        <w:t xml:space="preserve"> was elevated in 79-92%, CRP in 79-85%, ferritin in 87-93%, and IL-6 in 69-92% across severity groups. This near-universal elevation of </w:t>
      </w:r>
      <w:proofErr w:type="spellStart"/>
      <w:r>
        <w:t>thromboinflammatory</w:t>
      </w:r>
      <w:proofErr w:type="spellEnd"/>
      <w:r>
        <w:t xml:space="preserve"> markers -- even in mild illness and among troponin-negative patients -- confirms that COVID-19 induces a systemic </w:t>
      </w:r>
      <w:proofErr w:type="spellStart"/>
      <w:r>
        <w:t>thromboinflammatory</w:t>
      </w:r>
      <w:proofErr w:type="spellEnd"/>
      <w:r>
        <w:t xml:space="preserve"> state affecting the cardiovascular system independently of the respiratory </w:t>
      </w:r>
      <w:proofErr w:type="gramStart"/>
      <w:r>
        <w:t>phenotype.</w:t>
      </w:r>
      <w:r>
        <w:rPr>
          <w:b/>
          <w:bCs/>
          <w:color w:val="1A1A2E"/>
          <w:sz w:val="20"/>
          <w:szCs w:val="20"/>
          <w:vertAlign w:val="superscript"/>
        </w:rPr>
        <w:t>[</w:t>
      </w:r>
      <w:proofErr w:type="gramEnd"/>
      <w:r>
        <w:rPr>
          <w:b/>
          <w:bCs/>
          <w:color w:val="1A1A2E"/>
          <w:sz w:val="20"/>
          <w:szCs w:val="20"/>
          <w:vertAlign w:val="superscript"/>
        </w:rPr>
        <w:t>5,10,16]</w:t>
      </w:r>
    </w:p>
    <w:p w:rsidR="00582C7F" w:rsidRDefault="00310D3E">
      <w:pPr>
        <w:spacing w:before="120" w:after="60"/>
        <w:jc w:val="center"/>
      </w:pPr>
      <w:r>
        <w:rPr>
          <w:noProof/>
        </w:rPr>
        <w:drawing>
          <wp:inline distT="0" distB="0" distL="0" distR="0">
            <wp:extent cx="5905500" cy="2562225"/>
            <wp:effectExtent l="0" t="0" r="0" b="0"/>
            <wp:docPr id="4" name="Figure 4 – Biomarker co-elevations" descr="Figure 4 – Biomarker co-elevations" title="Figure 4 – Biomarker co-ele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562225"/>
                    </a:xfrm>
                    <a:prstGeom prst="rect">
                      <a:avLst/>
                    </a:prstGeom>
                  </pic:spPr>
                </pic:pic>
              </a:graphicData>
            </a:graphic>
          </wp:inline>
        </w:drawing>
      </w:r>
    </w:p>
    <w:p w:rsidR="00582C7F" w:rsidRDefault="00310D3E">
      <w:pPr>
        <w:spacing w:before="60" w:after="200"/>
      </w:pPr>
      <w:r>
        <w:rPr>
          <w:i/>
          <w:iCs/>
          <w:sz w:val="20"/>
          <w:szCs w:val="20"/>
        </w:rPr>
        <w:t xml:space="preserve">Figure 4. </w:t>
      </w:r>
      <w:proofErr w:type="spellStart"/>
      <w:r>
        <w:rPr>
          <w:i/>
          <w:iCs/>
          <w:sz w:val="20"/>
          <w:szCs w:val="20"/>
        </w:rPr>
        <w:t>Thromboinflammatory</w:t>
      </w:r>
      <w:proofErr w:type="spellEnd"/>
      <w:r>
        <w:rPr>
          <w:i/>
          <w:iCs/>
          <w:sz w:val="20"/>
          <w:szCs w:val="20"/>
        </w:rPr>
        <w:t xml:space="preserve"> biomarker co-elevation patterns in </w:t>
      </w:r>
      <w:proofErr w:type="spellStart"/>
      <w:r>
        <w:rPr>
          <w:i/>
          <w:iCs/>
          <w:sz w:val="20"/>
          <w:szCs w:val="20"/>
        </w:rPr>
        <w:t>hs</w:t>
      </w:r>
      <w:proofErr w:type="spellEnd"/>
      <w:r>
        <w:rPr>
          <w:i/>
          <w:iCs/>
          <w:sz w:val="20"/>
          <w:szCs w:val="20"/>
        </w:rPr>
        <w:t>-</w:t>
      </w:r>
      <w:proofErr w:type="spellStart"/>
      <w:r>
        <w:rPr>
          <w:i/>
          <w:iCs/>
          <w:sz w:val="20"/>
          <w:szCs w:val="20"/>
        </w:rPr>
        <w:t>cTnI</w:t>
      </w:r>
      <w:proofErr w:type="spellEnd"/>
      <w:r>
        <w:rPr>
          <w:i/>
          <w:iCs/>
          <w:sz w:val="20"/>
          <w:szCs w:val="20"/>
        </w:rPr>
        <w:t xml:space="preserve">-negative patients. Panel A: grouped bar chart showing percentage of patients with elevation of each biomarker across severity groups. Panel B: radar chart of biomarker profiles. D-dimer elevation in 88.7–92.4% of </w:t>
      </w:r>
      <w:proofErr w:type="spellStart"/>
      <w:r>
        <w:rPr>
          <w:i/>
          <w:iCs/>
          <w:sz w:val="20"/>
          <w:szCs w:val="20"/>
        </w:rPr>
        <w:t>TnI</w:t>
      </w:r>
      <w:proofErr w:type="spellEnd"/>
      <w:r>
        <w:rPr>
          <w:i/>
          <w:iCs/>
          <w:sz w:val="20"/>
          <w:szCs w:val="20"/>
        </w:rPr>
        <w:t xml:space="preserve">-negative patients indicates near-universal </w:t>
      </w:r>
      <w:proofErr w:type="spellStart"/>
      <w:r>
        <w:rPr>
          <w:i/>
          <w:iCs/>
          <w:sz w:val="20"/>
          <w:szCs w:val="20"/>
        </w:rPr>
        <w:t>microthrombotic</w:t>
      </w:r>
      <w:proofErr w:type="spellEnd"/>
      <w:r>
        <w:rPr>
          <w:i/>
          <w:iCs/>
          <w:sz w:val="20"/>
          <w:szCs w:val="20"/>
        </w:rPr>
        <w:t xml:space="preserve"> activity even without overt </w:t>
      </w:r>
      <w:proofErr w:type="spellStart"/>
      <w:r>
        <w:rPr>
          <w:i/>
          <w:iCs/>
          <w:sz w:val="20"/>
          <w:szCs w:val="20"/>
        </w:rPr>
        <w:t>cardiomyocyte</w:t>
      </w:r>
      <w:proofErr w:type="spellEnd"/>
      <w:r>
        <w:rPr>
          <w:i/>
          <w:iCs/>
          <w:sz w:val="20"/>
          <w:szCs w:val="20"/>
        </w:rPr>
        <w:t xml:space="preserve"> injury.</w:t>
      </w:r>
    </w:p>
    <w:p w:rsidR="00582C7F" w:rsidRDefault="00310D3E">
      <w:pPr>
        <w:spacing w:before="360" w:after="80"/>
      </w:pPr>
      <w:r>
        <w:rPr>
          <w:b/>
          <w:bCs/>
          <w:i/>
          <w:iCs/>
        </w:rPr>
        <w:t>3.6 Comorbidity and Age</w:t>
      </w:r>
    </w:p>
    <w:p w:rsidR="00582C7F" w:rsidRDefault="00310D3E">
      <w:pPr>
        <w:spacing w:before="120" w:after="60" w:line="480" w:lineRule="auto"/>
        <w:ind w:firstLine="720"/>
        <w:jc w:val="both"/>
      </w:pPr>
      <w:r>
        <w:t>Among men, diabetic patients had the highest high-risk concentration (40.4%, p = 0.044); 37.7% of hypertensive men were high-risk (p = 0.110</w:t>
      </w:r>
      <w:proofErr w:type="gramStart"/>
      <w:r>
        <w:t>).</w:t>
      </w:r>
      <w:r>
        <w:rPr>
          <w:b/>
          <w:bCs/>
          <w:color w:val="1A1A2E"/>
          <w:sz w:val="20"/>
          <w:szCs w:val="20"/>
          <w:vertAlign w:val="superscript"/>
        </w:rPr>
        <w:t>[</w:t>
      </w:r>
      <w:proofErr w:type="gramEnd"/>
      <w:r>
        <w:rPr>
          <w:b/>
          <w:bCs/>
          <w:color w:val="1A1A2E"/>
          <w:sz w:val="20"/>
          <w:szCs w:val="20"/>
          <w:vertAlign w:val="superscript"/>
        </w:rPr>
        <w:t>3,21]</w:t>
      </w:r>
      <w:r>
        <w:t xml:space="preserve"> In contrast, high-risk classification was present in only 3.0% of diabetic women and 4.8% of hypertensive w</w:t>
      </w:r>
      <w:r w:rsidR="009151E1">
        <w:t>omen (p &lt;</w:t>
      </w:r>
      <w:r>
        <w:t xml:space="preserve"> 0.001), with the majority distributed in the low-risk category. Age-gr</w:t>
      </w:r>
      <w:r w:rsidR="000C2BD6">
        <w:t>oup analysis (18-60 years vs</w:t>
      </w:r>
      <w:r>
        <w:t xml:space="preserve"> above 60) revealed no significant difference in hi</w:t>
      </w:r>
      <w:r w:rsidR="000C2BD6">
        <w:t>gh-risk proportion (30.4% vs</w:t>
      </w:r>
      <w:r>
        <w:t xml:space="preserve"> 30.1%; chi-squared = 4.04, p = 0.133), likely reflecting the high prevalence of metabolic risk factors in younger Indian </w:t>
      </w:r>
      <w:proofErr w:type="gramStart"/>
      <w:r>
        <w:t>adults.</w:t>
      </w:r>
      <w:r>
        <w:rPr>
          <w:b/>
          <w:bCs/>
          <w:color w:val="1A1A2E"/>
          <w:sz w:val="20"/>
          <w:szCs w:val="20"/>
          <w:vertAlign w:val="superscript"/>
        </w:rPr>
        <w:t>[</w:t>
      </w:r>
      <w:proofErr w:type="gramEnd"/>
      <w:r>
        <w:rPr>
          <w:b/>
          <w:bCs/>
          <w:color w:val="1A1A2E"/>
          <w:sz w:val="20"/>
          <w:szCs w:val="20"/>
          <w:vertAlign w:val="superscript"/>
        </w:rPr>
        <w:t>1,2]</w:t>
      </w:r>
    </w:p>
    <w:p w:rsidR="00582C7F" w:rsidRDefault="00310D3E">
      <w:pPr>
        <w:spacing w:before="240" w:after="80"/>
      </w:pPr>
      <w:r>
        <w:rPr>
          <w:b/>
          <w:sz w:val="20"/>
        </w:rPr>
        <w:lastRenderedPageBreak/>
        <w:t xml:space="preserve">Table 3. </w:t>
      </w:r>
      <w:proofErr w:type="spellStart"/>
      <w:r>
        <w:rPr>
          <w:b/>
          <w:sz w:val="20"/>
        </w:rPr>
        <w:t>Thromboinflammatory</w:t>
      </w:r>
      <w:proofErr w:type="spellEnd"/>
      <w:r>
        <w:rPr>
          <w:b/>
          <w:sz w:val="20"/>
        </w:rPr>
        <w:t xml:space="preserve"> Biomarker Elevation Rates in </w:t>
      </w:r>
      <w:proofErr w:type="spellStart"/>
      <w:r>
        <w:rPr>
          <w:b/>
          <w:sz w:val="20"/>
        </w:rPr>
        <w:t>hs</w:t>
      </w:r>
      <w:proofErr w:type="spellEnd"/>
      <w:r>
        <w:rPr>
          <w:b/>
          <w:sz w:val="20"/>
        </w:rPr>
        <w:t>-</w:t>
      </w:r>
      <w:proofErr w:type="spellStart"/>
      <w:r>
        <w:rPr>
          <w:b/>
          <w:sz w:val="20"/>
        </w:rPr>
        <w:t>cTnI</w:t>
      </w:r>
      <w:proofErr w:type="spellEnd"/>
      <w:r>
        <w:rPr>
          <w:b/>
          <w:sz w:val="20"/>
        </w:rPr>
        <w:t>-Negative Patients (n=984)</w:t>
      </w:r>
    </w:p>
    <w:tbl>
      <w:tblPr>
        <w:tblW w:w="9360" w:type="dxa"/>
        <w:tblBorders>
          <w:top w:val="single" w:sz="6" w:space="0" w:color="2E4057"/>
          <w:left w:val="single" w:sz="6" w:space="0" w:color="2E4057"/>
          <w:bottom w:val="single" w:sz="6" w:space="0" w:color="2E4057"/>
          <w:right w:val="single" w:sz="6" w:space="0" w:color="2E4057"/>
          <w:insideH w:val="single" w:sz="2" w:space="0" w:color="C8D4DC"/>
          <w:insideV w:val="single" w:sz="2" w:space="0" w:color="C8D4DC"/>
        </w:tblBorders>
        <w:tblCellMar>
          <w:left w:w="10" w:type="dxa"/>
          <w:right w:w="10" w:type="dxa"/>
        </w:tblCellMar>
        <w:tblLook w:val="04A0" w:firstRow="1" w:lastRow="0" w:firstColumn="1" w:lastColumn="0" w:noHBand="0" w:noVBand="1"/>
      </w:tblPr>
      <w:tblGrid>
        <w:gridCol w:w="1700"/>
        <w:gridCol w:w="1820"/>
        <w:gridCol w:w="1947"/>
        <w:gridCol w:w="1947"/>
        <w:gridCol w:w="1946"/>
      </w:tblGrid>
      <w:tr w:rsidR="00582C7F">
        <w:trPr>
          <w:trHeight w:val="420"/>
        </w:trPr>
        <w:tc>
          <w:tcPr>
            <w:tcW w:w="1700" w:type="dxa"/>
            <w:shd w:val="clear" w:color="auto" w:fill="2E4057"/>
            <w:tcMar>
              <w:top w:w="80" w:type="dxa"/>
              <w:left w:w="100" w:type="dxa"/>
              <w:bottom w:w="80" w:type="dxa"/>
              <w:right w:w="100" w:type="dxa"/>
            </w:tcMar>
          </w:tcPr>
          <w:p w:rsidR="00582C7F" w:rsidRDefault="00310D3E">
            <w:pPr>
              <w:rPr>
                <w:b/>
                <w:color w:val="FFFFFF"/>
                <w:sz w:val="18"/>
              </w:rPr>
            </w:pPr>
            <w:r>
              <w:rPr>
                <w:b/>
                <w:color w:val="FFFFFF"/>
                <w:sz w:val="18"/>
              </w:rPr>
              <w:t>Biomarker</w:t>
            </w:r>
          </w:p>
        </w:tc>
        <w:tc>
          <w:tcPr>
            <w:tcW w:w="1820" w:type="dxa"/>
            <w:shd w:val="clear" w:color="auto" w:fill="2E4057"/>
            <w:tcMar>
              <w:top w:w="80" w:type="dxa"/>
              <w:left w:w="100" w:type="dxa"/>
              <w:bottom w:w="80" w:type="dxa"/>
              <w:right w:w="100" w:type="dxa"/>
            </w:tcMar>
          </w:tcPr>
          <w:p w:rsidR="00582C7F" w:rsidRDefault="00310D3E">
            <w:pPr>
              <w:rPr>
                <w:b/>
                <w:color w:val="FFFFFF"/>
                <w:sz w:val="18"/>
              </w:rPr>
            </w:pPr>
            <w:r>
              <w:rPr>
                <w:b/>
                <w:color w:val="FFFFFF"/>
                <w:sz w:val="18"/>
              </w:rPr>
              <w:t>Elevation Threshold</w:t>
            </w:r>
          </w:p>
        </w:tc>
        <w:tc>
          <w:tcPr>
            <w:tcW w:w="1947" w:type="dxa"/>
            <w:shd w:val="clear" w:color="auto" w:fill="2E4057"/>
            <w:tcMar>
              <w:top w:w="80" w:type="dxa"/>
              <w:left w:w="100" w:type="dxa"/>
              <w:bottom w:w="80" w:type="dxa"/>
              <w:right w:w="100" w:type="dxa"/>
            </w:tcMar>
          </w:tcPr>
          <w:p w:rsidR="00582C7F" w:rsidRDefault="00310D3E">
            <w:pPr>
              <w:jc w:val="center"/>
              <w:rPr>
                <w:b/>
                <w:color w:val="FFFFFF"/>
                <w:sz w:val="18"/>
              </w:rPr>
            </w:pPr>
            <w:r>
              <w:rPr>
                <w:b/>
                <w:color w:val="FFFFFF"/>
                <w:sz w:val="18"/>
              </w:rPr>
              <w:t>Severe (n=807)</w:t>
            </w:r>
          </w:p>
        </w:tc>
        <w:tc>
          <w:tcPr>
            <w:tcW w:w="1947" w:type="dxa"/>
            <w:shd w:val="clear" w:color="auto" w:fill="2E4057"/>
            <w:tcMar>
              <w:top w:w="80" w:type="dxa"/>
              <w:left w:w="100" w:type="dxa"/>
              <w:bottom w:w="80" w:type="dxa"/>
              <w:right w:w="100" w:type="dxa"/>
            </w:tcMar>
          </w:tcPr>
          <w:p w:rsidR="00582C7F" w:rsidRDefault="00310D3E">
            <w:pPr>
              <w:jc w:val="center"/>
              <w:rPr>
                <w:b/>
                <w:color w:val="FFFFFF"/>
                <w:sz w:val="18"/>
              </w:rPr>
            </w:pPr>
            <w:r>
              <w:rPr>
                <w:b/>
                <w:color w:val="FFFFFF"/>
                <w:sz w:val="18"/>
              </w:rPr>
              <w:t>Moderate (n=820)</w:t>
            </w:r>
          </w:p>
        </w:tc>
        <w:tc>
          <w:tcPr>
            <w:tcW w:w="1946" w:type="dxa"/>
            <w:shd w:val="clear" w:color="auto" w:fill="2E4057"/>
            <w:tcMar>
              <w:top w:w="80" w:type="dxa"/>
              <w:left w:w="100" w:type="dxa"/>
              <w:bottom w:w="80" w:type="dxa"/>
              <w:right w:w="100" w:type="dxa"/>
            </w:tcMar>
          </w:tcPr>
          <w:p w:rsidR="00582C7F" w:rsidRDefault="00310D3E">
            <w:pPr>
              <w:jc w:val="center"/>
              <w:rPr>
                <w:b/>
                <w:color w:val="FFFFFF"/>
                <w:sz w:val="18"/>
              </w:rPr>
            </w:pPr>
            <w:r>
              <w:rPr>
                <w:b/>
                <w:color w:val="FFFFFF"/>
                <w:sz w:val="18"/>
              </w:rPr>
              <w:t>Mild (n=436)</w:t>
            </w:r>
          </w:p>
        </w:tc>
      </w:tr>
      <w:tr w:rsidR="00582C7F">
        <w:trPr>
          <w:trHeight w:val="300"/>
        </w:trPr>
        <w:tc>
          <w:tcPr>
            <w:tcW w:w="1700" w:type="dxa"/>
            <w:shd w:val="clear" w:color="auto" w:fill="E8EEF4"/>
            <w:tcMar>
              <w:top w:w="80" w:type="dxa"/>
              <w:left w:w="100" w:type="dxa"/>
              <w:bottom w:w="80" w:type="dxa"/>
              <w:right w:w="100" w:type="dxa"/>
            </w:tcMar>
          </w:tcPr>
          <w:p w:rsidR="00582C7F" w:rsidRDefault="00310D3E">
            <w:pPr>
              <w:rPr>
                <w:b/>
                <w:sz w:val="18"/>
              </w:rPr>
            </w:pPr>
            <w:r>
              <w:rPr>
                <w:b/>
                <w:sz w:val="18"/>
              </w:rPr>
              <w:t>D-dimer</w:t>
            </w:r>
          </w:p>
        </w:tc>
        <w:tc>
          <w:tcPr>
            <w:tcW w:w="1820" w:type="dxa"/>
            <w:shd w:val="clear" w:color="auto" w:fill="E8EEF4"/>
            <w:tcMar>
              <w:top w:w="80" w:type="dxa"/>
              <w:left w:w="100" w:type="dxa"/>
              <w:bottom w:w="80" w:type="dxa"/>
              <w:right w:w="100" w:type="dxa"/>
            </w:tcMar>
          </w:tcPr>
          <w:p w:rsidR="00582C7F" w:rsidRDefault="00310D3E">
            <w:pPr>
              <w:rPr>
                <w:sz w:val="18"/>
              </w:rPr>
            </w:pPr>
            <w:r>
              <w:rPr>
                <w:sz w:val="18"/>
              </w:rPr>
              <w:t>&gt;500 ng/mL FEU</w:t>
            </w:r>
          </w:p>
        </w:tc>
        <w:tc>
          <w:tcPr>
            <w:tcW w:w="1947" w:type="dxa"/>
            <w:shd w:val="clear" w:color="auto" w:fill="E8EEF4"/>
            <w:tcMar>
              <w:top w:w="80" w:type="dxa"/>
              <w:left w:w="100" w:type="dxa"/>
              <w:bottom w:w="80" w:type="dxa"/>
              <w:right w:w="100" w:type="dxa"/>
            </w:tcMar>
          </w:tcPr>
          <w:p w:rsidR="00582C7F" w:rsidRDefault="00310D3E">
            <w:pPr>
              <w:jc w:val="center"/>
              <w:rPr>
                <w:sz w:val="18"/>
              </w:rPr>
            </w:pPr>
            <w:r>
              <w:rPr>
                <w:sz w:val="18"/>
              </w:rPr>
              <w:t>92.4%</w:t>
            </w:r>
          </w:p>
        </w:tc>
        <w:tc>
          <w:tcPr>
            <w:tcW w:w="1947" w:type="dxa"/>
            <w:shd w:val="clear" w:color="auto" w:fill="E8EEF4"/>
            <w:tcMar>
              <w:top w:w="80" w:type="dxa"/>
              <w:left w:w="100" w:type="dxa"/>
              <w:bottom w:w="80" w:type="dxa"/>
              <w:right w:w="100" w:type="dxa"/>
            </w:tcMar>
          </w:tcPr>
          <w:p w:rsidR="00582C7F" w:rsidRDefault="00310D3E">
            <w:pPr>
              <w:jc w:val="center"/>
              <w:rPr>
                <w:sz w:val="18"/>
              </w:rPr>
            </w:pPr>
            <w:r>
              <w:rPr>
                <w:sz w:val="18"/>
              </w:rPr>
              <w:t>88.7%</w:t>
            </w:r>
          </w:p>
        </w:tc>
        <w:tc>
          <w:tcPr>
            <w:tcW w:w="1946" w:type="dxa"/>
            <w:shd w:val="clear" w:color="auto" w:fill="E8EEF4"/>
            <w:tcMar>
              <w:top w:w="80" w:type="dxa"/>
              <w:left w:w="100" w:type="dxa"/>
              <w:bottom w:w="80" w:type="dxa"/>
              <w:right w:w="100" w:type="dxa"/>
            </w:tcMar>
          </w:tcPr>
          <w:p w:rsidR="00582C7F" w:rsidRDefault="00310D3E">
            <w:pPr>
              <w:jc w:val="center"/>
              <w:rPr>
                <w:sz w:val="18"/>
              </w:rPr>
            </w:pPr>
            <w:r>
              <w:rPr>
                <w:sz w:val="18"/>
              </w:rPr>
              <w:t>90.7%</w:t>
            </w:r>
          </w:p>
        </w:tc>
      </w:tr>
      <w:tr w:rsidR="00582C7F">
        <w:trPr>
          <w:trHeight w:val="300"/>
        </w:trPr>
        <w:tc>
          <w:tcPr>
            <w:tcW w:w="1700" w:type="dxa"/>
            <w:shd w:val="clear" w:color="auto" w:fill="FFFFFF"/>
            <w:tcMar>
              <w:top w:w="80" w:type="dxa"/>
              <w:left w:w="100" w:type="dxa"/>
              <w:bottom w:w="80" w:type="dxa"/>
              <w:right w:w="100" w:type="dxa"/>
            </w:tcMar>
          </w:tcPr>
          <w:p w:rsidR="00582C7F" w:rsidRDefault="00310D3E">
            <w:pPr>
              <w:rPr>
                <w:b/>
                <w:sz w:val="18"/>
              </w:rPr>
            </w:pPr>
            <w:r>
              <w:rPr>
                <w:b/>
                <w:sz w:val="18"/>
              </w:rPr>
              <w:t>NT-</w:t>
            </w:r>
            <w:proofErr w:type="spellStart"/>
            <w:r>
              <w:rPr>
                <w:b/>
                <w:sz w:val="18"/>
              </w:rPr>
              <w:t>proBNP</w:t>
            </w:r>
            <w:proofErr w:type="spellEnd"/>
          </w:p>
        </w:tc>
        <w:tc>
          <w:tcPr>
            <w:tcW w:w="1820" w:type="dxa"/>
            <w:shd w:val="clear" w:color="auto" w:fill="FFFFFF"/>
            <w:tcMar>
              <w:top w:w="80" w:type="dxa"/>
              <w:left w:w="100" w:type="dxa"/>
              <w:bottom w:w="80" w:type="dxa"/>
              <w:right w:w="100" w:type="dxa"/>
            </w:tcMar>
          </w:tcPr>
          <w:p w:rsidR="00582C7F" w:rsidRDefault="00310D3E">
            <w:pPr>
              <w:rPr>
                <w:sz w:val="18"/>
              </w:rPr>
            </w:pPr>
            <w:r>
              <w:rPr>
                <w:sz w:val="18"/>
              </w:rPr>
              <w:t>Sex/age-specific CDL</w:t>
            </w:r>
          </w:p>
        </w:tc>
        <w:tc>
          <w:tcPr>
            <w:tcW w:w="1947" w:type="dxa"/>
            <w:shd w:val="clear" w:color="auto" w:fill="FFFFFF"/>
            <w:tcMar>
              <w:top w:w="80" w:type="dxa"/>
              <w:left w:w="100" w:type="dxa"/>
              <w:bottom w:w="80" w:type="dxa"/>
              <w:right w:w="100" w:type="dxa"/>
            </w:tcMar>
          </w:tcPr>
          <w:p w:rsidR="00582C7F" w:rsidRDefault="00310D3E">
            <w:pPr>
              <w:jc w:val="center"/>
              <w:rPr>
                <w:sz w:val="18"/>
              </w:rPr>
            </w:pPr>
            <w:r>
              <w:rPr>
                <w:sz w:val="18"/>
              </w:rPr>
              <w:t>92.1%</w:t>
            </w:r>
          </w:p>
        </w:tc>
        <w:tc>
          <w:tcPr>
            <w:tcW w:w="1947" w:type="dxa"/>
            <w:shd w:val="clear" w:color="auto" w:fill="FFFFFF"/>
            <w:tcMar>
              <w:top w:w="80" w:type="dxa"/>
              <w:left w:w="100" w:type="dxa"/>
              <w:bottom w:w="80" w:type="dxa"/>
              <w:right w:w="100" w:type="dxa"/>
            </w:tcMar>
          </w:tcPr>
          <w:p w:rsidR="00582C7F" w:rsidRDefault="00310D3E">
            <w:pPr>
              <w:jc w:val="center"/>
              <w:rPr>
                <w:sz w:val="18"/>
              </w:rPr>
            </w:pPr>
            <w:r>
              <w:rPr>
                <w:sz w:val="18"/>
              </w:rPr>
              <w:t>87.3%</w:t>
            </w:r>
          </w:p>
        </w:tc>
        <w:tc>
          <w:tcPr>
            <w:tcW w:w="1946" w:type="dxa"/>
            <w:shd w:val="clear" w:color="auto" w:fill="FFFFFF"/>
            <w:tcMar>
              <w:top w:w="80" w:type="dxa"/>
              <w:left w:w="100" w:type="dxa"/>
              <w:bottom w:w="80" w:type="dxa"/>
              <w:right w:w="100" w:type="dxa"/>
            </w:tcMar>
          </w:tcPr>
          <w:p w:rsidR="00582C7F" w:rsidRDefault="00310D3E">
            <w:pPr>
              <w:jc w:val="center"/>
              <w:rPr>
                <w:sz w:val="18"/>
              </w:rPr>
            </w:pPr>
            <w:r>
              <w:rPr>
                <w:sz w:val="18"/>
              </w:rPr>
              <w:t>79.4%</w:t>
            </w:r>
          </w:p>
        </w:tc>
      </w:tr>
      <w:tr w:rsidR="00582C7F">
        <w:trPr>
          <w:trHeight w:val="300"/>
        </w:trPr>
        <w:tc>
          <w:tcPr>
            <w:tcW w:w="1700" w:type="dxa"/>
            <w:shd w:val="clear" w:color="auto" w:fill="E8EEF4"/>
            <w:tcMar>
              <w:top w:w="80" w:type="dxa"/>
              <w:left w:w="100" w:type="dxa"/>
              <w:bottom w:w="80" w:type="dxa"/>
              <w:right w:w="100" w:type="dxa"/>
            </w:tcMar>
          </w:tcPr>
          <w:p w:rsidR="00582C7F" w:rsidRDefault="00310D3E">
            <w:pPr>
              <w:rPr>
                <w:b/>
                <w:sz w:val="18"/>
              </w:rPr>
            </w:pPr>
            <w:r>
              <w:rPr>
                <w:b/>
                <w:sz w:val="18"/>
              </w:rPr>
              <w:t>CRP</w:t>
            </w:r>
          </w:p>
        </w:tc>
        <w:tc>
          <w:tcPr>
            <w:tcW w:w="1820" w:type="dxa"/>
            <w:shd w:val="clear" w:color="auto" w:fill="E8EEF4"/>
            <w:tcMar>
              <w:top w:w="80" w:type="dxa"/>
              <w:left w:w="100" w:type="dxa"/>
              <w:bottom w:w="80" w:type="dxa"/>
              <w:right w:w="100" w:type="dxa"/>
            </w:tcMar>
          </w:tcPr>
          <w:p w:rsidR="00582C7F" w:rsidRDefault="00310D3E">
            <w:pPr>
              <w:rPr>
                <w:sz w:val="18"/>
              </w:rPr>
            </w:pPr>
            <w:r>
              <w:rPr>
                <w:sz w:val="18"/>
              </w:rPr>
              <w:t>&gt;10 mg/L</w:t>
            </w:r>
          </w:p>
        </w:tc>
        <w:tc>
          <w:tcPr>
            <w:tcW w:w="1947" w:type="dxa"/>
            <w:shd w:val="clear" w:color="auto" w:fill="E8EEF4"/>
            <w:tcMar>
              <w:top w:w="80" w:type="dxa"/>
              <w:left w:w="100" w:type="dxa"/>
              <w:bottom w:w="80" w:type="dxa"/>
              <w:right w:w="100" w:type="dxa"/>
            </w:tcMar>
          </w:tcPr>
          <w:p w:rsidR="00582C7F" w:rsidRDefault="00310D3E">
            <w:pPr>
              <w:jc w:val="center"/>
              <w:rPr>
                <w:sz w:val="18"/>
              </w:rPr>
            </w:pPr>
            <w:r>
              <w:rPr>
                <w:sz w:val="18"/>
              </w:rPr>
              <w:t>85.3%</w:t>
            </w:r>
          </w:p>
        </w:tc>
        <w:tc>
          <w:tcPr>
            <w:tcW w:w="1947" w:type="dxa"/>
            <w:shd w:val="clear" w:color="auto" w:fill="E8EEF4"/>
            <w:tcMar>
              <w:top w:w="80" w:type="dxa"/>
              <w:left w:w="100" w:type="dxa"/>
              <w:bottom w:w="80" w:type="dxa"/>
              <w:right w:w="100" w:type="dxa"/>
            </w:tcMar>
          </w:tcPr>
          <w:p w:rsidR="00582C7F" w:rsidRDefault="00310D3E">
            <w:pPr>
              <w:jc w:val="center"/>
              <w:rPr>
                <w:sz w:val="18"/>
              </w:rPr>
            </w:pPr>
            <w:r>
              <w:rPr>
                <w:sz w:val="18"/>
              </w:rPr>
              <w:t>82.6%</w:t>
            </w:r>
          </w:p>
        </w:tc>
        <w:tc>
          <w:tcPr>
            <w:tcW w:w="1946" w:type="dxa"/>
            <w:shd w:val="clear" w:color="auto" w:fill="E8EEF4"/>
            <w:tcMar>
              <w:top w:w="80" w:type="dxa"/>
              <w:left w:w="100" w:type="dxa"/>
              <w:bottom w:w="80" w:type="dxa"/>
              <w:right w:w="100" w:type="dxa"/>
            </w:tcMar>
          </w:tcPr>
          <w:p w:rsidR="00582C7F" w:rsidRDefault="00310D3E">
            <w:pPr>
              <w:jc w:val="center"/>
              <w:rPr>
                <w:sz w:val="18"/>
              </w:rPr>
            </w:pPr>
            <w:r>
              <w:rPr>
                <w:sz w:val="18"/>
              </w:rPr>
              <w:t>79.1%</w:t>
            </w:r>
          </w:p>
        </w:tc>
      </w:tr>
      <w:tr w:rsidR="00582C7F">
        <w:trPr>
          <w:trHeight w:val="300"/>
        </w:trPr>
        <w:tc>
          <w:tcPr>
            <w:tcW w:w="1700" w:type="dxa"/>
            <w:shd w:val="clear" w:color="auto" w:fill="FFFFFF"/>
            <w:tcMar>
              <w:top w:w="80" w:type="dxa"/>
              <w:left w:w="100" w:type="dxa"/>
              <w:bottom w:w="80" w:type="dxa"/>
              <w:right w:w="100" w:type="dxa"/>
            </w:tcMar>
          </w:tcPr>
          <w:p w:rsidR="00582C7F" w:rsidRDefault="00310D3E">
            <w:pPr>
              <w:rPr>
                <w:b/>
                <w:sz w:val="18"/>
              </w:rPr>
            </w:pPr>
            <w:r>
              <w:rPr>
                <w:b/>
                <w:sz w:val="18"/>
              </w:rPr>
              <w:t>Ferritin</w:t>
            </w:r>
          </w:p>
        </w:tc>
        <w:tc>
          <w:tcPr>
            <w:tcW w:w="1820" w:type="dxa"/>
            <w:shd w:val="clear" w:color="auto" w:fill="FFFFFF"/>
            <w:tcMar>
              <w:top w:w="80" w:type="dxa"/>
              <w:left w:w="100" w:type="dxa"/>
              <w:bottom w:w="80" w:type="dxa"/>
              <w:right w:w="100" w:type="dxa"/>
            </w:tcMar>
          </w:tcPr>
          <w:p w:rsidR="00582C7F" w:rsidRDefault="00310D3E">
            <w:pPr>
              <w:rPr>
                <w:sz w:val="18"/>
              </w:rPr>
            </w:pPr>
            <w:r>
              <w:rPr>
                <w:sz w:val="18"/>
              </w:rPr>
              <w:t>&gt;300 ng/mL</w:t>
            </w:r>
          </w:p>
        </w:tc>
        <w:tc>
          <w:tcPr>
            <w:tcW w:w="1947" w:type="dxa"/>
            <w:shd w:val="clear" w:color="auto" w:fill="FFFFFF"/>
            <w:tcMar>
              <w:top w:w="80" w:type="dxa"/>
              <w:left w:w="100" w:type="dxa"/>
              <w:bottom w:w="80" w:type="dxa"/>
              <w:right w:w="100" w:type="dxa"/>
            </w:tcMar>
          </w:tcPr>
          <w:p w:rsidR="00582C7F" w:rsidRDefault="00310D3E">
            <w:pPr>
              <w:jc w:val="center"/>
              <w:rPr>
                <w:sz w:val="18"/>
              </w:rPr>
            </w:pPr>
            <w:r>
              <w:rPr>
                <w:sz w:val="18"/>
              </w:rPr>
              <w:t>93.2%</w:t>
            </w:r>
          </w:p>
        </w:tc>
        <w:tc>
          <w:tcPr>
            <w:tcW w:w="1947" w:type="dxa"/>
            <w:shd w:val="clear" w:color="auto" w:fill="FFFFFF"/>
            <w:tcMar>
              <w:top w:w="80" w:type="dxa"/>
              <w:left w:w="100" w:type="dxa"/>
              <w:bottom w:w="80" w:type="dxa"/>
              <w:right w:w="100" w:type="dxa"/>
            </w:tcMar>
          </w:tcPr>
          <w:p w:rsidR="00582C7F" w:rsidRDefault="00310D3E">
            <w:pPr>
              <w:jc w:val="center"/>
              <w:rPr>
                <w:sz w:val="18"/>
              </w:rPr>
            </w:pPr>
            <w:r>
              <w:rPr>
                <w:sz w:val="18"/>
              </w:rPr>
              <w:t>89.8%</w:t>
            </w:r>
          </w:p>
        </w:tc>
        <w:tc>
          <w:tcPr>
            <w:tcW w:w="1946" w:type="dxa"/>
            <w:shd w:val="clear" w:color="auto" w:fill="FFFFFF"/>
            <w:tcMar>
              <w:top w:w="80" w:type="dxa"/>
              <w:left w:w="100" w:type="dxa"/>
              <w:bottom w:w="80" w:type="dxa"/>
              <w:right w:w="100" w:type="dxa"/>
            </w:tcMar>
          </w:tcPr>
          <w:p w:rsidR="00582C7F" w:rsidRDefault="00310D3E">
            <w:pPr>
              <w:jc w:val="center"/>
              <w:rPr>
                <w:sz w:val="18"/>
              </w:rPr>
            </w:pPr>
            <w:r>
              <w:rPr>
                <w:sz w:val="18"/>
              </w:rPr>
              <w:t>87.4%</w:t>
            </w:r>
          </w:p>
        </w:tc>
      </w:tr>
      <w:tr w:rsidR="00582C7F">
        <w:trPr>
          <w:trHeight w:val="300"/>
        </w:trPr>
        <w:tc>
          <w:tcPr>
            <w:tcW w:w="1700" w:type="dxa"/>
            <w:shd w:val="clear" w:color="auto" w:fill="E8EEF4"/>
            <w:tcMar>
              <w:top w:w="80" w:type="dxa"/>
              <w:left w:w="100" w:type="dxa"/>
              <w:bottom w:w="80" w:type="dxa"/>
              <w:right w:w="100" w:type="dxa"/>
            </w:tcMar>
          </w:tcPr>
          <w:p w:rsidR="00582C7F" w:rsidRDefault="00310D3E">
            <w:pPr>
              <w:rPr>
                <w:b/>
                <w:sz w:val="18"/>
              </w:rPr>
            </w:pPr>
            <w:r>
              <w:rPr>
                <w:b/>
                <w:sz w:val="18"/>
              </w:rPr>
              <w:t>IL-6</w:t>
            </w:r>
          </w:p>
        </w:tc>
        <w:tc>
          <w:tcPr>
            <w:tcW w:w="1820" w:type="dxa"/>
            <w:shd w:val="clear" w:color="auto" w:fill="E8EEF4"/>
            <w:tcMar>
              <w:top w:w="80" w:type="dxa"/>
              <w:left w:w="100" w:type="dxa"/>
              <w:bottom w:w="80" w:type="dxa"/>
              <w:right w:w="100" w:type="dxa"/>
            </w:tcMar>
          </w:tcPr>
          <w:p w:rsidR="00582C7F" w:rsidRDefault="00310D3E">
            <w:pPr>
              <w:rPr>
                <w:sz w:val="18"/>
              </w:rPr>
            </w:pPr>
            <w:r>
              <w:rPr>
                <w:sz w:val="18"/>
              </w:rPr>
              <w:t xml:space="preserve">&gt;7 </w:t>
            </w:r>
            <w:proofErr w:type="spellStart"/>
            <w:r>
              <w:rPr>
                <w:sz w:val="18"/>
              </w:rPr>
              <w:t>pg</w:t>
            </w:r>
            <w:proofErr w:type="spellEnd"/>
            <w:r>
              <w:rPr>
                <w:sz w:val="18"/>
              </w:rPr>
              <w:t>/mL</w:t>
            </w:r>
          </w:p>
        </w:tc>
        <w:tc>
          <w:tcPr>
            <w:tcW w:w="1947" w:type="dxa"/>
            <w:shd w:val="clear" w:color="auto" w:fill="E8EEF4"/>
            <w:tcMar>
              <w:top w:w="80" w:type="dxa"/>
              <w:left w:w="100" w:type="dxa"/>
              <w:bottom w:w="80" w:type="dxa"/>
              <w:right w:w="100" w:type="dxa"/>
            </w:tcMar>
          </w:tcPr>
          <w:p w:rsidR="00582C7F" w:rsidRDefault="00310D3E">
            <w:pPr>
              <w:jc w:val="center"/>
              <w:rPr>
                <w:sz w:val="18"/>
              </w:rPr>
            </w:pPr>
            <w:r>
              <w:rPr>
                <w:sz w:val="18"/>
              </w:rPr>
              <w:t>92.4%</w:t>
            </w:r>
          </w:p>
        </w:tc>
        <w:tc>
          <w:tcPr>
            <w:tcW w:w="1947" w:type="dxa"/>
            <w:shd w:val="clear" w:color="auto" w:fill="E8EEF4"/>
            <w:tcMar>
              <w:top w:w="80" w:type="dxa"/>
              <w:left w:w="100" w:type="dxa"/>
              <w:bottom w:w="80" w:type="dxa"/>
              <w:right w:w="100" w:type="dxa"/>
            </w:tcMar>
          </w:tcPr>
          <w:p w:rsidR="00582C7F" w:rsidRDefault="00310D3E">
            <w:pPr>
              <w:jc w:val="center"/>
              <w:rPr>
                <w:sz w:val="18"/>
              </w:rPr>
            </w:pPr>
            <w:r>
              <w:rPr>
                <w:sz w:val="18"/>
              </w:rPr>
              <w:t>84.7%</w:t>
            </w:r>
          </w:p>
        </w:tc>
        <w:tc>
          <w:tcPr>
            <w:tcW w:w="1946" w:type="dxa"/>
            <w:shd w:val="clear" w:color="auto" w:fill="E8EEF4"/>
            <w:tcMar>
              <w:top w:w="80" w:type="dxa"/>
              <w:left w:w="100" w:type="dxa"/>
              <w:bottom w:w="80" w:type="dxa"/>
              <w:right w:w="100" w:type="dxa"/>
            </w:tcMar>
          </w:tcPr>
          <w:p w:rsidR="00582C7F" w:rsidRDefault="00310D3E">
            <w:pPr>
              <w:jc w:val="center"/>
              <w:rPr>
                <w:sz w:val="18"/>
              </w:rPr>
            </w:pPr>
            <w:r>
              <w:rPr>
                <w:sz w:val="18"/>
              </w:rPr>
              <w:t>69.3%</w:t>
            </w:r>
          </w:p>
        </w:tc>
      </w:tr>
    </w:tbl>
    <w:p w:rsidR="00582C7F" w:rsidRDefault="00310D3E">
      <w:pPr>
        <w:spacing w:before="60" w:after="180"/>
      </w:pPr>
      <w:r>
        <w:rPr>
          <w:i/>
          <w:sz w:val="18"/>
        </w:rPr>
        <w:t xml:space="preserve">CDL = clinical decision limit; FEU = fibrinogen equivalent units. Values represent percentage of </w:t>
      </w:r>
      <w:proofErr w:type="spellStart"/>
      <w:r>
        <w:rPr>
          <w:i/>
          <w:sz w:val="18"/>
        </w:rPr>
        <w:t>hs</w:t>
      </w:r>
      <w:proofErr w:type="spellEnd"/>
      <w:r>
        <w:rPr>
          <w:i/>
          <w:sz w:val="18"/>
        </w:rPr>
        <w:t>-</w:t>
      </w:r>
      <w:proofErr w:type="spellStart"/>
      <w:r>
        <w:rPr>
          <w:i/>
          <w:sz w:val="18"/>
        </w:rPr>
        <w:t>cTnI</w:t>
      </w:r>
      <w:proofErr w:type="spellEnd"/>
      <w:r>
        <w:rPr>
          <w:i/>
          <w:sz w:val="18"/>
        </w:rPr>
        <w:t>-negative patients with elevated biomarker at initial clinical assessment.</w:t>
      </w:r>
    </w:p>
    <w:p w:rsidR="00582C7F" w:rsidRDefault="00310D3E">
      <w:pPr>
        <w:spacing w:before="360" w:after="80"/>
      </w:pPr>
      <w:r>
        <w:rPr>
          <w:b/>
          <w:bCs/>
          <w:i/>
          <w:iCs/>
        </w:rPr>
        <w:t>3.7 Vaccine Type Analysis</w:t>
      </w:r>
    </w:p>
    <w:p w:rsidR="00582C7F" w:rsidRDefault="00310D3E">
      <w:pPr>
        <w:spacing w:before="120" w:after="60" w:line="480" w:lineRule="auto"/>
        <w:ind w:firstLine="720"/>
        <w:jc w:val="both"/>
      </w:pPr>
      <w:r>
        <w:t xml:space="preserve">No significant difference in cardiovascular risk category distribution was detected between recipients of </w:t>
      </w:r>
      <w:proofErr w:type="spellStart"/>
      <w:r>
        <w:t>Covaxin</w:t>
      </w:r>
      <w:proofErr w:type="spellEnd"/>
      <w:r>
        <w:t xml:space="preserve"> (BBV152) and </w:t>
      </w:r>
      <w:proofErr w:type="spellStart"/>
      <w:r>
        <w:t>Covishield</w:t>
      </w:r>
      <w:proofErr w:type="spellEnd"/>
      <w:r>
        <w:t xml:space="preserve"> (ChAdOx1), either in first-dose comparisons (χ² = 0.896, p = 0.639) or across subsequent dose numbers. The proportional distribution of low, moderate, and high-risk patients was essentially identical between vaccine types at each dose level, supporting the cardiovascular equivalence of the two primary COVID-19 vaccines used in India during this study period.</w:t>
      </w:r>
    </w:p>
    <w:p w:rsidR="00582C7F" w:rsidRDefault="00310D3E">
      <w:pPr>
        <w:spacing w:before="120" w:after="60"/>
        <w:jc w:val="center"/>
      </w:pPr>
      <w:r>
        <w:rPr>
          <w:noProof/>
        </w:rPr>
        <w:drawing>
          <wp:inline distT="0" distB="0" distL="0" distR="0">
            <wp:extent cx="5905500" cy="2743200"/>
            <wp:effectExtent l="0" t="0" r="0" b="0"/>
            <wp:docPr id="5" name="Figure 5 – Comorbidity and sex" descr="Figure 5 – Comorbidity and sex" title="Figure 5 – Comorbidity and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43200"/>
                    </a:xfrm>
                    <a:prstGeom prst="rect">
                      <a:avLst/>
                    </a:prstGeom>
                  </pic:spPr>
                </pic:pic>
              </a:graphicData>
            </a:graphic>
          </wp:inline>
        </w:drawing>
      </w:r>
    </w:p>
    <w:p w:rsidR="00582C7F" w:rsidRDefault="00310D3E">
      <w:pPr>
        <w:spacing w:before="60" w:after="200"/>
      </w:pPr>
      <w:r>
        <w:rPr>
          <w:i/>
          <w:iCs/>
          <w:sz w:val="20"/>
          <w:szCs w:val="20"/>
        </w:rPr>
        <w:lastRenderedPageBreak/>
        <w:t>Figure 5. Risk distribution by comorbidity and sex. Panel A: male patients stratified by comorbidity type. Panel B: female patients with the same stratification. The comorbidity-by-sex interaction was statistically significant for all female subgroups (p &lt; 0.001) but did not reach significance for male hypertension (p = 0.110).</w:t>
      </w:r>
    </w:p>
    <w:p w:rsidR="00582C7F" w:rsidRDefault="00310D3E">
      <w:pPr>
        <w:spacing w:before="360" w:after="80"/>
      </w:pPr>
      <w:r>
        <w:rPr>
          <w:b/>
          <w:bCs/>
          <w:i/>
          <w:iCs/>
        </w:rPr>
        <w:t>3.8 AI Risk Prediction Model</w:t>
      </w:r>
    </w:p>
    <w:p w:rsidR="00582C7F" w:rsidRDefault="00310D3E">
      <w:pPr>
        <w:spacing w:before="120" w:after="60" w:line="480" w:lineRule="auto"/>
        <w:ind w:firstLine="720"/>
        <w:jc w:val="both"/>
      </w:pPr>
      <w:r>
        <w:t xml:space="preserve">The logistic regression model achieved a mean AUC of 0.944 (SD +/-0.012) and overall accuracy of 87.0% (SD +/-1.7%) in five-fold cross-validation. Illness severity was the strongest predictor (beta = 2.951), followed by male sex (beta = 0.896), older age (beta = 0.791), and the severity-by-sex interaction (beta = 0.654). The model outperformed </w:t>
      </w:r>
      <w:proofErr w:type="spellStart"/>
      <w:r>
        <w:t>hs-cTnI</w:t>
      </w:r>
      <w:proofErr w:type="spellEnd"/>
      <w:r>
        <w:t xml:space="preserve"> alone (AUC = 0.891) by 5.3 percentage </w:t>
      </w:r>
      <w:proofErr w:type="gramStart"/>
      <w:r>
        <w:t>points.</w:t>
      </w:r>
      <w:r>
        <w:rPr>
          <w:b/>
          <w:bCs/>
          <w:color w:val="1A1A2E"/>
          <w:sz w:val="20"/>
          <w:szCs w:val="20"/>
          <w:vertAlign w:val="superscript"/>
        </w:rPr>
        <w:t>[</w:t>
      </w:r>
      <w:proofErr w:type="gramEnd"/>
      <w:r>
        <w:rPr>
          <w:b/>
          <w:bCs/>
          <w:color w:val="1A1A2E"/>
          <w:sz w:val="20"/>
          <w:szCs w:val="20"/>
          <w:vertAlign w:val="superscript"/>
        </w:rPr>
        <w:t>12,14]</w:t>
      </w:r>
      <w:r>
        <w:t xml:space="preserve"> A comparator random forest classifier reached AUC = 0.962, suggesting that more complex non-linear algorithms may improve performance further.</w:t>
      </w:r>
    </w:p>
    <w:p w:rsidR="00582C7F" w:rsidRDefault="00310D3E">
      <w:pPr>
        <w:spacing w:before="120" w:after="60"/>
        <w:jc w:val="center"/>
      </w:pPr>
      <w:r>
        <w:rPr>
          <w:noProof/>
        </w:rPr>
        <w:drawing>
          <wp:inline distT="0" distB="0" distL="0" distR="0">
            <wp:extent cx="5905500" cy="2562225"/>
            <wp:effectExtent l="0" t="0" r="0" b="0"/>
            <wp:docPr id="6" name="Figure 6 – AI model performance" descr="Figure 6 – AI model performance" title="Figure 6 – AI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62225"/>
                    </a:xfrm>
                    <a:prstGeom prst="rect">
                      <a:avLst/>
                    </a:prstGeom>
                  </pic:spPr>
                </pic:pic>
              </a:graphicData>
            </a:graphic>
          </wp:inline>
        </w:drawing>
      </w:r>
    </w:p>
    <w:p w:rsidR="00582C7F" w:rsidRDefault="00310D3E">
      <w:pPr>
        <w:spacing w:before="60" w:after="200"/>
      </w:pPr>
      <w:r>
        <w:rPr>
          <w:i/>
          <w:iCs/>
          <w:sz w:val="20"/>
          <w:szCs w:val="20"/>
        </w:rPr>
        <w:t xml:space="preserve">Figure 6. AI-augmented risk prediction model performance. Panel A: feature importance expressed as standardised logistic regression β-coefficients. Illness severity dominates (β = 2.951). Panel B: ROC curves for the AI logistic regression model (AUC = 0.944), random forest (AUC = 0.962), and </w:t>
      </w:r>
      <w:proofErr w:type="spellStart"/>
      <w:r>
        <w:rPr>
          <w:i/>
          <w:iCs/>
          <w:sz w:val="20"/>
          <w:szCs w:val="20"/>
        </w:rPr>
        <w:t>hs-cTnI</w:t>
      </w:r>
      <w:proofErr w:type="spellEnd"/>
      <w:r>
        <w:rPr>
          <w:i/>
          <w:iCs/>
          <w:sz w:val="20"/>
          <w:szCs w:val="20"/>
        </w:rPr>
        <w:t xml:space="preserve"> alone (AUC = 0.891). The shaded region represents the 5.3 percentage-point AUC gain from multi-variable AI integration over single-biomarker assessment.</w:t>
      </w:r>
    </w:p>
    <w:p w:rsidR="00582C7F" w:rsidRDefault="00310D3E">
      <w:pPr>
        <w:spacing w:before="120" w:after="60"/>
        <w:jc w:val="center"/>
      </w:pPr>
      <w:r>
        <w:rPr>
          <w:noProof/>
        </w:rPr>
        <w:lastRenderedPageBreak/>
        <w:drawing>
          <wp:inline distT="0" distB="0" distL="0" distR="0">
            <wp:extent cx="5905500" cy="2705100"/>
            <wp:effectExtent l="0" t="0" r="0" b="0"/>
            <wp:docPr id="7" name="Figure 7 – Age and vaccine analysis" descr="Figure 7 – Age and vaccine analysis" title="Figure 7 – Age and vaccin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05100"/>
                    </a:xfrm>
                    <a:prstGeom prst="rect">
                      <a:avLst/>
                    </a:prstGeom>
                  </pic:spPr>
                </pic:pic>
              </a:graphicData>
            </a:graphic>
          </wp:inline>
        </w:drawing>
      </w:r>
    </w:p>
    <w:p w:rsidR="00582C7F" w:rsidRDefault="00310D3E">
      <w:pPr>
        <w:spacing w:before="60" w:after="200"/>
      </w:pPr>
      <w:r>
        <w:rPr>
          <w:i/>
          <w:iCs/>
          <w:sz w:val="20"/>
          <w:szCs w:val="20"/>
        </w:rPr>
        <w:t>Figure 7. Risk distribution by age group (Panel A) and vaccine type and dose number (Panel B). Neither age group (χ² = 4.04, p = 0.133) nor vaccine type (χ² = 0.896, p = 0.639) reached statistical significance as independent predictors of cardiovascular risk category.</w:t>
      </w:r>
    </w:p>
    <w:p w:rsidR="00582C7F" w:rsidRDefault="00310D3E">
      <w:pPr>
        <w:pBdr>
          <w:bottom w:val="single" w:sz="8" w:space="0" w:color="1A1A2E"/>
        </w:pBdr>
        <w:spacing w:before="480" w:after="120"/>
      </w:pPr>
      <w:r>
        <w:rPr>
          <w:b/>
          <w:bCs/>
          <w:sz w:val="26"/>
          <w:szCs w:val="26"/>
        </w:rPr>
        <w:t>4. Discussion</w:t>
      </w:r>
    </w:p>
    <w:p w:rsidR="00582C7F" w:rsidRDefault="00310D3E" w:rsidP="000C2BD6">
      <w:pPr>
        <w:spacing w:before="120" w:after="60" w:line="480" w:lineRule="auto"/>
        <w:jc w:val="both"/>
      </w:pPr>
      <w:r>
        <w:rPr>
          <w:b/>
          <w:bCs/>
          <w:i/>
          <w:iCs/>
        </w:rPr>
        <w:t>4.1 Contextualisation Within the International Evidence</w:t>
      </w:r>
    </w:p>
    <w:p w:rsidR="00582C7F" w:rsidRDefault="00310D3E">
      <w:pPr>
        <w:spacing w:before="120" w:after="60" w:line="480" w:lineRule="auto"/>
        <w:ind w:firstLine="720"/>
        <w:jc w:val="both"/>
      </w:pPr>
      <w:r>
        <w:t>Our baseline troponin positivity of 52.3% and six-month upward migration of 63% in severe-illness low-risk men are consistent with the most rigorous international series.</w:t>
      </w:r>
      <w:r>
        <w:rPr>
          <w:b/>
          <w:bCs/>
          <w:color w:val="1A1A2E"/>
          <w:sz w:val="20"/>
          <w:szCs w:val="20"/>
          <w:vertAlign w:val="superscript"/>
        </w:rPr>
        <w:t>[3,7,9]</w:t>
      </w:r>
      <w:r>
        <w:t xml:space="preserve"> The Veterans Affairs cohort study followed over 153,000 COVID-19 survivors and documented significantly elevated one-year risks of myocardial infarction (HR 1.63), atrial fibrillation (HR 1.71), and heart failure (HR 1.72) even in patients who were never hospitalised.</w:t>
      </w:r>
      <w:r>
        <w:rPr>
          <w:b/>
          <w:bCs/>
          <w:color w:val="1A1A2E"/>
          <w:sz w:val="20"/>
          <w:szCs w:val="20"/>
          <w:vertAlign w:val="superscript"/>
        </w:rPr>
        <w:t>[8]</w:t>
      </w:r>
      <w:r>
        <w:t xml:space="preserve"> Our AI model AUC of 0.944 compares favourably with established risk tools: the HEART score achieves AUC 0.82-0.87 for acute coronary syndrome</w:t>
      </w:r>
      <w:r>
        <w:rPr>
          <w:b/>
          <w:bCs/>
          <w:color w:val="1A1A2E"/>
          <w:sz w:val="20"/>
          <w:szCs w:val="20"/>
          <w:vertAlign w:val="superscript"/>
        </w:rPr>
        <w:t>[22]</w:t>
      </w:r>
      <w:r>
        <w:t xml:space="preserve"> and the Framingham Risk Score achieves AUC 0.73-0.79 in primary prevention populations.</w:t>
      </w:r>
      <w:r>
        <w:rPr>
          <w:b/>
          <w:bCs/>
          <w:color w:val="1A1A2E"/>
          <w:sz w:val="20"/>
          <w:szCs w:val="20"/>
          <w:vertAlign w:val="superscript"/>
        </w:rPr>
        <w:t>[2]</w:t>
      </w:r>
    </w:p>
    <w:p w:rsidR="00582C7F" w:rsidRDefault="00310D3E" w:rsidP="000C2BD6">
      <w:pPr>
        <w:spacing w:before="120" w:after="60" w:line="480" w:lineRule="auto"/>
        <w:jc w:val="both"/>
      </w:pPr>
      <w:r>
        <w:rPr>
          <w:b/>
          <w:bCs/>
          <w:i/>
          <w:iCs/>
        </w:rPr>
        <w:t>4.2 The Sex Paradox: Acute Risk in Men, Delayed Risk in Women</w:t>
      </w:r>
    </w:p>
    <w:p w:rsidR="00582C7F" w:rsidRDefault="00310D3E">
      <w:pPr>
        <w:spacing w:before="120" w:after="60" w:line="480" w:lineRule="auto"/>
        <w:ind w:firstLine="720"/>
        <w:jc w:val="both"/>
      </w:pPr>
      <w:r>
        <w:t>The higher female positivity rate (62.7% versus 47.6% in men) reflects the appropriately lower sex-specific cut-off, not greater female cardiovascular risk.</w:t>
      </w:r>
      <w:r>
        <w:rPr>
          <w:b/>
          <w:bCs/>
          <w:color w:val="1A1A2E"/>
          <w:sz w:val="20"/>
          <w:szCs w:val="20"/>
          <w:vertAlign w:val="superscript"/>
        </w:rPr>
        <w:t>[11]</w:t>
      </w:r>
      <w:r>
        <w:t xml:space="preserve"> When sub-threshold risk is </w:t>
      </w:r>
      <w:r>
        <w:lastRenderedPageBreak/>
        <w:t>assessed with sex-calibrated criteria, men are nearly four times more likely to be classified as high-risk (OR = 4.07), consistent with testosterone-mediated amplification of the cytokine storm.</w:t>
      </w:r>
      <w:r>
        <w:rPr>
          <w:b/>
          <w:bCs/>
          <w:color w:val="1A1A2E"/>
          <w:sz w:val="20"/>
          <w:szCs w:val="20"/>
          <w:vertAlign w:val="superscript"/>
        </w:rPr>
        <w:t>[5,11,12,16]</w:t>
      </w:r>
      <w:r>
        <w:t xml:space="preserve"> </w:t>
      </w:r>
      <w:r w:rsidR="009151E1">
        <w:t xml:space="preserve">The striking delayed reversal </w:t>
      </w:r>
      <w:r>
        <w:t>56.2% of moderate-risk severe-illness women converting to overt troponin positivity at six month</w:t>
      </w:r>
      <w:r w:rsidR="009151E1">
        <w:t xml:space="preserve">s compared with 22.7% of men </w:t>
      </w:r>
      <w:r>
        <w:t xml:space="preserve">is consistent with autoimmune mechanisms, including the functionally active G-protein-coupled receptor autoantibodies documented by </w:t>
      </w:r>
      <w:proofErr w:type="spellStart"/>
      <w:r>
        <w:t>Wallukat</w:t>
      </w:r>
      <w:proofErr w:type="spellEnd"/>
      <w:r>
        <w:t xml:space="preserve"> and colleagues in Long COVID patients.</w:t>
      </w:r>
      <w:r>
        <w:rPr>
          <w:b/>
          <w:bCs/>
          <w:color w:val="1A1A2E"/>
          <w:sz w:val="20"/>
          <w:szCs w:val="20"/>
          <w:vertAlign w:val="superscript"/>
        </w:rPr>
        <w:t>[18]</w:t>
      </w:r>
    </w:p>
    <w:p w:rsidR="00582C7F" w:rsidRDefault="00310D3E" w:rsidP="000C2BD6">
      <w:pPr>
        <w:spacing w:before="120" w:after="60" w:line="480" w:lineRule="auto"/>
        <w:jc w:val="both"/>
      </w:pPr>
      <w:r>
        <w:rPr>
          <w:b/>
          <w:bCs/>
          <w:i/>
          <w:iCs/>
        </w:rPr>
        <w:t xml:space="preserve">4.3 </w:t>
      </w:r>
      <w:proofErr w:type="spellStart"/>
      <w:r>
        <w:rPr>
          <w:b/>
          <w:bCs/>
          <w:i/>
          <w:iCs/>
        </w:rPr>
        <w:t>Prothrombotic</w:t>
      </w:r>
      <w:proofErr w:type="spellEnd"/>
      <w:r>
        <w:rPr>
          <w:b/>
          <w:bCs/>
          <w:i/>
          <w:iCs/>
        </w:rPr>
        <w:t xml:space="preserve"> Signature and Therapeutic Implications</w:t>
      </w:r>
    </w:p>
    <w:p w:rsidR="00582C7F" w:rsidRDefault="00310D3E">
      <w:pPr>
        <w:spacing w:before="120" w:after="60" w:line="480" w:lineRule="auto"/>
        <w:ind w:firstLine="720"/>
        <w:jc w:val="both"/>
      </w:pPr>
      <w:r>
        <w:t>D-dimer was elevated in 88.7-92.4% of patients across all severity groups, even among those without overt troponin elevation, implying that microvascular thrombosis is a primary driver of subclinical myocardial injury.</w:t>
      </w:r>
      <w:r>
        <w:rPr>
          <w:b/>
          <w:bCs/>
          <w:color w:val="1A1A2E"/>
          <w:sz w:val="20"/>
          <w:szCs w:val="20"/>
          <w:vertAlign w:val="superscript"/>
        </w:rPr>
        <w:t>[10,23]</w:t>
      </w:r>
      <w:r>
        <w:t xml:space="preserve"> This distinction has direct therapeutic consequences: inflammatory predominance supports anti-cytokine strategies, while thrombotic predominance calls for anticoagulation and agents targeting the ACE2 axis.</w:t>
      </w:r>
      <w:r>
        <w:rPr>
          <w:b/>
          <w:bCs/>
          <w:color w:val="1A1A2E"/>
          <w:sz w:val="20"/>
          <w:szCs w:val="20"/>
          <w:vertAlign w:val="superscript"/>
        </w:rPr>
        <w:t>[16,19,23]</w:t>
      </w:r>
      <w:r>
        <w:t xml:space="preserve"> Low-dose colchicine, which reduced cardiovascular events in the LoDoCo2 and COLCOT trials through NLRP3 </w:t>
      </w:r>
      <w:proofErr w:type="spellStart"/>
      <w:r>
        <w:t>inflammasome</w:t>
      </w:r>
      <w:proofErr w:type="spellEnd"/>
      <w:r>
        <w:t xml:space="preserve"> inhibition, is a biologically rational candidate for randomised trials in biomarker-defined high-risk post-COVID patients.</w:t>
      </w:r>
      <w:r>
        <w:rPr>
          <w:b/>
          <w:bCs/>
          <w:color w:val="1A1A2E"/>
          <w:sz w:val="20"/>
          <w:szCs w:val="20"/>
          <w:vertAlign w:val="superscript"/>
        </w:rPr>
        <w:t>[16,22]</w:t>
      </w:r>
    </w:p>
    <w:p w:rsidR="00582C7F" w:rsidRDefault="00310D3E" w:rsidP="000C2BD6">
      <w:pPr>
        <w:spacing w:before="120" w:after="60" w:line="480" w:lineRule="auto"/>
        <w:jc w:val="both"/>
      </w:pPr>
      <w:r>
        <w:rPr>
          <w:b/>
          <w:bCs/>
          <w:i/>
          <w:iCs/>
        </w:rPr>
        <w:t>4.4 AI Risk Prediction and Clinical Policy for India</w:t>
      </w:r>
    </w:p>
    <w:p w:rsidR="00582C7F" w:rsidRDefault="00310D3E">
      <w:pPr>
        <w:spacing w:before="120" w:after="60" w:line="480" w:lineRule="auto"/>
        <w:ind w:firstLine="720"/>
        <w:jc w:val="both"/>
      </w:pPr>
      <w:r>
        <w:t xml:space="preserve">Our seven-variable logistic regression model achieves AUC 0.944 using variables available in any standard clinical record, demonstrating that lightweight algorithmic tools could meaningfully improve post-COVID cardiac triage without expensive </w:t>
      </w:r>
      <w:proofErr w:type="gramStart"/>
      <w:r>
        <w:t>infrastructure.</w:t>
      </w:r>
      <w:r>
        <w:rPr>
          <w:b/>
          <w:bCs/>
          <w:color w:val="1A1A2E"/>
          <w:sz w:val="20"/>
          <w:szCs w:val="20"/>
          <w:vertAlign w:val="superscript"/>
        </w:rPr>
        <w:t>[</w:t>
      </w:r>
      <w:proofErr w:type="gramEnd"/>
      <w:r>
        <w:rPr>
          <w:b/>
          <w:bCs/>
          <w:color w:val="1A1A2E"/>
          <w:sz w:val="20"/>
          <w:szCs w:val="20"/>
          <w:vertAlign w:val="superscript"/>
        </w:rPr>
        <w:t>12,14]</w:t>
      </w:r>
      <w:r>
        <w:t xml:space="preserve"> Every COVID-19 patient should have </w:t>
      </w:r>
      <w:proofErr w:type="spellStart"/>
      <w:r>
        <w:t>hs-cTnI</w:t>
      </w:r>
      <w:proofErr w:type="spellEnd"/>
      <w:r>
        <w:t xml:space="preserve"> measured using sex-specific thresholds;</w:t>
      </w:r>
      <w:r>
        <w:rPr>
          <w:b/>
          <w:bCs/>
          <w:color w:val="1A1A2E"/>
          <w:sz w:val="20"/>
          <w:szCs w:val="20"/>
          <w:vertAlign w:val="superscript"/>
        </w:rPr>
        <w:t>[11,12]</w:t>
      </w:r>
      <w:r>
        <w:t xml:space="preserve"> those classified as positive or high-risk should be enrolled in structured six-month cardiac review. India's NPCDCS provides existing infrastructure through which post-COVID screening protocols could be integrated at relatively low </w:t>
      </w:r>
      <w:r>
        <w:lastRenderedPageBreak/>
        <w:t xml:space="preserve">marginal cost. With an estimated 40 million or more COVID-19 survivors in India, biomarker-guided surveillance guided by algorithmic risk scoring is a clinical and public health </w:t>
      </w:r>
      <w:proofErr w:type="gramStart"/>
      <w:r>
        <w:t>necessity.</w:t>
      </w:r>
      <w:r>
        <w:rPr>
          <w:b/>
          <w:bCs/>
          <w:color w:val="1A1A2E"/>
          <w:sz w:val="20"/>
          <w:szCs w:val="20"/>
          <w:vertAlign w:val="superscript"/>
        </w:rPr>
        <w:t>[</w:t>
      </w:r>
      <w:proofErr w:type="gramEnd"/>
      <w:r>
        <w:rPr>
          <w:b/>
          <w:bCs/>
          <w:color w:val="1A1A2E"/>
          <w:sz w:val="20"/>
          <w:szCs w:val="20"/>
          <w:vertAlign w:val="superscript"/>
        </w:rPr>
        <w:t>1,8]</w:t>
      </w:r>
    </w:p>
    <w:p w:rsidR="00582C7F" w:rsidRDefault="00310D3E">
      <w:pPr>
        <w:pBdr>
          <w:bottom w:val="single" w:sz="8" w:space="0" w:color="1A1A2E"/>
        </w:pBdr>
        <w:spacing w:before="480" w:after="120"/>
      </w:pPr>
      <w:r>
        <w:rPr>
          <w:b/>
          <w:bCs/>
          <w:sz w:val="26"/>
          <w:szCs w:val="26"/>
        </w:rPr>
        <w:t>5. Strengths</w:t>
      </w:r>
    </w:p>
    <w:p w:rsidR="00582C7F" w:rsidRDefault="00310D3E">
      <w:pPr>
        <w:spacing w:before="120" w:after="60" w:line="480" w:lineRule="auto"/>
        <w:ind w:firstLine="720"/>
        <w:jc w:val="both"/>
      </w:pPr>
      <w:r>
        <w:t xml:space="preserve">With 2,063 patients followed across three pandemic waves, this is among the largest longitudinal </w:t>
      </w:r>
      <w:proofErr w:type="spellStart"/>
      <w:r>
        <w:t>hs-cTnI</w:t>
      </w:r>
      <w:proofErr w:type="spellEnd"/>
      <w:r>
        <w:t xml:space="preserve"> cohorts from South Asia. Consistent application of sex-specific HUNT </w:t>
      </w:r>
      <w:proofErr w:type="gramStart"/>
      <w:r>
        <w:t>thresholds</w:t>
      </w:r>
      <w:r>
        <w:rPr>
          <w:b/>
          <w:bCs/>
          <w:color w:val="1A1A2E"/>
          <w:sz w:val="20"/>
          <w:szCs w:val="20"/>
          <w:vertAlign w:val="superscript"/>
        </w:rPr>
        <w:t>[</w:t>
      </w:r>
      <w:proofErr w:type="gramEnd"/>
      <w:r>
        <w:rPr>
          <w:b/>
          <w:bCs/>
          <w:color w:val="1A1A2E"/>
          <w:sz w:val="20"/>
          <w:szCs w:val="20"/>
          <w:vertAlign w:val="superscript"/>
        </w:rPr>
        <w:t>11,12]</w:t>
      </w:r>
      <w:r>
        <w:t xml:space="preserve"> -- not standard practice in published COVID-19 troponin literature -- enabled detection of the delayed but substantial female risk escalation pattern that is a genuinely novel clinical finding. Concurrent measurement of five mechanistically distinct co-biomarkers enables mechanistic inference, and the six-month risk transition matrix provides actionable individual-level prognosis estimates that cross-sectional analyses cannot </w:t>
      </w:r>
      <w:proofErr w:type="gramStart"/>
      <w:r>
        <w:t>deliver.</w:t>
      </w:r>
      <w:r>
        <w:rPr>
          <w:b/>
          <w:bCs/>
          <w:color w:val="1A1A2E"/>
          <w:sz w:val="20"/>
          <w:szCs w:val="20"/>
          <w:vertAlign w:val="superscript"/>
        </w:rPr>
        <w:t>[</w:t>
      </w:r>
      <w:proofErr w:type="gramEnd"/>
      <w:r>
        <w:rPr>
          <w:b/>
          <w:bCs/>
          <w:color w:val="1A1A2E"/>
          <w:sz w:val="20"/>
          <w:szCs w:val="20"/>
          <w:vertAlign w:val="superscript"/>
        </w:rPr>
        <w:t>9,10,14,16]</w:t>
      </w:r>
    </w:p>
    <w:p w:rsidR="00582C7F" w:rsidRDefault="00310D3E">
      <w:pPr>
        <w:pBdr>
          <w:bottom w:val="single" w:sz="8" w:space="0" w:color="1A1A2E"/>
        </w:pBdr>
        <w:spacing w:before="480" w:after="120"/>
      </w:pPr>
      <w:r>
        <w:rPr>
          <w:b/>
          <w:bCs/>
          <w:sz w:val="26"/>
          <w:szCs w:val="26"/>
        </w:rPr>
        <w:t>6. Limitations</w:t>
      </w:r>
    </w:p>
    <w:p w:rsidR="00582C7F" w:rsidRDefault="006B2658">
      <w:pPr>
        <w:spacing w:before="120" w:after="60" w:line="480" w:lineRule="auto"/>
        <w:ind w:firstLine="720"/>
        <w:jc w:val="both"/>
      </w:pPr>
      <w:r w:rsidRPr="006B2658">
        <w:rPr>
          <w:color w:val="1F243C"/>
          <w:shd w:val="clear" w:color="auto" w:fill="FFFFFF"/>
        </w:rPr>
        <w:t xml:space="preserve">The retrospective design limits the ability to determine cause and effect. The lack of a matched non-COVID control group is the main methodological issue of the study. Selection bias is a problem because </w:t>
      </w:r>
      <w:proofErr w:type="spellStart"/>
      <w:r w:rsidRPr="006B2658">
        <w:rPr>
          <w:color w:val="1F243C"/>
          <w:shd w:val="clear" w:color="auto" w:fill="FFFFFF"/>
        </w:rPr>
        <w:t>hs-cTnI</w:t>
      </w:r>
      <w:proofErr w:type="spellEnd"/>
      <w:r w:rsidRPr="006B2658">
        <w:rPr>
          <w:color w:val="1F243C"/>
          <w:shd w:val="clear" w:color="auto" w:fill="FFFFFF"/>
        </w:rPr>
        <w:t xml:space="preserve"> was ordered based on the clinician's judgment, which results in a greater representation of the more symptomatic </w:t>
      </w:r>
      <w:proofErr w:type="gramStart"/>
      <w:r w:rsidRPr="006B2658">
        <w:rPr>
          <w:color w:val="1F243C"/>
          <w:shd w:val="clear" w:color="auto" w:fill="FFFFFF"/>
        </w:rPr>
        <w:t>cases</w:t>
      </w:r>
      <w:r w:rsidR="00310D3E">
        <w:t>.</w:t>
      </w:r>
      <w:r w:rsidR="00310D3E">
        <w:rPr>
          <w:b/>
          <w:bCs/>
          <w:color w:val="1A1A2E"/>
          <w:sz w:val="20"/>
          <w:szCs w:val="20"/>
          <w:vertAlign w:val="superscript"/>
        </w:rPr>
        <w:t>[</w:t>
      </w:r>
      <w:proofErr w:type="gramEnd"/>
      <w:r w:rsidR="00310D3E">
        <w:rPr>
          <w:b/>
          <w:bCs/>
          <w:color w:val="1A1A2E"/>
          <w:sz w:val="20"/>
          <w:szCs w:val="20"/>
          <w:vertAlign w:val="superscript"/>
        </w:rPr>
        <w:t>3,7]</w:t>
      </w:r>
      <w:r w:rsidR="00310D3E">
        <w:t xml:space="preserve"> Variant-level stratification was not possible without systematic genomic sequencing. The AI model's AUC of 0.944 derives from internal cross-validation without external validation and should be treated as an upper-bound </w:t>
      </w:r>
      <w:proofErr w:type="gramStart"/>
      <w:r w:rsidR="00310D3E">
        <w:t>estimate.</w:t>
      </w:r>
      <w:r w:rsidR="00310D3E">
        <w:rPr>
          <w:b/>
          <w:bCs/>
          <w:color w:val="1A1A2E"/>
          <w:sz w:val="20"/>
          <w:szCs w:val="20"/>
          <w:vertAlign w:val="superscript"/>
        </w:rPr>
        <w:t>[</w:t>
      </w:r>
      <w:proofErr w:type="gramEnd"/>
      <w:r w:rsidR="00310D3E">
        <w:rPr>
          <w:b/>
          <w:bCs/>
          <w:color w:val="1A1A2E"/>
          <w:sz w:val="20"/>
          <w:szCs w:val="20"/>
          <w:vertAlign w:val="superscript"/>
        </w:rPr>
        <w:t>12,14]</w:t>
      </w:r>
      <w:r w:rsidR="00310D3E">
        <w:t xml:space="preserve"> Our primary outcome is a biomarker trajectory rather than hard clinical events; the randomised trial establishing whether biomarker-guided monitoring reduces incident major adverse cardiovascular events has not yet been done.</w:t>
      </w:r>
      <w:bookmarkStart w:id="0" w:name="_GoBack"/>
      <w:bookmarkEnd w:id="0"/>
    </w:p>
    <w:p w:rsidR="00582C7F" w:rsidRDefault="00310D3E">
      <w:pPr>
        <w:pBdr>
          <w:bottom w:val="single" w:sz="8" w:space="0" w:color="1A1A2E"/>
        </w:pBdr>
        <w:spacing w:before="480" w:after="120"/>
      </w:pPr>
      <w:r>
        <w:rPr>
          <w:b/>
          <w:bCs/>
          <w:sz w:val="26"/>
          <w:szCs w:val="26"/>
        </w:rPr>
        <w:t>7. Future Research Directions</w:t>
      </w:r>
    </w:p>
    <w:p w:rsidR="00582C7F" w:rsidRDefault="00310D3E">
      <w:pPr>
        <w:spacing w:before="120" w:after="60" w:line="480" w:lineRule="auto"/>
        <w:ind w:firstLine="720"/>
        <w:jc w:val="both"/>
      </w:pPr>
      <w:r>
        <w:lastRenderedPageBreak/>
        <w:t xml:space="preserve">The most important next step is a prospective cohort study with hard clinical endpoints -- myocardial infarction, heart failure, stroke, arrhythmia, cardiovascular death -- at 12, 24, and 36 months, enrolling patients stratified by baseline </w:t>
      </w:r>
      <w:proofErr w:type="spellStart"/>
      <w:r>
        <w:t>hs-cTnI</w:t>
      </w:r>
      <w:proofErr w:type="spellEnd"/>
      <w:r>
        <w:t xml:space="preserve"> risk category using sex-specific thresholds.</w:t>
      </w:r>
      <w:r>
        <w:rPr>
          <w:b/>
          <w:bCs/>
          <w:color w:val="1A1A2E"/>
          <w:sz w:val="20"/>
          <w:szCs w:val="20"/>
          <w:vertAlign w:val="superscript"/>
        </w:rPr>
        <w:t>[11,12]</w:t>
      </w:r>
      <w:r>
        <w:t xml:space="preserve"> Linking </w:t>
      </w:r>
      <w:proofErr w:type="spellStart"/>
      <w:r>
        <w:t>hs-cTnI</w:t>
      </w:r>
      <w:proofErr w:type="spellEnd"/>
      <w:r>
        <w:t xml:space="preserve"> trajectory to cardiac MRI findings -- late gadolinium enhancement, T1/T2 mapping, and global longitudinal strain -- would establish whether biomarker changes correspond to structural myocardial damage.</w:t>
      </w:r>
      <w:r>
        <w:rPr>
          <w:b/>
          <w:bCs/>
          <w:color w:val="1A1A2E"/>
          <w:sz w:val="20"/>
          <w:szCs w:val="20"/>
          <w:vertAlign w:val="superscript"/>
        </w:rPr>
        <w:t>[8,9]</w:t>
      </w:r>
      <w:r>
        <w:t xml:space="preserve"> The AI model requires a larger multi-centre training dataset, richer input variables including imaging and genomic data, and prospective external validation.</w:t>
      </w:r>
      <w:r>
        <w:rPr>
          <w:b/>
          <w:bCs/>
          <w:color w:val="1A1A2E"/>
          <w:sz w:val="20"/>
          <w:szCs w:val="20"/>
          <w:vertAlign w:val="superscript"/>
        </w:rPr>
        <w:t>[12,14]</w:t>
      </w:r>
      <w:r>
        <w:t xml:space="preserve"> A randomised controlled trial of biomarker-guided intensive management (statin, ACE inhibitor or angiotensin receptor blocker, low-dose colchicine, cardiac rehabilitation) versus standard care in </w:t>
      </w:r>
      <w:proofErr w:type="spellStart"/>
      <w:r>
        <w:t>hs</w:t>
      </w:r>
      <w:proofErr w:type="spellEnd"/>
      <w:r>
        <w:t>-</w:t>
      </w:r>
      <w:proofErr w:type="spellStart"/>
      <w:r>
        <w:t>cTnI</w:t>
      </w:r>
      <w:proofErr w:type="spellEnd"/>
      <w:r>
        <w:t>-defined high-risk post-COVID patients is scientifically justified and clinically overdue.</w:t>
      </w:r>
      <w:r>
        <w:rPr>
          <w:b/>
          <w:bCs/>
          <w:color w:val="1A1A2E"/>
          <w:sz w:val="20"/>
          <w:szCs w:val="20"/>
          <w:vertAlign w:val="superscript"/>
        </w:rPr>
        <w:t>[16,22]</w:t>
      </w:r>
    </w:p>
    <w:p w:rsidR="00582C7F" w:rsidRDefault="00310D3E">
      <w:pPr>
        <w:pBdr>
          <w:bottom w:val="single" w:sz="8" w:space="0" w:color="1A1A2E"/>
        </w:pBdr>
        <w:spacing w:before="480" w:after="120"/>
      </w:pPr>
      <w:r>
        <w:rPr>
          <w:b/>
          <w:bCs/>
          <w:sz w:val="26"/>
          <w:szCs w:val="26"/>
        </w:rPr>
        <w:t>8. Conclusion</w:t>
      </w:r>
    </w:p>
    <w:p w:rsidR="00582C7F" w:rsidRDefault="00310D3E">
      <w:pPr>
        <w:spacing w:before="120" w:after="60" w:line="480" w:lineRule="auto"/>
        <w:ind w:firstLine="720"/>
        <w:jc w:val="both"/>
      </w:pPr>
      <w:r>
        <w:t xml:space="preserve">Three years and 2,063 patients after our first enrolment, the cardiovascular consequences of COVID-19 are unambiguous and sobering. More than half of our cohort had </w:t>
      </w:r>
      <w:proofErr w:type="spellStart"/>
      <w:r>
        <w:t>hs-cTnI</w:t>
      </w:r>
      <w:proofErr w:type="spellEnd"/>
      <w:r>
        <w:t xml:space="preserve"> above the clinical decision limit at baseline,</w:t>
      </w:r>
      <w:r>
        <w:rPr>
          <w:b/>
          <w:bCs/>
          <w:color w:val="1A1A2E"/>
          <w:sz w:val="20"/>
          <w:szCs w:val="20"/>
          <w:vertAlign w:val="superscript"/>
        </w:rPr>
        <w:t>[3,7]</w:t>
      </w:r>
      <w:r>
        <w:t xml:space="preserve"> and among the other half, nearly two thirds carried subclinical cardiovascular risk invisible to standard binary interpretation.</w:t>
      </w:r>
      <w:r>
        <w:rPr>
          <w:b/>
          <w:bCs/>
          <w:color w:val="1A1A2E"/>
          <w:sz w:val="20"/>
          <w:szCs w:val="20"/>
          <w:vertAlign w:val="superscript"/>
        </w:rPr>
        <w:t>[11,12]</w:t>
      </w:r>
      <w:r>
        <w:t xml:space="preserve"> By six months, the majority of initially low-risk patients with severe illness had migrated upward into higher-risk categories, and nearly one in three outpatient-managed mild-illness patients had converted to overt troponin positivity.</w:t>
      </w:r>
      <w:r>
        <w:rPr>
          <w:b/>
          <w:bCs/>
          <w:color w:val="1A1A2E"/>
          <w:sz w:val="20"/>
          <w:szCs w:val="20"/>
          <w:vertAlign w:val="superscript"/>
        </w:rPr>
        <w:t>[8,9,13]</w:t>
      </w:r>
      <w:r>
        <w:t xml:space="preserve"> The biomarker-defined cardiovascular risk that COVID-19 imposes is not a transient acute complication -- it is an ongoing, progressing process demanding active surveillance and, in high-risk individuals, active intervention.</w:t>
      </w:r>
    </w:p>
    <w:p w:rsidR="00582C7F" w:rsidRDefault="00310D3E">
      <w:pPr>
        <w:spacing w:before="120" w:after="60" w:line="480" w:lineRule="auto"/>
        <w:ind w:firstLine="720"/>
        <w:jc w:val="both"/>
      </w:pPr>
      <w:r>
        <w:t>Sex differences operate in both directions: men face nearly four times the odds of high-risk classification acutely, driven by amplified inflammatory biology,</w:t>
      </w:r>
      <w:r>
        <w:rPr>
          <w:b/>
          <w:bCs/>
          <w:color w:val="1A1A2E"/>
          <w:sz w:val="20"/>
          <w:szCs w:val="20"/>
          <w:vertAlign w:val="superscript"/>
        </w:rPr>
        <w:t>[5,11]</w:t>
      </w:r>
      <w:r>
        <w:t xml:space="preserve"> while women show delayed but </w:t>
      </w:r>
      <w:r>
        <w:lastRenderedPageBreak/>
        <w:t>substantial deterioration by six months through likely autoimmune mechanisms, warranting distinct surveillance protocols.</w:t>
      </w:r>
      <w:r>
        <w:rPr>
          <w:b/>
          <w:bCs/>
          <w:color w:val="1A1A2E"/>
          <w:sz w:val="20"/>
          <w:szCs w:val="20"/>
          <w:vertAlign w:val="superscript"/>
        </w:rPr>
        <w:t>[11,18]</w:t>
      </w:r>
      <w:r>
        <w:t xml:space="preserve"> Integrating </w:t>
      </w:r>
      <w:proofErr w:type="spellStart"/>
      <w:r>
        <w:t>hs-cTnI</w:t>
      </w:r>
      <w:proofErr w:type="spellEnd"/>
      <w:r>
        <w:t xml:space="preserve"> into a seven-variable AI framework improves predictive accuracy to AUC 0.944,</w:t>
      </w:r>
      <w:r>
        <w:rPr>
          <w:b/>
          <w:bCs/>
          <w:color w:val="1A1A2E"/>
          <w:sz w:val="20"/>
          <w:szCs w:val="20"/>
          <w:vertAlign w:val="superscript"/>
        </w:rPr>
        <w:t>[12,14]</w:t>
      </w:r>
      <w:r>
        <w:t xml:space="preserve"> pointing toward algorithmically guided post-COVID cardiac monitoring accessible to any clinician with standard biomarkers. With tens of millions of COVID-19 survivors in </w:t>
      </w:r>
      <w:proofErr w:type="gramStart"/>
      <w:r>
        <w:t>India,</w:t>
      </w:r>
      <w:r>
        <w:rPr>
          <w:b/>
          <w:bCs/>
          <w:color w:val="1A1A2E"/>
          <w:sz w:val="20"/>
          <w:szCs w:val="20"/>
          <w:vertAlign w:val="superscript"/>
        </w:rPr>
        <w:t>[</w:t>
      </w:r>
      <w:proofErr w:type="gramEnd"/>
      <w:r>
        <w:rPr>
          <w:b/>
          <w:bCs/>
          <w:color w:val="1A1A2E"/>
          <w:sz w:val="20"/>
          <w:szCs w:val="20"/>
          <w:vertAlign w:val="superscript"/>
        </w:rPr>
        <w:t>1,8]</w:t>
      </w:r>
      <w:r>
        <w:t xml:space="preserve"> structured post-COVID cardiac surveillance using sex-specific </w:t>
      </w:r>
      <w:proofErr w:type="spellStart"/>
      <w:r>
        <w:t>hs-cTnI</w:t>
      </w:r>
      <w:proofErr w:type="spellEnd"/>
      <w:r>
        <w:t xml:space="preserve"> thresholds is not an optional refinement -- it is a clinical and public health necessity.</w:t>
      </w:r>
    </w:p>
    <w:p w:rsidR="00582C7F" w:rsidRDefault="00310D3E">
      <w:pPr>
        <w:pBdr>
          <w:bottom w:val="single" w:sz="8" w:space="0" w:color="1A1A2E"/>
        </w:pBdr>
        <w:spacing w:before="480" w:after="120"/>
      </w:pPr>
      <w:r>
        <w:rPr>
          <w:b/>
          <w:bCs/>
          <w:sz w:val="26"/>
          <w:szCs w:val="26"/>
        </w:rPr>
        <w:t>Acknowledgements</w:t>
      </w:r>
    </w:p>
    <w:p w:rsidR="00582C7F" w:rsidRDefault="00310D3E">
      <w:pPr>
        <w:spacing w:before="120" w:after="60" w:line="480" w:lineRule="auto"/>
        <w:ind w:firstLine="720"/>
        <w:jc w:val="both"/>
      </w:pPr>
      <w:proofErr w:type="spellStart"/>
      <w:r>
        <w:t>Dr.</w:t>
      </w:r>
      <w:proofErr w:type="spellEnd"/>
      <w:r>
        <w:t xml:space="preserve"> </w:t>
      </w:r>
      <w:proofErr w:type="spellStart"/>
      <w:r>
        <w:t>Deepika</w:t>
      </w:r>
      <w:proofErr w:type="spellEnd"/>
      <w:r>
        <w:t xml:space="preserve"> </w:t>
      </w:r>
      <w:proofErr w:type="spellStart"/>
      <w:r>
        <w:t>Gujjarlapudi</w:t>
      </w:r>
      <w:proofErr w:type="spellEnd"/>
      <w:r>
        <w:t xml:space="preserve"> conceived the study and provided overall intellectual supervision throughout. </w:t>
      </w:r>
      <w:proofErr w:type="spellStart"/>
      <w:r>
        <w:t>Dr.</w:t>
      </w:r>
      <w:proofErr w:type="spellEnd"/>
      <w:r>
        <w:t xml:space="preserve"> </w:t>
      </w:r>
      <w:proofErr w:type="spellStart"/>
      <w:r>
        <w:t>Vidyavathi</w:t>
      </w:r>
      <w:proofErr w:type="spellEnd"/>
      <w:r>
        <w:t xml:space="preserve"> Devi </w:t>
      </w:r>
      <w:proofErr w:type="spellStart"/>
      <w:r>
        <w:t>Gajapathi</w:t>
      </w:r>
      <w:proofErr w:type="spellEnd"/>
      <w:r>
        <w:t xml:space="preserve"> Raju and Mr. </w:t>
      </w:r>
      <w:proofErr w:type="spellStart"/>
      <w:r>
        <w:t>Veeraiah</w:t>
      </w:r>
      <w:proofErr w:type="spellEnd"/>
      <w:r>
        <w:t xml:space="preserve"> led the data collection, biomarker analysis, and statistical work. </w:t>
      </w:r>
      <w:proofErr w:type="spellStart"/>
      <w:r>
        <w:t>Dr.</w:t>
      </w:r>
      <w:proofErr w:type="spellEnd"/>
      <w:r>
        <w:t xml:space="preserve"> </w:t>
      </w:r>
      <w:proofErr w:type="spellStart"/>
      <w:r>
        <w:t>Vidyavathi</w:t>
      </w:r>
      <w:proofErr w:type="spellEnd"/>
      <w:r>
        <w:t xml:space="preserve">, </w:t>
      </w:r>
      <w:proofErr w:type="spellStart"/>
      <w:r>
        <w:t>Dr.</w:t>
      </w:r>
      <w:proofErr w:type="spellEnd"/>
      <w:r>
        <w:t xml:space="preserve"> Uma Mahesh, and </w:t>
      </w:r>
      <w:proofErr w:type="spellStart"/>
      <w:r>
        <w:t>Dr.</w:t>
      </w:r>
      <w:proofErr w:type="spellEnd"/>
      <w:r>
        <w:t xml:space="preserve"> </w:t>
      </w:r>
      <w:proofErr w:type="spellStart"/>
      <w:r>
        <w:t>Srihita</w:t>
      </w:r>
      <w:proofErr w:type="spellEnd"/>
      <w:r>
        <w:t xml:space="preserve"> contributed to manuscript drafting, critical literature review, and revision. All authors reviewed and approved the final manuscript. The authors wish to thank the entire biochemistry laboratory team at AIG Hospitals, whose precision and dedication during the COVID-19 pandemic made this work possible.</w:t>
      </w:r>
    </w:p>
    <w:p w:rsidR="00582C7F" w:rsidRDefault="00310D3E">
      <w:pPr>
        <w:pBdr>
          <w:bottom w:val="single" w:sz="8" w:space="0" w:color="1A1A2E"/>
        </w:pBdr>
        <w:spacing w:before="480" w:after="120"/>
      </w:pPr>
      <w:r>
        <w:rPr>
          <w:b/>
          <w:bCs/>
          <w:sz w:val="26"/>
          <w:szCs w:val="26"/>
        </w:rPr>
        <w:t>References</w:t>
      </w:r>
    </w:p>
    <w:p w:rsidR="00582C7F" w:rsidRDefault="00310D3E">
      <w:pPr>
        <w:spacing w:before="80" w:after="80" w:line="276" w:lineRule="auto"/>
        <w:ind w:left="500" w:hanging="500"/>
        <w:jc w:val="both"/>
      </w:pPr>
      <w:r>
        <w:rPr>
          <w:b/>
          <w:bCs/>
          <w:color w:val="1A1A2E"/>
          <w:sz w:val="20"/>
          <w:szCs w:val="20"/>
        </w:rPr>
        <w:t>[1]</w:t>
      </w:r>
      <w:r>
        <w:rPr>
          <w:sz w:val="20"/>
          <w:szCs w:val="20"/>
        </w:rPr>
        <w:t> </w:t>
      </w:r>
      <w:proofErr w:type="spellStart"/>
      <w:r>
        <w:rPr>
          <w:sz w:val="20"/>
          <w:szCs w:val="20"/>
        </w:rPr>
        <w:t>Gaziano</w:t>
      </w:r>
      <w:proofErr w:type="spellEnd"/>
      <w:r>
        <w:rPr>
          <w:sz w:val="20"/>
          <w:szCs w:val="20"/>
        </w:rPr>
        <w:t xml:space="preserve"> TA. </w:t>
      </w:r>
      <w:r>
        <w:rPr>
          <w:i/>
          <w:iCs/>
          <w:sz w:val="20"/>
          <w:szCs w:val="20"/>
        </w:rPr>
        <w:t xml:space="preserve">Reducing the growing burden of cardiovascular disease in the developing world. </w:t>
      </w:r>
      <w:r>
        <w:rPr>
          <w:b/>
          <w:bCs/>
          <w:sz w:val="20"/>
          <w:szCs w:val="20"/>
        </w:rPr>
        <w:t xml:space="preserve">Health </w:t>
      </w:r>
      <w:proofErr w:type="spellStart"/>
      <w:r>
        <w:rPr>
          <w:b/>
          <w:bCs/>
          <w:sz w:val="20"/>
          <w:szCs w:val="20"/>
        </w:rPr>
        <w:t>Aff</w:t>
      </w:r>
      <w:proofErr w:type="spellEnd"/>
      <w:r>
        <w:rPr>
          <w:b/>
          <w:bCs/>
          <w:sz w:val="20"/>
          <w:szCs w:val="20"/>
        </w:rPr>
        <w:t xml:space="preserve"> (Millwood). </w:t>
      </w:r>
      <w:r>
        <w:rPr>
          <w:sz w:val="20"/>
          <w:szCs w:val="20"/>
        </w:rPr>
        <w:t>2007;26(1):13–24.</w:t>
      </w:r>
    </w:p>
    <w:p w:rsidR="00582C7F" w:rsidRDefault="00310D3E">
      <w:pPr>
        <w:spacing w:before="80" w:after="80" w:line="276" w:lineRule="auto"/>
        <w:ind w:left="500" w:hanging="500"/>
        <w:jc w:val="both"/>
      </w:pPr>
      <w:r>
        <w:rPr>
          <w:b/>
          <w:bCs/>
          <w:color w:val="1A1A2E"/>
          <w:sz w:val="20"/>
          <w:szCs w:val="20"/>
        </w:rPr>
        <w:t>[2]</w:t>
      </w:r>
      <w:r>
        <w:rPr>
          <w:sz w:val="20"/>
          <w:szCs w:val="20"/>
        </w:rPr>
        <w:t> </w:t>
      </w:r>
      <w:proofErr w:type="spellStart"/>
      <w:r>
        <w:rPr>
          <w:sz w:val="20"/>
          <w:szCs w:val="20"/>
        </w:rPr>
        <w:t>Laslett</w:t>
      </w:r>
      <w:proofErr w:type="spellEnd"/>
      <w:r>
        <w:rPr>
          <w:sz w:val="20"/>
          <w:szCs w:val="20"/>
        </w:rPr>
        <w:t xml:space="preserve"> LJ, </w:t>
      </w:r>
      <w:proofErr w:type="spellStart"/>
      <w:r>
        <w:rPr>
          <w:sz w:val="20"/>
          <w:szCs w:val="20"/>
        </w:rPr>
        <w:t>Alagona</w:t>
      </w:r>
      <w:proofErr w:type="spellEnd"/>
      <w:r>
        <w:rPr>
          <w:sz w:val="20"/>
          <w:szCs w:val="20"/>
        </w:rPr>
        <w:t xml:space="preserve"> P Jr, Clark BA 3rd, et al. </w:t>
      </w:r>
      <w:r>
        <w:rPr>
          <w:i/>
          <w:iCs/>
          <w:sz w:val="20"/>
          <w:szCs w:val="20"/>
        </w:rPr>
        <w:t xml:space="preserve">The worldwide environment of cardiovascular disease: prevalence, diagnosis, therapy, and policy issues. </w:t>
      </w:r>
      <w:r>
        <w:rPr>
          <w:b/>
          <w:bCs/>
          <w:sz w:val="20"/>
          <w:szCs w:val="20"/>
        </w:rPr>
        <w:t xml:space="preserve">J Am </w:t>
      </w:r>
      <w:proofErr w:type="spellStart"/>
      <w:r>
        <w:rPr>
          <w:b/>
          <w:bCs/>
          <w:sz w:val="20"/>
          <w:szCs w:val="20"/>
        </w:rPr>
        <w:t>Coll</w:t>
      </w:r>
      <w:proofErr w:type="spellEnd"/>
      <w:r>
        <w:rPr>
          <w:b/>
          <w:bCs/>
          <w:sz w:val="20"/>
          <w:szCs w:val="20"/>
        </w:rPr>
        <w:t xml:space="preserve"> </w:t>
      </w:r>
      <w:proofErr w:type="spellStart"/>
      <w:r>
        <w:rPr>
          <w:b/>
          <w:bCs/>
          <w:sz w:val="20"/>
          <w:szCs w:val="20"/>
        </w:rPr>
        <w:t>Cardiol</w:t>
      </w:r>
      <w:proofErr w:type="spellEnd"/>
      <w:r>
        <w:rPr>
          <w:b/>
          <w:bCs/>
          <w:sz w:val="20"/>
          <w:szCs w:val="20"/>
        </w:rPr>
        <w:t xml:space="preserve">. </w:t>
      </w:r>
      <w:r>
        <w:rPr>
          <w:sz w:val="20"/>
          <w:szCs w:val="20"/>
        </w:rPr>
        <w:t xml:space="preserve">2012;60(25 </w:t>
      </w:r>
      <w:proofErr w:type="spellStart"/>
      <w:r>
        <w:rPr>
          <w:sz w:val="20"/>
          <w:szCs w:val="20"/>
        </w:rPr>
        <w:t>Suppl</w:t>
      </w:r>
      <w:proofErr w:type="spellEnd"/>
      <w:proofErr w:type="gramStart"/>
      <w:r>
        <w:rPr>
          <w:sz w:val="20"/>
          <w:szCs w:val="20"/>
        </w:rPr>
        <w:t>):S</w:t>
      </w:r>
      <w:proofErr w:type="gramEnd"/>
      <w:r>
        <w:rPr>
          <w:sz w:val="20"/>
          <w:szCs w:val="20"/>
        </w:rPr>
        <w:t>1–49.</w:t>
      </w:r>
      <w:r>
        <w:rPr>
          <w:color w:val="0563C1"/>
          <w:sz w:val="20"/>
          <w:szCs w:val="20"/>
        </w:rPr>
        <w:t xml:space="preserve"> </w:t>
      </w:r>
      <w:proofErr w:type="gramStart"/>
      <w:r>
        <w:rPr>
          <w:color w:val="0563C1"/>
          <w:sz w:val="20"/>
          <w:szCs w:val="20"/>
        </w:rPr>
        <w:t>doi:10.1016/j.jacc</w:t>
      </w:r>
      <w:proofErr w:type="gramEnd"/>
      <w:r>
        <w:rPr>
          <w:color w:val="0563C1"/>
          <w:sz w:val="20"/>
          <w:szCs w:val="20"/>
        </w:rPr>
        <w:t>.2012.11.002</w:t>
      </w:r>
    </w:p>
    <w:p w:rsidR="00582C7F" w:rsidRDefault="00310D3E">
      <w:pPr>
        <w:spacing w:before="80" w:after="80" w:line="276" w:lineRule="auto"/>
        <w:ind w:left="500" w:hanging="500"/>
        <w:jc w:val="both"/>
      </w:pPr>
      <w:r>
        <w:rPr>
          <w:b/>
          <w:bCs/>
          <w:color w:val="1A1A2E"/>
          <w:sz w:val="20"/>
          <w:szCs w:val="20"/>
        </w:rPr>
        <w:t>[3]</w:t>
      </w:r>
      <w:r>
        <w:rPr>
          <w:sz w:val="20"/>
          <w:szCs w:val="20"/>
        </w:rPr>
        <w:t xml:space="preserve"> Shi S, Qin M, Shen B, et al. </w:t>
      </w:r>
      <w:r>
        <w:rPr>
          <w:i/>
          <w:iCs/>
          <w:sz w:val="20"/>
          <w:szCs w:val="20"/>
        </w:rPr>
        <w:t xml:space="preserve">Association of cardiac injury with mortality in hospitalised patients with COVID-19 in Wuhan, China. </w:t>
      </w:r>
      <w:r>
        <w:rPr>
          <w:b/>
          <w:bCs/>
          <w:sz w:val="20"/>
          <w:szCs w:val="20"/>
        </w:rPr>
        <w:t xml:space="preserve">JAMA </w:t>
      </w:r>
      <w:proofErr w:type="spellStart"/>
      <w:r>
        <w:rPr>
          <w:b/>
          <w:bCs/>
          <w:sz w:val="20"/>
          <w:szCs w:val="20"/>
        </w:rPr>
        <w:t>Cardiol</w:t>
      </w:r>
      <w:proofErr w:type="spellEnd"/>
      <w:r>
        <w:rPr>
          <w:b/>
          <w:bCs/>
          <w:sz w:val="20"/>
          <w:szCs w:val="20"/>
        </w:rPr>
        <w:t xml:space="preserve">. </w:t>
      </w:r>
      <w:r>
        <w:rPr>
          <w:sz w:val="20"/>
          <w:szCs w:val="20"/>
        </w:rPr>
        <w:t>2020;5(7):802–810.</w:t>
      </w:r>
      <w:r>
        <w:rPr>
          <w:color w:val="0563C1"/>
          <w:sz w:val="20"/>
          <w:szCs w:val="20"/>
        </w:rPr>
        <w:t xml:space="preserve"> doi:10.1001/jamacardio.2020.0950</w:t>
      </w:r>
    </w:p>
    <w:p w:rsidR="00582C7F" w:rsidRDefault="00310D3E">
      <w:pPr>
        <w:spacing w:before="80" w:after="80" w:line="276" w:lineRule="auto"/>
        <w:ind w:left="500" w:hanging="500"/>
        <w:jc w:val="both"/>
      </w:pPr>
      <w:r>
        <w:rPr>
          <w:b/>
          <w:bCs/>
          <w:color w:val="1A1A2E"/>
          <w:sz w:val="20"/>
          <w:szCs w:val="20"/>
        </w:rPr>
        <w:t>[4]</w:t>
      </w:r>
      <w:r>
        <w:rPr>
          <w:sz w:val="20"/>
          <w:szCs w:val="20"/>
        </w:rPr>
        <w:t> </w:t>
      </w:r>
      <w:proofErr w:type="spellStart"/>
      <w:r>
        <w:rPr>
          <w:sz w:val="20"/>
          <w:szCs w:val="20"/>
        </w:rPr>
        <w:t>Guo</w:t>
      </w:r>
      <w:proofErr w:type="spellEnd"/>
      <w:r>
        <w:rPr>
          <w:sz w:val="20"/>
          <w:szCs w:val="20"/>
        </w:rPr>
        <w:t xml:space="preserve"> T, Fan Y, Chen M, et al. </w:t>
      </w:r>
      <w:r>
        <w:rPr>
          <w:i/>
          <w:iCs/>
          <w:sz w:val="20"/>
          <w:szCs w:val="20"/>
        </w:rPr>
        <w:t xml:space="preserve">Cardiovascular implications of fatal outcomes of patients with COVID-19. </w:t>
      </w:r>
      <w:r>
        <w:rPr>
          <w:b/>
          <w:bCs/>
          <w:sz w:val="20"/>
          <w:szCs w:val="20"/>
        </w:rPr>
        <w:t xml:space="preserve">JAMA </w:t>
      </w:r>
      <w:proofErr w:type="spellStart"/>
      <w:r>
        <w:rPr>
          <w:b/>
          <w:bCs/>
          <w:sz w:val="20"/>
          <w:szCs w:val="20"/>
        </w:rPr>
        <w:t>Cardiol</w:t>
      </w:r>
      <w:proofErr w:type="spellEnd"/>
      <w:r>
        <w:rPr>
          <w:b/>
          <w:bCs/>
          <w:sz w:val="20"/>
          <w:szCs w:val="20"/>
        </w:rPr>
        <w:t xml:space="preserve">. </w:t>
      </w:r>
      <w:r>
        <w:rPr>
          <w:sz w:val="20"/>
          <w:szCs w:val="20"/>
        </w:rPr>
        <w:t>2020;5(7):811–818.</w:t>
      </w:r>
      <w:r>
        <w:rPr>
          <w:color w:val="0563C1"/>
          <w:sz w:val="20"/>
          <w:szCs w:val="20"/>
        </w:rPr>
        <w:t xml:space="preserve"> doi:10.1001/jamacardio.2020.1017</w:t>
      </w:r>
    </w:p>
    <w:p w:rsidR="00582C7F" w:rsidRDefault="00310D3E">
      <w:pPr>
        <w:spacing w:before="80" w:after="80" w:line="276" w:lineRule="auto"/>
        <w:ind w:left="500" w:hanging="500"/>
        <w:jc w:val="both"/>
      </w:pPr>
      <w:r>
        <w:rPr>
          <w:b/>
          <w:bCs/>
          <w:color w:val="1A1A2E"/>
          <w:sz w:val="20"/>
          <w:szCs w:val="20"/>
        </w:rPr>
        <w:t>[5]</w:t>
      </w:r>
      <w:r>
        <w:rPr>
          <w:sz w:val="20"/>
          <w:szCs w:val="20"/>
        </w:rPr>
        <w:t> </w:t>
      </w:r>
      <w:proofErr w:type="spellStart"/>
      <w:r>
        <w:rPr>
          <w:sz w:val="20"/>
          <w:szCs w:val="20"/>
        </w:rPr>
        <w:t>Nishiga</w:t>
      </w:r>
      <w:proofErr w:type="spellEnd"/>
      <w:r>
        <w:rPr>
          <w:sz w:val="20"/>
          <w:szCs w:val="20"/>
        </w:rPr>
        <w:t xml:space="preserve"> M, Wang DW, Han Y, Lewis DB, Wu JC. </w:t>
      </w:r>
      <w:r>
        <w:rPr>
          <w:i/>
          <w:iCs/>
          <w:sz w:val="20"/>
          <w:szCs w:val="20"/>
        </w:rPr>
        <w:t xml:space="preserve">COVID-19 and cardiovascular disease: from basic mechanisms to clinical perspectives. </w:t>
      </w:r>
      <w:r>
        <w:rPr>
          <w:b/>
          <w:bCs/>
          <w:sz w:val="20"/>
          <w:szCs w:val="20"/>
        </w:rPr>
        <w:t xml:space="preserve">Nat Rev </w:t>
      </w:r>
      <w:proofErr w:type="spellStart"/>
      <w:r>
        <w:rPr>
          <w:b/>
          <w:bCs/>
          <w:sz w:val="20"/>
          <w:szCs w:val="20"/>
        </w:rPr>
        <w:t>Cardiol</w:t>
      </w:r>
      <w:proofErr w:type="spellEnd"/>
      <w:r>
        <w:rPr>
          <w:b/>
          <w:bCs/>
          <w:sz w:val="20"/>
          <w:szCs w:val="20"/>
        </w:rPr>
        <w:t xml:space="preserve">. </w:t>
      </w:r>
      <w:r>
        <w:rPr>
          <w:sz w:val="20"/>
          <w:szCs w:val="20"/>
        </w:rPr>
        <w:t>2020;17(9):543–558.</w:t>
      </w:r>
      <w:r>
        <w:rPr>
          <w:color w:val="0563C1"/>
          <w:sz w:val="20"/>
          <w:szCs w:val="20"/>
        </w:rPr>
        <w:t xml:space="preserve"> doi:10.1038/s41569-020-0413-9</w:t>
      </w:r>
    </w:p>
    <w:p w:rsidR="00582C7F" w:rsidRDefault="00310D3E">
      <w:pPr>
        <w:spacing w:before="80" w:after="80" w:line="276" w:lineRule="auto"/>
        <w:ind w:left="500" w:hanging="500"/>
        <w:jc w:val="both"/>
      </w:pPr>
      <w:r>
        <w:rPr>
          <w:b/>
          <w:bCs/>
          <w:color w:val="1A1A2E"/>
          <w:sz w:val="20"/>
          <w:szCs w:val="20"/>
        </w:rPr>
        <w:t>[6]</w:t>
      </w:r>
      <w:r>
        <w:rPr>
          <w:sz w:val="20"/>
          <w:szCs w:val="20"/>
        </w:rPr>
        <w:t> </w:t>
      </w:r>
      <w:proofErr w:type="spellStart"/>
      <w:r>
        <w:rPr>
          <w:sz w:val="20"/>
          <w:szCs w:val="20"/>
        </w:rPr>
        <w:t>Clerkin</w:t>
      </w:r>
      <w:proofErr w:type="spellEnd"/>
      <w:r>
        <w:rPr>
          <w:sz w:val="20"/>
          <w:szCs w:val="20"/>
        </w:rPr>
        <w:t xml:space="preserve"> KJ, Fried JA, </w:t>
      </w:r>
      <w:proofErr w:type="spellStart"/>
      <w:r>
        <w:rPr>
          <w:sz w:val="20"/>
          <w:szCs w:val="20"/>
        </w:rPr>
        <w:t>Raikhelkar</w:t>
      </w:r>
      <w:proofErr w:type="spellEnd"/>
      <w:r>
        <w:rPr>
          <w:sz w:val="20"/>
          <w:szCs w:val="20"/>
        </w:rPr>
        <w:t xml:space="preserve"> J, et al. </w:t>
      </w:r>
      <w:r>
        <w:rPr>
          <w:i/>
          <w:iCs/>
          <w:sz w:val="20"/>
          <w:szCs w:val="20"/>
        </w:rPr>
        <w:t xml:space="preserve">COVID-19 and cardiovascular disease. </w:t>
      </w:r>
      <w:r>
        <w:rPr>
          <w:b/>
          <w:bCs/>
          <w:sz w:val="20"/>
          <w:szCs w:val="20"/>
        </w:rPr>
        <w:t xml:space="preserve">Circulation. </w:t>
      </w:r>
      <w:r>
        <w:rPr>
          <w:sz w:val="20"/>
          <w:szCs w:val="20"/>
        </w:rPr>
        <w:t>2020;141(20):1648–1655.</w:t>
      </w:r>
      <w:r>
        <w:rPr>
          <w:color w:val="0563C1"/>
          <w:sz w:val="20"/>
          <w:szCs w:val="20"/>
        </w:rPr>
        <w:t xml:space="preserve"> doi:10.1161/CIRCULATIONAHA.120.046941</w:t>
      </w:r>
    </w:p>
    <w:p w:rsidR="00582C7F" w:rsidRDefault="00310D3E">
      <w:pPr>
        <w:spacing w:before="80" w:after="80" w:line="276" w:lineRule="auto"/>
        <w:ind w:left="500" w:hanging="500"/>
        <w:jc w:val="both"/>
      </w:pPr>
      <w:r>
        <w:rPr>
          <w:b/>
          <w:bCs/>
          <w:color w:val="1A1A2E"/>
          <w:sz w:val="20"/>
          <w:szCs w:val="20"/>
        </w:rPr>
        <w:t>[7]</w:t>
      </w:r>
      <w:r>
        <w:rPr>
          <w:sz w:val="20"/>
          <w:szCs w:val="20"/>
        </w:rPr>
        <w:t> </w:t>
      </w:r>
      <w:proofErr w:type="spellStart"/>
      <w:r>
        <w:rPr>
          <w:sz w:val="20"/>
          <w:szCs w:val="20"/>
        </w:rPr>
        <w:t>Smilowitz</w:t>
      </w:r>
      <w:proofErr w:type="spellEnd"/>
      <w:r>
        <w:rPr>
          <w:sz w:val="20"/>
          <w:szCs w:val="20"/>
        </w:rPr>
        <w:t xml:space="preserve"> NR, </w:t>
      </w:r>
      <w:proofErr w:type="spellStart"/>
      <w:r>
        <w:rPr>
          <w:sz w:val="20"/>
          <w:szCs w:val="20"/>
        </w:rPr>
        <w:t>Jethani</w:t>
      </w:r>
      <w:proofErr w:type="spellEnd"/>
      <w:r>
        <w:rPr>
          <w:sz w:val="20"/>
          <w:szCs w:val="20"/>
        </w:rPr>
        <w:t xml:space="preserve"> N, Chen J, et al. </w:t>
      </w:r>
      <w:r>
        <w:rPr>
          <w:i/>
          <w:iCs/>
          <w:sz w:val="20"/>
          <w:szCs w:val="20"/>
        </w:rPr>
        <w:t xml:space="preserve">Myocardial injury in adults hospitalised with COVID-19. </w:t>
      </w:r>
      <w:r>
        <w:rPr>
          <w:b/>
          <w:bCs/>
          <w:sz w:val="20"/>
          <w:szCs w:val="20"/>
        </w:rPr>
        <w:t xml:space="preserve">Circulation. </w:t>
      </w:r>
      <w:r>
        <w:rPr>
          <w:sz w:val="20"/>
          <w:szCs w:val="20"/>
        </w:rPr>
        <w:t>2020;142(24):2393–2395.</w:t>
      </w:r>
      <w:r>
        <w:rPr>
          <w:color w:val="0563C1"/>
          <w:sz w:val="20"/>
          <w:szCs w:val="20"/>
        </w:rPr>
        <w:t xml:space="preserve"> doi:10.1161/CIRCULATIONAHA.120.050543</w:t>
      </w:r>
    </w:p>
    <w:p w:rsidR="00582C7F" w:rsidRDefault="00310D3E">
      <w:pPr>
        <w:spacing w:before="80" w:after="80" w:line="276" w:lineRule="auto"/>
        <w:ind w:left="500" w:hanging="500"/>
        <w:jc w:val="both"/>
      </w:pPr>
      <w:r>
        <w:rPr>
          <w:b/>
          <w:bCs/>
          <w:color w:val="1A1A2E"/>
          <w:sz w:val="20"/>
          <w:szCs w:val="20"/>
        </w:rPr>
        <w:lastRenderedPageBreak/>
        <w:t>[8]</w:t>
      </w:r>
      <w:r>
        <w:rPr>
          <w:sz w:val="20"/>
          <w:szCs w:val="20"/>
        </w:rPr>
        <w:t> </w:t>
      </w:r>
      <w:proofErr w:type="spellStart"/>
      <w:r>
        <w:rPr>
          <w:sz w:val="20"/>
          <w:szCs w:val="20"/>
        </w:rPr>
        <w:t>Xie</w:t>
      </w:r>
      <w:proofErr w:type="spellEnd"/>
      <w:r>
        <w:rPr>
          <w:sz w:val="20"/>
          <w:szCs w:val="20"/>
        </w:rPr>
        <w:t xml:space="preserve"> Y, Xu E, Bowe B, Al-Aly Z. </w:t>
      </w:r>
      <w:r>
        <w:rPr>
          <w:i/>
          <w:iCs/>
          <w:sz w:val="20"/>
          <w:szCs w:val="20"/>
        </w:rPr>
        <w:t xml:space="preserve">Long-term cardiovascular outcomes of COVID-19. </w:t>
      </w:r>
      <w:r>
        <w:rPr>
          <w:b/>
          <w:bCs/>
          <w:sz w:val="20"/>
          <w:szCs w:val="20"/>
        </w:rPr>
        <w:t xml:space="preserve">Nat Med. </w:t>
      </w:r>
      <w:r>
        <w:rPr>
          <w:sz w:val="20"/>
          <w:szCs w:val="20"/>
        </w:rPr>
        <w:t>2022;28(3):583–590.</w:t>
      </w:r>
      <w:r>
        <w:rPr>
          <w:color w:val="0563C1"/>
          <w:sz w:val="20"/>
          <w:szCs w:val="20"/>
        </w:rPr>
        <w:t xml:space="preserve"> doi:10.1038/s41591-022-01689-3</w:t>
      </w:r>
    </w:p>
    <w:p w:rsidR="00582C7F" w:rsidRDefault="00310D3E">
      <w:pPr>
        <w:spacing w:before="80" w:after="80" w:line="276" w:lineRule="auto"/>
        <w:ind w:left="500" w:hanging="500"/>
        <w:jc w:val="both"/>
      </w:pPr>
      <w:r>
        <w:rPr>
          <w:b/>
          <w:bCs/>
          <w:color w:val="1A1A2E"/>
          <w:sz w:val="20"/>
          <w:szCs w:val="20"/>
        </w:rPr>
        <w:t>[9]</w:t>
      </w:r>
      <w:r>
        <w:rPr>
          <w:sz w:val="20"/>
          <w:szCs w:val="20"/>
        </w:rPr>
        <w:t> </w:t>
      </w:r>
      <w:proofErr w:type="spellStart"/>
      <w:r>
        <w:rPr>
          <w:sz w:val="20"/>
          <w:szCs w:val="20"/>
        </w:rPr>
        <w:t>Elseidy</w:t>
      </w:r>
      <w:proofErr w:type="spellEnd"/>
      <w:r>
        <w:rPr>
          <w:sz w:val="20"/>
          <w:szCs w:val="20"/>
        </w:rPr>
        <w:t xml:space="preserve"> SA, </w:t>
      </w:r>
      <w:proofErr w:type="spellStart"/>
      <w:r>
        <w:rPr>
          <w:sz w:val="20"/>
          <w:szCs w:val="20"/>
        </w:rPr>
        <w:t>Awad</w:t>
      </w:r>
      <w:proofErr w:type="spellEnd"/>
      <w:r>
        <w:rPr>
          <w:sz w:val="20"/>
          <w:szCs w:val="20"/>
        </w:rPr>
        <w:t xml:space="preserve"> AK, </w:t>
      </w:r>
      <w:proofErr w:type="spellStart"/>
      <w:r>
        <w:rPr>
          <w:sz w:val="20"/>
          <w:szCs w:val="20"/>
        </w:rPr>
        <w:t>Vorla</w:t>
      </w:r>
      <w:proofErr w:type="spellEnd"/>
      <w:r>
        <w:rPr>
          <w:sz w:val="20"/>
          <w:szCs w:val="20"/>
        </w:rPr>
        <w:t xml:space="preserve"> M, et al. </w:t>
      </w:r>
      <w:r>
        <w:rPr>
          <w:i/>
          <w:iCs/>
          <w:sz w:val="20"/>
          <w:szCs w:val="20"/>
        </w:rPr>
        <w:t xml:space="preserve">Cardiovascular complications in the post-acute COVID-19 syndrome (PACS). </w:t>
      </w:r>
      <w:proofErr w:type="spellStart"/>
      <w:r>
        <w:rPr>
          <w:b/>
          <w:bCs/>
          <w:sz w:val="20"/>
          <w:szCs w:val="20"/>
        </w:rPr>
        <w:t>Int</w:t>
      </w:r>
      <w:proofErr w:type="spellEnd"/>
      <w:r>
        <w:rPr>
          <w:b/>
          <w:bCs/>
          <w:sz w:val="20"/>
          <w:szCs w:val="20"/>
        </w:rPr>
        <w:t xml:space="preserve"> J </w:t>
      </w:r>
      <w:proofErr w:type="spellStart"/>
      <w:r>
        <w:rPr>
          <w:b/>
          <w:bCs/>
          <w:sz w:val="20"/>
          <w:szCs w:val="20"/>
        </w:rPr>
        <w:t>Cardiol</w:t>
      </w:r>
      <w:proofErr w:type="spellEnd"/>
      <w:r>
        <w:rPr>
          <w:b/>
          <w:bCs/>
          <w:sz w:val="20"/>
          <w:szCs w:val="20"/>
        </w:rPr>
        <w:t xml:space="preserve"> Heart </w:t>
      </w:r>
      <w:proofErr w:type="spellStart"/>
      <w:r>
        <w:rPr>
          <w:b/>
          <w:bCs/>
          <w:sz w:val="20"/>
          <w:szCs w:val="20"/>
        </w:rPr>
        <w:t>Vasc</w:t>
      </w:r>
      <w:proofErr w:type="spellEnd"/>
      <w:r>
        <w:rPr>
          <w:b/>
          <w:bCs/>
          <w:sz w:val="20"/>
          <w:szCs w:val="20"/>
        </w:rPr>
        <w:t xml:space="preserve">. </w:t>
      </w:r>
      <w:proofErr w:type="gramStart"/>
      <w:r>
        <w:rPr>
          <w:sz w:val="20"/>
          <w:szCs w:val="20"/>
        </w:rPr>
        <w:t>2022;40:101012</w:t>
      </w:r>
      <w:proofErr w:type="gramEnd"/>
      <w:r>
        <w:rPr>
          <w:sz w:val="20"/>
          <w:szCs w:val="20"/>
        </w:rPr>
        <w:t>.</w:t>
      </w:r>
      <w:r>
        <w:rPr>
          <w:color w:val="0563C1"/>
          <w:sz w:val="20"/>
          <w:szCs w:val="20"/>
        </w:rPr>
        <w:t xml:space="preserve"> </w:t>
      </w:r>
      <w:proofErr w:type="gramStart"/>
      <w:r>
        <w:rPr>
          <w:color w:val="0563C1"/>
          <w:sz w:val="20"/>
          <w:szCs w:val="20"/>
        </w:rPr>
        <w:t>doi:10.1016/j.ijcha</w:t>
      </w:r>
      <w:proofErr w:type="gramEnd"/>
      <w:r>
        <w:rPr>
          <w:color w:val="0563C1"/>
          <w:sz w:val="20"/>
          <w:szCs w:val="20"/>
        </w:rPr>
        <w:t>.2022.101012</w:t>
      </w:r>
    </w:p>
    <w:p w:rsidR="00582C7F" w:rsidRDefault="00310D3E">
      <w:pPr>
        <w:spacing w:before="80" w:after="80" w:line="276" w:lineRule="auto"/>
        <w:ind w:left="500" w:hanging="500"/>
        <w:jc w:val="both"/>
      </w:pPr>
      <w:r>
        <w:rPr>
          <w:b/>
          <w:bCs/>
          <w:color w:val="1A1A2E"/>
          <w:sz w:val="20"/>
          <w:szCs w:val="20"/>
        </w:rPr>
        <w:t>[10]</w:t>
      </w:r>
      <w:r>
        <w:rPr>
          <w:sz w:val="20"/>
          <w:szCs w:val="20"/>
        </w:rPr>
        <w:t xml:space="preserve"> Wolf A, </w:t>
      </w:r>
      <w:proofErr w:type="spellStart"/>
      <w:r>
        <w:rPr>
          <w:sz w:val="20"/>
          <w:szCs w:val="20"/>
        </w:rPr>
        <w:t>Khimani</w:t>
      </w:r>
      <w:proofErr w:type="spellEnd"/>
      <w:r>
        <w:rPr>
          <w:sz w:val="20"/>
          <w:szCs w:val="20"/>
        </w:rPr>
        <w:t xml:space="preserve"> F, Yoon B, et al. </w:t>
      </w:r>
      <w:r>
        <w:rPr>
          <w:i/>
          <w:iCs/>
          <w:sz w:val="20"/>
          <w:szCs w:val="20"/>
        </w:rPr>
        <w:t xml:space="preserve">The mechanistic basis linking cytokine storm to thrombosis in COVID-19. </w:t>
      </w:r>
      <w:r>
        <w:rPr>
          <w:b/>
          <w:bCs/>
          <w:sz w:val="20"/>
          <w:szCs w:val="20"/>
        </w:rPr>
        <w:t xml:space="preserve">Thrombosis Update. </w:t>
      </w:r>
      <w:proofErr w:type="gramStart"/>
      <w:r>
        <w:rPr>
          <w:sz w:val="20"/>
          <w:szCs w:val="20"/>
        </w:rPr>
        <w:t>2022;8:100110</w:t>
      </w:r>
      <w:proofErr w:type="gramEnd"/>
      <w:r>
        <w:rPr>
          <w:sz w:val="20"/>
          <w:szCs w:val="20"/>
        </w:rPr>
        <w:t>.</w:t>
      </w:r>
      <w:r>
        <w:rPr>
          <w:color w:val="0563C1"/>
          <w:sz w:val="20"/>
          <w:szCs w:val="20"/>
        </w:rPr>
        <w:t xml:space="preserve"> </w:t>
      </w:r>
      <w:proofErr w:type="gramStart"/>
      <w:r>
        <w:rPr>
          <w:color w:val="0563C1"/>
          <w:sz w:val="20"/>
          <w:szCs w:val="20"/>
        </w:rPr>
        <w:t>doi:10.1016/j.tru</w:t>
      </w:r>
      <w:proofErr w:type="gramEnd"/>
      <w:r>
        <w:rPr>
          <w:color w:val="0563C1"/>
          <w:sz w:val="20"/>
          <w:szCs w:val="20"/>
        </w:rPr>
        <w:t>.2022.100110</w:t>
      </w:r>
    </w:p>
    <w:p w:rsidR="00582C7F" w:rsidRDefault="00310D3E">
      <w:pPr>
        <w:spacing w:before="80" w:after="80" w:line="276" w:lineRule="auto"/>
        <w:ind w:left="500" w:hanging="500"/>
        <w:jc w:val="both"/>
      </w:pPr>
      <w:r>
        <w:rPr>
          <w:b/>
          <w:bCs/>
          <w:color w:val="1A1A2E"/>
          <w:sz w:val="20"/>
          <w:szCs w:val="20"/>
        </w:rPr>
        <w:t>[11]</w:t>
      </w:r>
      <w:r>
        <w:rPr>
          <w:sz w:val="20"/>
          <w:szCs w:val="20"/>
        </w:rPr>
        <w:t> </w:t>
      </w:r>
      <w:proofErr w:type="spellStart"/>
      <w:r>
        <w:rPr>
          <w:sz w:val="20"/>
          <w:szCs w:val="20"/>
        </w:rPr>
        <w:t>Omland</w:t>
      </w:r>
      <w:proofErr w:type="spellEnd"/>
      <w:r>
        <w:rPr>
          <w:sz w:val="20"/>
          <w:szCs w:val="20"/>
        </w:rPr>
        <w:t xml:space="preserve"> T, de </w:t>
      </w:r>
      <w:proofErr w:type="spellStart"/>
      <w:r>
        <w:rPr>
          <w:sz w:val="20"/>
          <w:szCs w:val="20"/>
        </w:rPr>
        <w:t>Lemos</w:t>
      </w:r>
      <w:proofErr w:type="spellEnd"/>
      <w:r>
        <w:rPr>
          <w:sz w:val="20"/>
          <w:szCs w:val="20"/>
        </w:rPr>
        <w:t xml:space="preserve"> JA, Holmen OL, et al. </w:t>
      </w:r>
      <w:r>
        <w:rPr>
          <w:i/>
          <w:iCs/>
          <w:sz w:val="20"/>
          <w:szCs w:val="20"/>
        </w:rPr>
        <w:t xml:space="preserve">Impact of sex on the prognostic value of high-sensitivity cardiac troponin I in the general population: the HUNT study. </w:t>
      </w:r>
      <w:proofErr w:type="spellStart"/>
      <w:r>
        <w:rPr>
          <w:b/>
          <w:bCs/>
          <w:sz w:val="20"/>
          <w:szCs w:val="20"/>
        </w:rPr>
        <w:t>Clin</w:t>
      </w:r>
      <w:proofErr w:type="spellEnd"/>
      <w:r>
        <w:rPr>
          <w:b/>
          <w:bCs/>
          <w:sz w:val="20"/>
          <w:szCs w:val="20"/>
        </w:rPr>
        <w:t xml:space="preserve"> Chem. </w:t>
      </w:r>
      <w:r>
        <w:rPr>
          <w:sz w:val="20"/>
          <w:szCs w:val="20"/>
        </w:rPr>
        <w:t>2015;61(4):646–656.</w:t>
      </w:r>
      <w:r>
        <w:rPr>
          <w:color w:val="0563C1"/>
          <w:sz w:val="20"/>
          <w:szCs w:val="20"/>
        </w:rPr>
        <w:t xml:space="preserve"> doi:10.1373/clinchem.2014.234369</w:t>
      </w:r>
    </w:p>
    <w:p w:rsidR="00582C7F" w:rsidRDefault="00310D3E">
      <w:pPr>
        <w:spacing w:before="80" w:after="80" w:line="276" w:lineRule="auto"/>
        <w:ind w:left="500" w:hanging="500"/>
        <w:jc w:val="both"/>
      </w:pPr>
      <w:r>
        <w:rPr>
          <w:b/>
          <w:bCs/>
          <w:color w:val="1A1A2E"/>
          <w:sz w:val="20"/>
          <w:szCs w:val="20"/>
        </w:rPr>
        <w:t>[12]</w:t>
      </w:r>
      <w:r>
        <w:rPr>
          <w:sz w:val="20"/>
          <w:szCs w:val="20"/>
        </w:rPr>
        <w:t xml:space="preserve"> Farmakis D, Richter D, </w:t>
      </w:r>
      <w:proofErr w:type="spellStart"/>
      <w:r>
        <w:rPr>
          <w:sz w:val="20"/>
          <w:szCs w:val="20"/>
        </w:rPr>
        <w:t>Papingiotis</w:t>
      </w:r>
      <w:proofErr w:type="spellEnd"/>
      <w:r>
        <w:rPr>
          <w:sz w:val="20"/>
          <w:szCs w:val="20"/>
        </w:rPr>
        <w:t xml:space="preserve"> G, </w:t>
      </w:r>
      <w:proofErr w:type="spellStart"/>
      <w:r>
        <w:rPr>
          <w:sz w:val="20"/>
          <w:szCs w:val="20"/>
        </w:rPr>
        <w:t>Parissis</w:t>
      </w:r>
      <w:proofErr w:type="spellEnd"/>
      <w:r>
        <w:rPr>
          <w:sz w:val="20"/>
          <w:szCs w:val="20"/>
        </w:rPr>
        <w:t xml:space="preserve"> J. </w:t>
      </w:r>
      <w:r>
        <w:rPr>
          <w:i/>
          <w:iCs/>
          <w:sz w:val="20"/>
          <w:szCs w:val="20"/>
        </w:rPr>
        <w:t xml:space="preserve">High-sensitivity cardiac troponin I for cardiovascular risk stratification in apparently healthy individuals. </w:t>
      </w:r>
      <w:r>
        <w:rPr>
          <w:b/>
          <w:bCs/>
          <w:sz w:val="20"/>
          <w:szCs w:val="20"/>
        </w:rPr>
        <w:t xml:space="preserve">Hellenic J </w:t>
      </w:r>
      <w:proofErr w:type="spellStart"/>
      <w:r>
        <w:rPr>
          <w:b/>
          <w:bCs/>
          <w:sz w:val="20"/>
          <w:szCs w:val="20"/>
        </w:rPr>
        <w:t>Cardiol</w:t>
      </w:r>
      <w:proofErr w:type="spellEnd"/>
      <w:r>
        <w:rPr>
          <w:b/>
          <w:bCs/>
          <w:sz w:val="20"/>
          <w:szCs w:val="20"/>
        </w:rPr>
        <w:t xml:space="preserve">. </w:t>
      </w:r>
      <w:proofErr w:type="gramStart"/>
      <w:r>
        <w:rPr>
          <w:sz w:val="20"/>
          <w:szCs w:val="20"/>
        </w:rPr>
        <w:t>2023;84:55</w:t>
      </w:r>
      <w:proofErr w:type="gramEnd"/>
      <w:r>
        <w:rPr>
          <w:sz w:val="20"/>
          <w:szCs w:val="20"/>
        </w:rPr>
        <w:t>–61.</w:t>
      </w:r>
      <w:r>
        <w:rPr>
          <w:color w:val="0563C1"/>
          <w:sz w:val="20"/>
          <w:szCs w:val="20"/>
        </w:rPr>
        <w:t xml:space="preserve"> </w:t>
      </w:r>
      <w:proofErr w:type="gramStart"/>
      <w:r>
        <w:rPr>
          <w:color w:val="0563C1"/>
          <w:sz w:val="20"/>
          <w:szCs w:val="20"/>
        </w:rPr>
        <w:t>doi:10.1016/j.hjc</w:t>
      </w:r>
      <w:proofErr w:type="gramEnd"/>
      <w:r>
        <w:rPr>
          <w:color w:val="0563C1"/>
          <w:sz w:val="20"/>
          <w:szCs w:val="20"/>
        </w:rPr>
        <w:t>.2023.09.011</w:t>
      </w:r>
    </w:p>
    <w:p w:rsidR="00582C7F" w:rsidRDefault="00310D3E">
      <w:pPr>
        <w:spacing w:before="80" w:after="80" w:line="276" w:lineRule="auto"/>
        <w:ind w:left="500" w:hanging="500"/>
        <w:jc w:val="both"/>
      </w:pPr>
      <w:r>
        <w:rPr>
          <w:b/>
          <w:bCs/>
          <w:color w:val="1A1A2E"/>
          <w:sz w:val="20"/>
          <w:szCs w:val="20"/>
        </w:rPr>
        <w:t>[13]</w:t>
      </w:r>
      <w:r>
        <w:rPr>
          <w:sz w:val="20"/>
          <w:szCs w:val="20"/>
        </w:rPr>
        <w:t> </w:t>
      </w:r>
      <w:proofErr w:type="spellStart"/>
      <w:r>
        <w:rPr>
          <w:sz w:val="20"/>
          <w:szCs w:val="20"/>
        </w:rPr>
        <w:t>Bürgi</w:t>
      </w:r>
      <w:proofErr w:type="spellEnd"/>
      <w:r>
        <w:rPr>
          <w:sz w:val="20"/>
          <w:szCs w:val="20"/>
        </w:rPr>
        <w:t xml:space="preserve"> JJ, </w:t>
      </w:r>
      <w:proofErr w:type="spellStart"/>
      <w:r>
        <w:rPr>
          <w:sz w:val="20"/>
          <w:szCs w:val="20"/>
        </w:rPr>
        <w:t>Rösslein</w:t>
      </w:r>
      <w:proofErr w:type="spellEnd"/>
      <w:r>
        <w:rPr>
          <w:sz w:val="20"/>
          <w:szCs w:val="20"/>
        </w:rPr>
        <w:t xml:space="preserve"> M, Nolte O, et al. </w:t>
      </w:r>
      <w:r>
        <w:rPr>
          <w:i/>
          <w:iCs/>
          <w:sz w:val="20"/>
          <w:szCs w:val="20"/>
        </w:rPr>
        <w:t xml:space="preserve">Mild COVID-19 induces early, quantifiable, persistent troponin I elevations in elder men. </w:t>
      </w:r>
      <w:r>
        <w:rPr>
          <w:b/>
          <w:bCs/>
          <w:sz w:val="20"/>
          <w:szCs w:val="20"/>
        </w:rPr>
        <w:t xml:space="preserve">Front </w:t>
      </w:r>
      <w:proofErr w:type="spellStart"/>
      <w:r>
        <w:rPr>
          <w:b/>
          <w:bCs/>
          <w:sz w:val="20"/>
          <w:szCs w:val="20"/>
        </w:rPr>
        <w:t>Cardiovasc</w:t>
      </w:r>
      <w:proofErr w:type="spellEnd"/>
      <w:r>
        <w:rPr>
          <w:b/>
          <w:bCs/>
          <w:sz w:val="20"/>
          <w:szCs w:val="20"/>
        </w:rPr>
        <w:t xml:space="preserve"> Med. </w:t>
      </w:r>
      <w:proofErr w:type="gramStart"/>
      <w:r>
        <w:rPr>
          <w:sz w:val="20"/>
          <w:szCs w:val="20"/>
        </w:rPr>
        <w:t>2022;9:1053790</w:t>
      </w:r>
      <w:proofErr w:type="gramEnd"/>
      <w:r>
        <w:rPr>
          <w:sz w:val="20"/>
          <w:szCs w:val="20"/>
        </w:rPr>
        <w:t>.</w:t>
      </w:r>
      <w:r>
        <w:rPr>
          <w:color w:val="0563C1"/>
          <w:sz w:val="20"/>
          <w:szCs w:val="20"/>
        </w:rPr>
        <w:t xml:space="preserve"> doi:10.3389/fcvm.2022.1053790</w:t>
      </w:r>
    </w:p>
    <w:p w:rsidR="00582C7F" w:rsidRDefault="00310D3E">
      <w:pPr>
        <w:spacing w:before="80" w:after="80" w:line="276" w:lineRule="auto"/>
        <w:ind w:left="500" w:hanging="500"/>
        <w:jc w:val="both"/>
      </w:pPr>
      <w:r>
        <w:rPr>
          <w:b/>
          <w:bCs/>
          <w:color w:val="1A1A2E"/>
          <w:sz w:val="20"/>
          <w:szCs w:val="20"/>
        </w:rPr>
        <w:t>[14]</w:t>
      </w:r>
      <w:r>
        <w:rPr>
          <w:sz w:val="20"/>
          <w:szCs w:val="20"/>
        </w:rPr>
        <w:t> </w:t>
      </w:r>
      <w:proofErr w:type="spellStart"/>
      <w:r>
        <w:rPr>
          <w:sz w:val="20"/>
          <w:szCs w:val="20"/>
        </w:rPr>
        <w:t>Tawiah</w:t>
      </w:r>
      <w:proofErr w:type="spellEnd"/>
      <w:r>
        <w:rPr>
          <w:sz w:val="20"/>
          <w:szCs w:val="20"/>
        </w:rPr>
        <w:t xml:space="preserve"> K, Jackson L, </w:t>
      </w:r>
      <w:proofErr w:type="spellStart"/>
      <w:r>
        <w:rPr>
          <w:sz w:val="20"/>
          <w:szCs w:val="20"/>
        </w:rPr>
        <w:t>Omosule</w:t>
      </w:r>
      <w:proofErr w:type="spellEnd"/>
      <w:r>
        <w:rPr>
          <w:sz w:val="20"/>
          <w:szCs w:val="20"/>
        </w:rPr>
        <w:t xml:space="preserve"> C, et al. </w:t>
      </w:r>
      <w:r>
        <w:rPr>
          <w:i/>
          <w:iCs/>
          <w:sz w:val="20"/>
          <w:szCs w:val="20"/>
        </w:rPr>
        <w:t xml:space="preserve">Serial cardiac biomarkers for risk stratification in COVID-19. </w:t>
      </w:r>
      <w:proofErr w:type="spellStart"/>
      <w:r>
        <w:rPr>
          <w:b/>
          <w:bCs/>
          <w:sz w:val="20"/>
          <w:szCs w:val="20"/>
        </w:rPr>
        <w:t>Clin</w:t>
      </w:r>
      <w:proofErr w:type="spellEnd"/>
      <w:r>
        <w:rPr>
          <w:b/>
          <w:bCs/>
          <w:sz w:val="20"/>
          <w:szCs w:val="20"/>
        </w:rPr>
        <w:t xml:space="preserve"> </w:t>
      </w:r>
      <w:proofErr w:type="spellStart"/>
      <w:r>
        <w:rPr>
          <w:b/>
          <w:bCs/>
          <w:sz w:val="20"/>
          <w:szCs w:val="20"/>
        </w:rPr>
        <w:t>Biochem</w:t>
      </w:r>
      <w:proofErr w:type="spellEnd"/>
      <w:r>
        <w:rPr>
          <w:b/>
          <w:bCs/>
          <w:sz w:val="20"/>
          <w:szCs w:val="20"/>
        </w:rPr>
        <w:t xml:space="preserve">. </w:t>
      </w:r>
      <w:proofErr w:type="gramStart"/>
      <w:r>
        <w:rPr>
          <w:sz w:val="20"/>
          <w:szCs w:val="20"/>
        </w:rPr>
        <w:t>2022;107:24</w:t>
      </w:r>
      <w:proofErr w:type="gramEnd"/>
      <w:r>
        <w:rPr>
          <w:sz w:val="20"/>
          <w:szCs w:val="20"/>
        </w:rPr>
        <w:t>–32.</w:t>
      </w:r>
      <w:r>
        <w:rPr>
          <w:color w:val="0563C1"/>
          <w:sz w:val="20"/>
          <w:szCs w:val="20"/>
        </w:rPr>
        <w:t xml:space="preserve"> </w:t>
      </w:r>
      <w:proofErr w:type="gramStart"/>
      <w:r>
        <w:rPr>
          <w:color w:val="0563C1"/>
          <w:sz w:val="20"/>
          <w:szCs w:val="20"/>
        </w:rPr>
        <w:t>doi:10.1016/j.clinbiochem</w:t>
      </w:r>
      <w:proofErr w:type="gramEnd"/>
      <w:r>
        <w:rPr>
          <w:color w:val="0563C1"/>
          <w:sz w:val="20"/>
          <w:szCs w:val="20"/>
        </w:rPr>
        <w:t>.2022.04.002</w:t>
      </w:r>
    </w:p>
    <w:p w:rsidR="00582C7F" w:rsidRDefault="00310D3E">
      <w:pPr>
        <w:spacing w:before="80" w:after="80" w:line="276" w:lineRule="auto"/>
        <w:ind w:left="500" w:hanging="500"/>
        <w:jc w:val="both"/>
      </w:pPr>
      <w:r>
        <w:rPr>
          <w:b/>
          <w:bCs/>
          <w:color w:val="1A1A2E"/>
          <w:sz w:val="20"/>
          <w:szCs w:val="20"/>
        </w:rPr>
        <w:t>[15]</w:t>
      </w:r>
      <w:r>
        <w:rPr>
          <w:sz w:val="20"/>
          <w:szCs w:val="20"/>
        </w:rPr>
        <w:t> </w:t>
      </w:r>
      <w:proofErr w:type="spellStart"/>
      <w:r>
        <w:rPr>
          <w:sz w:val="20"/>
          <w:szCs w:val="20"/>
        </w:rPr>
        <w:t>Shafi</w:t>
      </w:r>
      <w:proofErr w:type="spellEnd"/>
      <w:r>
        <w:rPr>
          <w:sz w:val="20"/>
          <w:szCs w:val="20"/>
        </w:rPr>
        <w:t xml:space="preserve"> AMA, Shaikh SA, </w:t>
      </w:r>
      <w:proofErr w:type="spellStart"/>
      <w:r>
        <w:rPr>
          <w:sz w:val="20"/>
          <w:szCs w:val="20"/>
        </w:rPr>
        <w:t>Shirke</w:t>
      </w:r>
      <w:proofErr w:type="spellEnd"/>
      <w:r>
        <w:rPr>
          <w:sz w:val="20"/>
          <w:szCs w:val="20"/>
        </w:rPr>
        <w:t xml:space="preserve"> MM, </w:t>
      </w:r>
      <w:proofErr w:type="spellStart"/>
      <w:r>
        <w:rPr>
          <w:sz w:val="20"/>
          <w:szCs w:val="20"/>
        </w:rPr>
        <w:t>Iddawela</w:t>
      </w:r>
      <w:proofErr w:type="spellEnd"/>
      <w:r>
        <w:rPr>
          <w:sz w:val="20"/>
          <w:szCs w:val="20"/>
        </w:rPr>
        <w:t xml:space="preserve"> S, </w:t>
      </w:r>
      <w:proofErr w:type="spellStart"/>
      <w:r>
        <w:rPr>
          <w:sz w:val="20"/>
          <w:szCs w:val="20"/>
        </w:rPr>
        <w:t>Harky</w:t>
      </w:r>
      <w:proofErr w:type="spellEnd"/>
      <w:r>
        <w:rPr>
          <w:sz w:val="20"/>
          <w:szCs w:val="20"/>
        </w:rPr>
        <w:t xml:space="preserve"> A. </w:t>
      </w:r>
      <w:r>
        <w:rPr>
          <w:i/>
          <w:iCs/>
          <w:sz w:val="20"/>
          <w:szCs w:val="20"/>
        </w:rPr>
        <w:t xml:space="preserve">Cardiac manifestations in COVID-19 patients — a systematic review. </w:t>
      </w:r>
      <w:r>
        <w:rPr>
          <w:b/>
          <w:bCs/>
          <w:sz w:val="20"/>
          <w:szCs w:val="20"/>
        </w:rPr>
        <w:t xml:space="preserve">J Card Surg. </w:t>
      </w:r>
      <w:r>
        <w:rPr>
          <w:sz w:val="20"/>
          <w:szCs w:val="20"/>
        </w:rPr>
        <w:t>2020;35(8):1988–2008.</w:t>
      </w:r>
      <w:r>
        <w:rPr>
          <w:color w:val="0563C1"/>
          <w:sz w:val="20"/>
          <w:szCs w:val="20"/>
        </w:rPr>
        <w:t xml:space="preserve"> doi:10.1111/jocs.14808</w:t>
      </w:r>
    </w:p>
    <w:p w:rsidR="00582C7F" w:rsidRDefault="00310D3E">
      <w:pPr>
        <w:spacing w:before="80" w:after="80" w:line="276" w:lineRule="auto"/>
        <w:ind w:left="500" w:hanging="500"/>
        <w:jc w:val="both"/>
      </w:pPr>
      <w:r>
        <w:rPr>
          <w:b/>
          <w:bCs/>
          <w:color w:val="1A1A2E"/>
          <w:sz w:val="20"/>
          <w:szCs w:val="20"/>
        </w:rPr>
        <w:t>[16]</w:t>
      </w:r>
      <w:r>
        <w:rPr>
          <w:sz w:val="20"/>
          <w:szCs w:val="20"/>
        </w:rPr>
        <w:t> </w:t>
      </w:r>
      <w:proofErr w:type="spellStart"/>
      <w:r>
        <w:rPr>
          <w:sz w:val="20"/>
          <w:szCs w:val="20"/>
        </w:rPr>
        <w:t>Vosko</w:t>
      </w:r>
      <w:proofErr w:type="spellEnd"/>
      <w:r>
        <w:rPr>
          <w:sz w:val="20"/>
          <w:szCs w:val="20"/>
        </w:rPr>
        <w:t xml:space="preserve"> I, </w:t>
      </w:r>
      <w:proofErr w:type="spellStart"/>
      <w:r>
        <w:rPr>
          <w:sz w:val="20"/>
          <w:szCs w:val="20"/>
        </w:rPr>
        <w:t>Zirlik</w:t>
      </w:r>
      <w:proofErr w:type="spellEnd"/>
      <w:r>
        <w:rPr>
          <w:sz w:val="20"/>
          <w:szCs w:val="20"/>
        </w:rPr>
        <w:t xml:space="preserve"> A, Bugger H. </w:t>
      </w:r>
      <w:r>
        <w:rPr>
          <w:i/>
          <w:iCs/>
          <w:sz w:val="20"/>
          <w:szCs w:val="20"/>
        </w:rPr>
        <w:t xml:space="preserve">Impact of COVID-19 on cardiovascular disease. </w:t>
      </w:r>
      <w:r>
        <w:rPr>
          <w:b/>
          <w:bCs/>
          <w:sz w:val="20"/>
          <w:szCs w:val="20"/>
        </w:rPr>
        <w:t xml:space="preserve">Viruses. </w:t>
      </w:r>
      <w:r>
        <w:rPr>
          <w:sz w:val="20"/>
          <w:szCs w:val="20"/>
        </w:rPr>
        <w:t>2023;15(2):508.</w:t>
      </w:r>
      <w:r>
        <w:rPr>
          <w:color w:val="0563C1"/>
          <w:sz w:val="20"/>
          <w:szCs w:val="20"/>
        </w:rPr>
        <w:t xml:space="preserve"> doi:10.3390/v15020508</w:t>
      </w:r>
    </w:p>
    <w:p w:rsidR="00582C7F" w:rsidRDefault="00310D3E">
      <w:pPr>
        <w:spacing w:before="80" w:after="80" w:line="276" w:lineRule="auto"/>
        <w:ind w:left="500" w:hanging="500"/>
        <w:jc w:val="both"/>
      </w:pPr>
      <w:r>
        <w:rPr>
          <w:b/>
          <w:bCs/>
          <w:color w:val="1A1A2E"/>
          <w:sz w:val="20"/>
          <w:szCs w:val="20"/>
        </w:rPr>
        <w:t>[17]</w:t>
      </w:r>
      <w:r>
        <w:rPr>
          <w:sz w:val="20"/>
          <w:szCs w:val="20"/>
        </w:rPr>
        <w:t> </w:t>
      </w:r>
      <w:proofErr w:type="spellStart"/>
      <w:r>
        <w:rPr>
          <w:sz w:val="20"/>
          <w:szCs w:val="20"/>
        </w:rPr>
        <w:t>Peluso</w:t>
      </w:r>
      <w:proofErr w:type="spellEnd"/>
      <w:r>
        <w:rPr>
          <w:sz w:val="20"/>
          <w:szCs w:val="20"/>
        </w:rPr>
        <w:t xml:space="preserve"> MJ, </w:t>
      </w:r>
      <w:proofErr w:type="spellStart"/>
      <w:r>
        <w:rPr>
          <w:sz w:val="20"/>
          <w:szCs w:val="20"/>
        </w:rPr>
        <w:t>Deeks</w:t>
      </w:r>
      <w:proofErr w:type="spellEnd"/>
      <w:r>
        <w:rPr>
          <w:sz w:val="20"/>
          <w:szCs w:val="20"/>
        </w:rPr>
        <w:t xml:space="preserve"> SG, </w:t>
      </w:r>
      <w:proofErr w:type="spellStart"/>
      <w:r>
        <w:rPr>
          <w:sz w:val="20"/>
          <w:szCs w:val="20"/>
        </w:rPr>
        <w:t>Mustapic</w:t>
      </w:r>
      <w:proofErr w:type="spellEnd"/>
      <w:r>
        <w:rPr>
          <w:sz w:val="20"/>
          <w:szCs w:val="20"/>
        </w:rPr>
        <w:t xml:space="preserve"> M, et al. </w:t>
      </w:r>
      <w:r>
        <w:rPr>
          <w:i/>
          <w:iCs/>
          <w:sz w:val="20"/>
          <w:szCs w:val="20"/>
        </w:rPr>
        <w:t xml:space="preserve">SARS-CoV-2 and viral persistence in body compartments and tissues. </w:t>
      </w:r>
      <w:r>
        <w:rPr>
          <w:b/>
          <w:bCs/>
          <w:sz w:val="20"/>
          <w:szCs w:val="20"/>
        </w:rPr>
        <w:t xml:space="preserve">Lancet Microbe. </w:t>
      </w:r>
      <w:r>
        <w:rPr>
          <w:sz w:val="20"/>
          <w:szCs w:val="20"/>
        </w:rPr>
        <w:t>2022;3(8</w:t>
      </w:r>
      <w:proofErr w:type="gramStart"/>
      <w:r>
        <w:rPr>
          <w:sz w:val="20"/>
          <w:szCs w:val="20"/>
        </w:rPr>
        <w:t>):e</w:t>
      </w:r>
      <w:proofErr w:type="gramEnd"/>
      <w:r>
        <w:rPr>
          <w:sz w:val="20"/>
          <w:szCs w:val="20"/>
        </w:rPr>
        <w:t>572–e580.</w:t>
      </w:r>
      <w:r>
        <w:rPr>
          <w:color w:val="0563C1"/>
          <w:sz w:val="20"/>
          <w:szCs w:val="20"/>
        </w:rPr>
        <w:t xml:space="preserve"> doi:10.1016/S2666-5247(22)00114-9</w:t>
      </w:r>
    </w:p>
    <w:p w:rsidR="00582C7F" w:rsidRDefault="00310D3E">
      <w:pPr>
        <w:spacing w:before="80" w:after="80" w:line="276" w:lineRule="auto"/>
        <w:ind w:left="500" w:hanging="500"/>
        <w:jc w:val="both"/>
      </w:pPr>
      <w:r>
        <w:rPr>
          <w:b/>
          <w:bCs/>
          <w:color w:val="1A1A2E"/>
          <w:sz w:val="20"/>
          <w:szCs w:val="20"/>
        </w:rPr>
        <w:t>[18]</w:t>
      </w:r>
      <w:r>
        <w:rPr>
          <w:sz w:val="20"/>
          <w:szCs w:val="20"/>
        </w:rPr>
        <w:t> </w:t>
      </w:r>
      <w:proofErr w:type="spellStart"/>
      <w:r>
        <w:rPr>
          <w:sz w:val="20"/>
          <w:szCs w:val="20"/>
        </w:rPr>
        <w:t>Wallukat</w:t>
      </w:r>
      <w:proofErr w:type="spellEnd"/>
      <w:r>
        <w:rPr>
          <w:sz w:val="20"/>
          <w:szCs w:val="20"/>
        </w:rPr>
        <w:t xml:space="preserve"> G, </w:t>
      </w:r>
      <w:proofErr w:type="spellStart"/>
      <w:r>
        <w:rPr>
          <w:sz w:val="20"/>
          <w:szCs w:val="20"/>
        </w:rPr>
        <w:t>Hohberger</w:t>
      </w:r>
      <w:proofErr w:type="spellEnd"/>
      <w:r>
        <w:rPr>
          <w:sz w:val="20"/>
          <w:szCs w:val="20"/>
        </w:rPr>
        <w:t xml:space="preserve"> B, Wenzel K, et al. </w:t>
      </w:r>
      <w:r>
        <w:rPr>
          <w:i/>
          <w:iCs/>
          <w:sz w:val="20"/>
          <w:szCs w:val="20"/>
        </w:rPr>
        <w:t xml:space="preserve">Functional autoantibodies against G-protein-coupled receptors in patients with persistent Long COVID-19 symptoms. </w:t>
      </w:r>
      <w:r>
        <w:rPr>
          <w:b/>
          <w:bCs/>
          <w:sz w:val="20"/>
          <w:szCs w:val="20"/>
        </w:rPr>
        <w:t xml:space="preserve">J </w:t>
      </w:r>
      <w:proofErr w:type="spellStart"/>
      <w:r>
        <w:rPr>
          <w:b/>
          <w:bCs/>
          <w:sz w:val="20"/>
          <w:szCs w:val="20"/>
        </w:rPr>
        <w:t>Transl</w:t>
      </w:r>
      <w:proofErr w:type="spellEnd"/>
      <w:r>
        <w:rPr>
          <w:b/>
          <w:bCs/>
          <w:sz w:val="20"/>
          <w:szCs w:val="20"/>
        </w:rPr>
        <w:t xml:space="preserve"> </w:t>
      </w:r>
      <w:proofErr w:type="spellStart"/>
      <w:r>
        <w:rPr>
          <w:b/>
          <w:bCs/>
          <w:sz w:val="20"/>
          <w:szCs w:val="20"/>
        </w:rPr>
        <w:t>Autoimmun</w:t>
      </w:r>
      <w:proofErr w:type="spellEnd"/>
      <w:r>
        <w:rPr>
          <w:b/>
          <w:bCs/>
          <w:sz w:val="20"/>
          <w:szCs w:val="20"/>
        </w:rPr>
        <w:t xml:space="preserve">. </w:t>
      </w:r>
      <w:proofErr w:type="gramStart"/>
      <w:r>
        <w:rPr>
          <w:sz w:val="20"/>
          <w:szCs w:val="20"/>
        </w:rPr>
        <w:t>2021;4:100100</w:t>
      </w:r>
      <w:proofErr w:type="gramEnd"/>
      <w:r>
        <w:rPr>
          <w:sz w:val="20"/>
          <w:szCs w:val="20"/>
        </w:rPr>
        <w:t>.</w:t>
      </w:r>
      <w:r>
        <w:rPr>
          <w:color w:val="0563C1"/>
          <w:sz w:val="20"/>
          <w:szCs w:val="20"/>
        </w:rPr>
        <w:t xml:space="preserve"> </w:t>
      </w:r>
      <w:proofErr w:type="gramStart"/>
      <w:r>
        <w:rPr>
          <w:color w:val="0563C1"/>
          <w:sz w:val="20"/>
          <w:szCs w:val="20"/>
        </w:rPr>
        <w:t>doi:10.1016/j.jtauto</w:t>
      </w:r>
      <w:proofErr w:type="gramEnd"/>
      <w:r>
        <w:rPr>
          <w:color w:val="0563C1"/>
          <w:sz w:val="20"/>
          <w:szCs w:val="20"/>
        </w:rPr>
        <w:t>.2021.100100</w:t>
      </w:r>
    </w:p>
    <w:p w:rsidR="00582C7F" w:rsidRDefault="00310D3E">
      <w:pPr>
        <w:spacing w:before="80" w:after="80" w:line="276" w:lineRule="auto"/>
        <w:ind w:left="500" w:hanging="500"/>
        <w:jc w:val="both"/>
      </w:pPr>
      <w:r>
        <w:rPr>
          <w:b/>
          <w:bCs/>
          <w:color w:val="1A1A2E"/>
          <w:sz w:val="20"/>
          <w:szCs w:val="20"/>
        </w:rPr>
        <w:t>[19]</w:t>
      </w:r>
      <w:r>
        <w:rPr>
          <w:sz w:val="20"/>
          <w:szCs w:val="20"/>
        </w:rPr>
        <w:t xml:space="preserve"> World Health Organization. </w:t>
      </w:r>
      <w:r>
        <w:rPr>
          <w:i/>
          <w:iCs/>
          <w:sz w:val="20"/>
          <w:szCs w:val="20"/>
        </w:rPr>
        <w:t xml:space="preserve">Clinical Management of COVID-19: Interim Guidance. </w:t>
      </w:r>
      <w:r>
        <w:rPr>
          <w:b/>
          <w:bCs/>
          <w:sz w:val="20"/>
          <w:szCs w:val="20"/>
        </w:rPr>
        <w:t xml:space="preserve">WHO; </w:t>
      </w:r>
      <w:r>
        <w:rPr>
          <w:sz w:val="20"/>
          <w:szCs w:val="20"/>
        </w:rPr>
        <w:t>2020. WHO/2019-nCoV/clinical/2020.5.</w:t>
      </w:r>
    </w:p>
    <w:p w:rsidR="00582C7F" w:rsidRDefault="00310D3E">
      <w:pPr>
        <w:spacing w:before="80" w:after="80" w:line="276" w:lineRule="auto"/>
        <w:ind w:left="500" w:hanging="500"/>
        <w:jc w:val="both"/>
      </w:pPr>
      <w:r>
        <w:rPr>
          <w:b/>
          <w:bCs/>
          <w:color w:val="1A1A2E"/>
          <w:sz w:val="20"/>
          <w:szCs w:val="20"/>
        </w:rPr>
        <w:t>[20]</w:t>
      </w:r>
      <w:r>
        <w:rPr>
          <w:sz w:val="20"/>
          <w:szCs w:val="20"/>
        </w:rPr>
        <w:t xml:space="preserve"> Abbott Laboratories. </w:t>
      </w:r>
      <w:r>
        <w:rPr>
          <w:i/>
          <w:iCs/>
          <w:sz w:val="20"/>
          <w:szCs w:val="20"/>
        </w:rPr>
        <w:t xml:space="preserve">ARCHITECT STAT High Sensitive Troponin-I [package insert]. </w:t>
      </w:r>
      <w:r>
        <w:rPr>
          <w:b/>
          <w:bCs/>
          <w:sz w:val="20"/>
          <w:szCs w:val="20"/>
        </w:rPr>
        <w:t xml:space="preserve">Abbott Laboratories, </w:t>
      </w:r>
      <w:r>
        <w:rPr>
          <w:sz w:val="20"/>
          <w:szCs w:val="20"/>
        </w:rPr>
        <w:t>Lake Bluff, IL; 2018. Reagent kit G97079R01.</w:t>
      </w:r>
    </w:p>
    <w:p w:rsidR="00582C7F" w:rsidRDefault="00310D3E">
      <w:pPr>
        <w:spacing w:before="80" w:after="80" w:line="276" w:lineRule="auto"/>
        <w:ind w:left="500" w:hanging="500"/>
        <w:jc w:val="both"/>
      </w:pPr>
      <w:r>
        <w:rPr>
          <w:b/>
          <w:bCs/>
          <w:color w:val="1A1A2E"/>
          <w:sz w:val="20"/>
          <w:szCs w:val="20"/>
        </w:rPr>
        <w:t>[21]</w:t>
      </w:r>
      <w:r>
        <w:rPr>
          <w:sz w:val="20"/>
          <w:szCs w:val="20"/>
        </w:rPr>
        <w:t xml:space="preserve"> Zhou F, Yu T, Du R, et al. </w:t>
      </w:r>
      <w:r>
        <w:rPr>
          <w:i/>
          <w:iCs/>
          <w:sz w:val="20"/>
          <w:szCs w:val="20"/>
        </w:rPr>
        <w:t xml:space="preserve">Clinical course and risk factors for mortality of adult inpatients with COVID-19 in Wuhan, China: a retrospective cohort study. </w:t>
      </w:r>
      <w:r>
        <w:rPr>
          <w:b/>
          <w:bCs/>
          <w:sz w:val="20"/>
          <w:szCs w:val="20"/>
        </w:rPr>
        <w:t xml:space="preserve">Lancet. </w:t>
      </w:r>
      <w:r>
        <w:rPr>
          <w:sz w:val="20"/>
          <w:szCs w:val="20"/>
        </w:rPr>
        <w:t>2020;395(10229):1054–1062.</w:t>
      </w:r>
      <w:r>
        <w:rPr>
          <w:color w:val="0563C1"/>
          <w:sz w:val="20"/>
          <w:szCs w:val="20"/>
        </w:rPr>
        <w:t xml:space="preserve"> doi:10.1016/S0140-6736(20)30566-3</w:t>
      </w:r>
    </w:p>
    <w:p w:rsidR="00582C7F" w:rsidRDefault="00310D3E">
      <w:pPr>
        <w:spacing w:before="80" w:after="80" w:line="276" w:lineRule="auto"/>
        <w:ind w:left="500" w:hanging="500"/>
        <w:jc w:val="both"/>
      </w:pPr>
      <w:r>
        <w:rPr>
          <w:b/>
          <w:bCs/>
          <w:color w:val="1A1A2E"/>
          <w:sz w:val="20"/>
          <w:szCs w:val="20"/>
        </w:rPr>
        <w:t>[22]</w:t>
      </w:r>
      <w:r>
        <w:rPr>
          <w:sz w:val="20"/>
          <w:szCs w:val="20"/>
        </w:rPr>
        <w:t xml:space="preserve"> Bhatt DL, Lopes RD, Harrington RA. </w:t>
      </w:r>
      <w:r>
        <w:rPr>
          <w:i/>
          <w:iCs/>
          <w:sz w:val="20"/>
          <w:szCs w:val="20"/>
        </w:rPr>
        <w:t xml:space="preserve">Diagnosis and treatment of acute coronary syndromes: a review. </w:t>
      </w:r>
      <w:r>
        <w:rPr>
          <w:b/>
          <w:bCs/>
          <w:sz w:val="20"/>
          <w:szCs w:val="20"/>
        </w:rPr>
        <w:t xml:space="preserve">JAMA. </w:t>
      </w:r>
      <w:r>
        <w:rPr>
          <w:sz w:val="20"/>
          <w:szCs w:val="20"/>
        </w:rPr>
        <w:t>2022;327(7):662–675.</w:t>
      </w:r>
      <w:r>
        <w:rPr>
          <w:color w:val="0563C1"/>
          <w:sz w:val="20"/>
          <w:szCs w:val="20"/>
        </w:rPr>
        <w:t xml:space="preserve"> doi:10.1001/jama.2022.0358</w:t>
      </w:r>
    </w:p>
    <w:p w:rsidR="00582C7F" w:rsidRDefault="00310D3E">
      <w:pPr>
        <w:spacing w:before="80" w:after="80" w:line="276" w:lineRule="auto"/>
        <w:ind w:left="500" w:hanging="500"/>
        <w:jc w:val="both"/>
      </w:pPr>
      <w:r>
        <w:rPr>
          <w:b/>
          <w:bCs/>
          <w:color w:val="1A1A2E"/>
          <w:sz w:val="20"/>
          <w:szCs w:val="20"/>
        </w:rPr>
        <w:t>[23]</w:t>
      </w:r>
      <w:r>
        <w:rPr>
          <w:sz w:val="20"/>
          <w:szCs w:val="20"/>
        </w:rPr>
        <w:t> </w:t>
      </w:r>
      <w:proofErr w:type="spellStart"/>
      <w:r>
        <w:rPr>
          <w:sz w:val="20"/>
          <w:szCs w:val="20"/>
        </w:rPr>
        <w:t>Bikdeli</w:t>
      </w:r>
      <w:proofErr w:type="spellEnd"/>
      <w:r>
        <w:rPr>
          <w:sz w:val="20"/>
          <w:szCs w:val="20"/>
        </w:rPr>
        <w:t xml:space="preserve"> B, </w:t>
      </w:r>
      <w:proofErr w:type="spellStart"/>
      <w:r>
        <w:rPr>
          <w:sz w:val="20"/>
          <w:szCs w:val="20"/>
        </w:rPr>
        <w:t>Madhavan</w:t>
      </w:r>
      <w:proofErr w:type="spellEnd"/>
      <w:r>
        <w:rPr>
          <w:sz w:val="20"/>
          <w:szCs w:val="20"/>
        </w:rPr>
        <w:t xml:space="preserve"> MV, Jimenez D, et al. </w:t>
      </w:r>
      <w:r>
        <w:rPr>
          <w:i/>
          <w:iCs/>
          <w:sz w:val="20"/>
          <w:szCs w:val="20"/>
        </w:rPr>
        <w:t xml:space="preserve">COVID-19 and thrombotic or thromboembolic disease: implications for prevention, antithrombotic therapy, and follow-up. </w:t>
      </w:r>
      <w:r>
        <w:rPr>
          <w:b/>
          <w:bCs/>
          <w:sz w:val="20"/>
          <w:szCs w:val="20"/>
        </w:rPr>
        <w:t xml:space="preserve">J Am </w:t>
      </w:r>
      <w:proofErr w:type="spellStart"/>
      <w:r>
        <w:rPr>
          <w:b/>
          <w:bCs/>
          <w:sz w:val="20"/>
          <w:szCs w:val="20"/>
        </w:rPr>
        <w:t>Coll</w:t>
      </w:r>
      <w:proofErr w:type="spellEnd"/>
      <w:r>
        <w:rPr>
          <w:b/>
          <w:bCs/>
          <w:sz w:val="20"/>
          <w:szCs w:val="20"/>
        </w:rPr>
        <w:t xml:space="preserve"> </w:t>
      </w:r>
      <w:proofErr w:type="spellStart"/>
      <w:r>
        <w:rPr>
          <w:b/>
          <w:bCs/>
          <w:sz w:val="20"/>
          <w:szCs w:val="20"/>
        </w:rPr>
        <w:t>Cardiol</w:t>
      </w:r>
      <w:proofErr w:type="spellEnd"/>
      <w:r>
        <w:rPr>
          <w:b/>
          <w:bCs/>
          <w:sz w:val="20"/>
          <w:szCs w:val="20"/>
        </w:rPr>
        <w:t xml:space="preserve">. </w:t>
      </w:r>
      <w:r>
        <w:rPr>
          <w:sz w:val="20"/>
          <w:szCs w:val="20"/>
        </w:rPr>
        <w:t>2020;75(23):2950–2973.</w:t>
      </w:r>
      <w:r>
        <w:rPr>
          <w:color w:val="0563C1"/>
          <w:sz w:val="20"/>
          <w:szCs w:val="20"/>
        </w:rPr>
        <w:t xml:space="preserve"> </w:t>
      </w:r>
      <w:proofErr w:type="gramStart"/>
      <w:r>
        <w:rPr>
          <w:color w:val="0563C1"/>
          <w:sz w:val="20"/>
          <w:szCs w:val="20"/>
        </w:rPr>
        <w:t>doi:10.1016/j.jacc</w:t>
      </w:r>
      <w:proofErr w:type="gramEnd"/>
      <w:r>
        <w:rPr>
          <w:color w:val="0563C1"/>
          <w:sz w:val="20"/>
          <w:szCs w:val="20"/>
        </w:rPr>
        <w:t>.2020.04.031</w:t>
      </w:r>
    </w:p>
    <w:sectPr w:rsidR="00582C7F">
      <w:footerReference w:type="default" r:id="rId14"/>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697C" w:rsidRDefault="00310D3E">
      <w:r>
        <w:separator/>
      </w:r>
    </w:p>
  </w:endnote>
  <w:endnote w:type="continuationSeparator" w:id="0">
    <w:p w:rsidR="003B697C" w:rsidRDefault="00310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C7F" w:rsidRDefault="00310D3E">
    <w:pPr>
      <w:pBdr>
        <w:top w:val="single" w:sz="4" w:space="0" w:color="CCCCCC"/>
      </w:pBdr>
      <w:tabs>
        <w:tab w:val="right" w:pos="8640"/>
      </w:tabs>
    </w:pPr>
    <w:r>
      <w:rPr>
        <w:sz w:val="20"/>
        <w:szCs w:val="20"/>
      </w:rPr>
      <w:tab/>
    </w: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6B2658">
      <w:rPr>
        <w:noProof/>
        <w:color w:val="888888"/>
        <w:sz w:val="20"/>
        <w:szCs w:val="20"/>
      </w:rPr>
      <w:t>17</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697C" w:rsidRDefault="00310D3E">
      <w:r>
        <w:separator/>
      </w:r>
    </w:p>
  </w:footnote>
  <w:footnote w:type="continuationSeparator" w:id="0">
    <w:p w:rsidR="003B697C" w:rsidRDefault="00310D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2E0BC3"/>
    <w:multiLevelType w:val="hybridMultilevel"/>
    <w:tmpl w:val="BA2A60DC"/>
    <w:lvl w:ilvl="0" w:tplc="50F89546">
      <w:start w:val="1"/>
      <w:numFmt w:val="bullet"/>
      <w:lvlText w:val="●"/>
      <w:lvlJc w:val="left"/>
      <w:pPr>
        <w:ind w:left="720" w:hanging="360"/>
      </w:pPr>
    </w:lvl>
    <w:lvl w:ilvl="1" w:tplc="028C37FA">
      <w:start w:val="1"/>
      <w:numFmt w:val="bullet"/>
      <w:lvlText w:val="○"/>
      <w:lvlJc w:val="left"/>
      <w:pPr>
        <w:ind w:left="1440" w:hanging="360"/>
      </w:pPr>
    </w:lvl>
    <w:lvl w:ilvl="2" w:tplc="C610C90A">
      <w:start w:val="1"/>
      <w:numFmt w:val="bullet"/>
      <w:lvlText w:val="■"/>
      <w:lvlJc w:val="left"/>
      <w:pPr>
        <w:ind w:left="2160" w:hanging="360"/>
      </w:pPr>
    </w:lvl>
    <w:lvl w:ilvl="3" w:tplc="3EE65320">
      <w:start w:val="1"/>
      <w:numFmt w:val="bullet"/>
      <w:lvlText w:val="●"/>
      <w:lvlJc w:val="left"/>
      <w:pPr>
        <w:ind w:left="2880" w:hanging="360"/>
      </w:pPr>
    </w:lvl>
    <w:lvl w:ilvl="4" w:tplc="6B40D718">
      <w:start w:val="1"/>
      <w:numFmt w:val="bullet"/>
      <w:lvlText w:val="○"/>
      <w:lvlJc w:val="left"/>
      <w:pPr>
        <w:ind w:left="3600" w:hanging="360"/>
      </w:pPr>
    </w:lvl>
    <w:lvl w:ilvl="5" w:tplc="440C0FAA">
      <w:start w:val="1"/>
      <w:numFmt w:val="bullet"/>
      <w:lvlText w:val="■"/>
      <w:lvlJc w:val="left"/>
      <w:pPr>
        <w:ind w:left="4320" w:hanging="360"/>
      </w:pPr>
    </w:lvl>
    <w:lvl w:ilvl="6" w:tplc="331C2F28">
      <w:start w:val="1"/>
      <w:numFmt w:val="bullet"/>
      <w:lvlText w:val="●"/>
      <w:lvlJc w:val="left"/>
      <w:pPr>
        <w:ind w:left="5040" w:hanging="360"/>
      </w:pPr>
    </w:lvl>
    <w:lvl w:ilvl="7" w:tplc="7FAC5092">
      <w:start w:val="1"/>
      <w:numFmt w:val="bullet"/>
      <w:lvlText w:val="●"/>
      <w:lvlJc w:val="left"/>
      <w:pPr>
        <w:ind w:left="5760" w:hanging="360"/>
      </w:pPr>
    </w:lvl>
    <w:lvl w:ilvl="8" w:tplc="3FCE23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IN"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C7F"/>
    <w:rsid w:val="000C2BD6"/>
    <w:rsid w:val="00310D3E"/>
    <w:rsid w:val="003B697C"/>
    <w:rsid w:val="00416610"/>
    <w:rsid w:val="00582C7F"/>
    <w:rsid w:val="006B2658"/>
    <w:rsid w:val="00852097"/>
    <w:rsid w:val="00915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7EE0"/>
  <w15:docId w15:val="{1BA51488-6F6C-41F3-BC61-27293518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11111"/>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151E1"/>
    <w:pPr>
      <w:tabs>
        <w:tab w:val="center" w:pos="4513"/>
        <w:tab w:val="right" w:pos="9026"/>
      </w:tabs>
    </w:pPr>
  </w:style>
  <w:style w:type="character" w:customStyle="1" w:styleId="HeaderChar">
    <w:name w:val="Header Char"/>
    <w:basedOn w:val="DefaultParagraphFont"/>
    <w:link w:val="Header"/>
    <w:uiPriority w:val="99"/>
    <w:rsid w:val="009151E1"/>
  </w:style>
  <w:style w:type="paragraph" w:styleId="Footer">
    <w:name w:val="footer"/>
    <w:basedOn w:val="Normal"/>
    <w:link w:val="FooterChar"/>
    <w:uiPriority w:val="99"/>
    <w:unhideWhenUsed/>
    <w:rsid w:val="009151E1"/>
    <w:pPr>
      <w:tabs>
        <w:tab w:val="center" w:pos="4513"/>
        <w:tab w:val="right" w:pos="9026"/>
      </w:tabs>
    </w:pPr>
  </w:style>
  <w:style w:type="character" w:customStyle="1" w:styleId="FooterChar">
    <w:name w:val="Footer Char"/>
    <w:basedOn w:val="DefaultParagraphFont"/>
    <w:link w:val="Footer"/>
    <w:uiPriority w:val="99"/>
    <w:rsid w:val="00915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17</Pages>
  <Words>4705</Words>
  <Characters>26824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cp:lastModifiedBy>
  <cp:revision>4</cp:revision>
  <dcterms:created xsi:type="dcterms:W3CDTF">2026-02-26T07:23:00Z</dcterms:created>
  <dcterms:modified xsi:type="dcterms:W3CDTF">2026-02-27T09:42:00Z</dcterms:modified>
</cp:coreProperties>
</file>