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E1F" w:rsidRDefault="001E518A" w:rsidP="00C82339">
      <w:pPr>
        <w:spacing w:before="100" w:beforeAutospacing="1" w:after="100" w:afterAutospacing="1" w:line="240" w:lineRule="auto"/>
        <w:jc w:val="both"/>
        <w:outlineLvl w:val="0"/>
        <w:rPr>
          <w:rFonts w:ascii="Times New Roman" w:hAnsi="Times New Roman" w:cs="Times New Roman"/>
          <w:b/>
          <w:sz w:val="24"/>
          <w:szCs w:val="24"/>
        </w:rPr>
      </w:pPr>
      <w:r>
        <w:rPr>
          <w:rFonts w:ascii="Times New Roman" w:hAnsi="Times New Roman" w:cs="Times New Roman"/>
          <w:b/>
          <w:sz w:val="24"/>
        </w:rPr>
        <w:t xml:space="preserve">Title: </w:t>
      </w:r>
      <w:r w:rsidR="00FB334C" w:rsidRPr="00FB334C">
        <w:rPr>
          <w:rFonts w:ascii="Times New Roman" w:hAnsi="Times New Roman" w:cs="Times New Roman"/>
          <w:b/>
          <w:sz w:val="24"/>
          <w:szCs w:val="24"/>
        </w:rPr>
        <w:t>Quality Control–Aware Machine Learning for LDL-Cholesterol Estimation in the Indian Population: A Comparative Study with Established Calculation Methods</w:t>
      </w:r>
    </w:p>
    <w:p w:rsidR="00F92ABF" w:rsidRPr="001E518A" w:rsidRDefault="00F92ABF" w:rsidP="00C82339">
      <w:pPr>
        <w:spacing w:before="100" w:beforeAutospacing="1" w:after="100" w:afterAutospacing="1" w:line="240" w:lineRule="auto"/>
        <w:jc w:val="both"/>
        <w:outlineLvl w:val="0"/>
        <w:rPr>
          <w:rFonts w:ascii="Times New Roman" w:eastAsia="Times New Roman" w:hAnsi="Times New Roman" w:cs="Times New Roman"/>
          <w:b/>
          <w:bCs/>
          <w:kern w:val="36"/>
          <w:sz w:val="28"/>
          <w:szCs w:val="24"/>
          <w:lang w:eastAsia="en-IN"/>
        </w:rPr>
      </w:pPr>
      <w:r>
        <w:rPr>
          <w:rFonts w:ascii="Times New Roman" w:hAnsi="Times New Roman" w:cs="Times New Roman"/>
          <w:b/>
          <w:sz w:val="24"/>
          <w:szCs w:val="24"/>
        </w:rPr>
        <w:t xml:space="preserve">Short title: </w:t>
      </w:r>
      <w:r w:rsidR="00904785" w:rsidRPr="00904785">
        <w:rPr>
          <w:rFonts w:ascii="Times New Roman" w:hAnsi="Times New Roman" w:cs="Times New Roman"/>
          <w:sz w:val="24"/>
          <w:szCs w:val="24"/>
        </w:rPr>
        <w:t>QC-Aware Machine Learning for LDL-C Estimation in Indians</w:t>
      </w:r>
    </w:p>
    <w:p w:rsidR="00C2168D" w:rsidRPr="00C2168D" w:rsidRDefault="00C2168D" w:rsidP="00C2168D">
      <w:pPr>
        <w:pStyle w:val="Heading2"/>
        <w:jc w:val="both"/>
        <w:rPr>
          <w:rFonts w:ascii="Times New Roman" w:hAnsi="Times New Roman" w:cs="Times New Roman"/>
          <w:b/>
          <w:color w:val="000000" w:themeColor="text1"/>
          <w:sz w:val="24"/>
          <w:szCs w:val="24"/>
        </w:rPr>
      </w:pPr>
      <w:r w:rsidRPr="00C2168D">
        <w:rPr>
          <w:rFonts w:ascii="Times New Roman" w:hAnsi="Times New Roman" w:cs="Times New Roman"/>
          <w:b/>
          <w:color w:val="000000" w:themeColor="text1"/>
          <w:sz w:val="24"/>
          <w:szCs w:val="24"/>
        </w:rPr>
        <w:t>Abstract</w:t>
      </w:r>
    </w:p>
    <w:p w:rsidR="00C2168D" w:rsidRPr="00C2168D" w:rsidRDefault="00C2168D" w:rsidP="00C2168D">
      <w:pPr>
        <w:pStyle w:val="Heading3"/>
        <w:jc w:val="both"/>
        <w:rPr>
          <w:rFonts w:ascii="Times New Roman" w:hAnsi="Times New Roman" w:cs="Times New Roman"/>
          <w:b/>
          <w:color w:val="000000" w:themeColor="text1"/>
        </w:rPr>
      </w:pPr>
      <w:r w:rsidRPr="00C2168D">
        <w:rPr>
          <w:rFonts w:ascii="Times New Roman" w:hAnsi="Times New Roman" w:cs="Times New Roman"/>
          <w:b/>
          <w:color w:val="000000" w:themeColor="text1"/>
        </w:rPr>
        <w:t>Background:</w:t>
      </w:r>
      <w:r>
        <w:rPr>
          <w:rFonts w:ascii="Times New Roman" w:hAnsi="Times New Roman" w:cs="Times New Roman"/>
          <w:b/>
          <w:color w:val="000000" w:themeColor="text1"/>
        </w:rPr>
        <w:t xml:space="preserve"> </w:t>
      </w:r>
      <w:r w:rsidRPr="00C2168D">
        <w:rPr>
          <w:rFonts w:ascii="Times New Roman" w:hAnsi="Times New Roman" w:cs="Times New Roman"/>
          <w:color w:val="000000" w:themeColor="text1"/>
        </w:rPr>
        <w:t xml:space="preserve">Accurate estimation of low-density lipoprotein cholesterol (LDL-C) is central to cardiovascular risk assessment and therapeutic decision-making. While calculation-based formulas such as </w:t>
      </w:r>
      <w:proofErr w:type="spellStart"/>
      <w:r w:rsidRPr="00C2168D">
        <w:rPr>
          <w:rFonts w:ascii="Times New Roman" w:hAnsi="Times New Roman" w:cs="Times New Roman"/>
          <w:color w:val="000000" w:themeColor="text1"/>
        </w:rPr>
        <w:t>Friedewald</w:t>
      </w:r>
      <w:proofErr w:type="spellEnd"/>
      <w:r w:rsidRPr="00C2168D">
        <w:rPr>
          <w:rFonts w:ascii="Times New Roman" w:hAnsi="Times New Roman" w:cs="Times New Roman"/>
          <w:color w:val="000000" w:themeColor="text1"/>
        </w:rPr>
        <w:t>, Martin–Hopkins, and Sampson–NIH are widely used, their reliability declines in patients with elevated triglycerides. Machine learning (ML) methods offer a data-driven alternative but are rarely integrated with laboratory quality control (QC) principles required for clinical implementation.</w:t>
      </w:r>
    </w:p>
    <w:p w:rsidR="00C2168D" w:rsidRDefault="00C2168D" w:rsidP="00C2168D">
      <w:pPr>
        <w:pStyle w:val="Heading3"/>
        <w:jc w:val="both"/>
        <w:rPr>
          <w:rFonts w:ascii="Times New Roman" w:hAnsi="Times New Roman" w:cs="Times New Roman"/>
          <w:color w:val="000000" w:themeColor="text1"/>
        </w:rPr>
      </w:pPr>
    </w:p>
    <w:p w:rsidR="00C2168D" w:rsidRPr="00F92ABF" w:rsidRDefault="00C2168D" w:rsidP="00C2168D">
      <w:pPr>
        <w:pStyle w:val="Heading3"/>
        <w:jc w:val="both"/>
        <w:rPr>
          <w:rFonts w:ascii="Times New Roman" w:hAnsi="Times New Roman" w:cs="Times New Roman"/>
          <w:color w:val="000000" w:themeColor="text1"/>
        </w:rPr>
      </w:pPr>
      <w:r w:rsidRPr="00C2168D">
        <w:rPr>
          <w:rFonts w:ascii="Times New Roman" w:hAnsi="Times New Roman" w:cs="Times New Roman"/>
          <w:b/>
          <w:color w:val="000000" w:themeColor="text1"/>
        </w:rPr>
        <w:t xml:space="preserve">Objective: </w:t>
      </w:r>
      <w:r w:rsidR="00F92ABF" w:rsidRPr="00F92ABF">
        <w:rPr>
          <w:rFonts w:ascii="Times New Roman" w:hAnsi="Times New Roman" w:cs="Times New Roman"/>
          <w:color w:val="000000" w:themeColor="text1"/>
        </w:rPr>
        <w:t>To develop and validate a quality control (QC)–aware machine learning framework for LDL-C estimation in the Indian population and to compare its performance with established calculation-based formulas</w:t>
      </w:r>
    </w:p>
    <w:p w:rsidR="00C2168D" w:rsidRDefault="00C2168D" w:rsidP="00C2168D">
      <w:pPr>
        <w:pStyle w:val="Heading3"/>
        <w:jc w:val="both"/>
        <w:rPr>
          <w:rFonts w:ascii="Times New Roman" w:hAnsi="Times New Roman" w:cs="Times New Roman"/>
          <w:color w:val="000000" w:themeColor="text1"/>
        </w:rPr>
      </w:pPr>
    </w:p>
    <w:p w:rsidR="00C2168D" w:rsidRPr="00C2168D" w:rsidRDefault="00C2168D" w:rsidP="00C2168D">
      <w:pPr>
        <w:pStyle w:val="Heading3"/>
        <w:jc w:val="both"/>
        <w:rPr>
          <w:rFonts w:ascii="Times New Roman" w:hAnsi="Times New Roman" w:cs="Times New Roman"/>
          <w:color w:val="000000" w:themeColor="text1"/>
        </w:rPr>
      </w:pPr>
      <w:r w:rsidRPr="00C2168D">
        <w:rPr>
          <w:rFonts w:ascii="Times New Roman" w:hAnsi="Times New Roman" w:cs="Times New Roman"/>
          <w:b/>
          <w:color w:val="000000" w:themeColor="text1"/>
        </w:rPr>
        <w:t xml:space="preserve">Methods: </w:t>
      </w:r>
      <w:r w:rsidRPr="00C2168D">
        <w:rPr>
          <w:rFonts w:ascii="Times New Roman" w:hAnsi="Times New Roman" w:cs="Times New Roman"/>
          <w:color w:val="000000" w:themeColor="text1"/>
        </w:rPr>
        <w:t xml:space="preserve">In this retrospective study, de-identified lipid profile data were </w:t>
      </w:r>
      <w:proofErr w:type="spellStart"/>
      <w:r w:rsidRPr="00C2168D">
        <w:rPr>
          <w:rFonts w:ascii="Times New Roman" w:hAnsi="Times New Roman" w:cs="Times New Roman"/>
          <w:color w:val="000000" w:themeColor="text1"/>
        </w:rPr>
        <w:t>analyzed</w:t>
      </w:r>
      <w:proofErr w:type="spellEnd"/>
      <w:r w:rsidRPr="00C2168D">
        <w:rPr>
          <w:rFonts w:ascii="Times New Roman" w:hAnsi="Times New Roman" w:cs="Times New Roman"/>
          <w:color w:val="000000" w:themeColor="text1"/>
        </w:rPr>
        <w:t xml:space="preserve"> using total cholesterol, triglycerides, and HDL-cholesterol as predictors. Four regression models—Random Forest, </w:t>
      </w:r>
      <w:proofErr w:type="spellStart"/>
      <w:r w:rsidRPr="00C2168D">
        <w:rPr>
          <w:rFonts w:ascii="Times New Roman" w:hAnsi="Times New Roman" w:cs="Times New Roman"/>
          <w:color w:val="000000" w:themeColor="text1"/>
        </w:rPr>
        <w:t>XGBoost</w:t>
      </w:r>
      <w:proofErr w:type="spellEnd"/>
      <w:r w:rsidRPr="00C2168D">
        <w:rPr>
          <w:rFonts w:ascii="Times New Roman" w:hAnsi="Times New Roman" w:cs="Times New Roman"/>
          <w:color w:val="000000" w:themeColor="text1"/>
        </w:rPr>
        <w:t xml:space="preserve">, </w:t>
      </w:r>
      <w:proofErr w:type="spellStart"/>
      <w:r w:rsidRPr="00C2168D">
        <w:rPr>
          <w:rFonts w:ascii="Times New Roman" w:hAnsi="Times New Roman" w:cs="Times New Roman"/>
          <w:color w:val="000000" w:themeColor="text1"/>
        </w:rPr>
        <w:t>CatBoost</w:t>
      </w:r>
      <w:proofErr w:type="spellEnd"/>
      <w:r w:rsidRPr="00C2168D">
        <w:rPr>
          <w:rFonts w:ascii="Times New Roman" w:hAnsi="Times New Roman" w:cs="Times New Roman"/>
          <w:color w:val="000000" w:themeColor="text1"/>
        </w:rPr>
        <w:t>, and Support Vector Regression—were trained and evaluated against directly measured LDL-C. Performance was assessed using R², RMSE, MSE, and Pearson correlation in internal and temporally distinct validation datasets. Triglyceride-stratified and demographic subgroup analyses were performed. A QC-aware post-prediction module, conceptually aligned with Westgard principles, was applied to moderate extreme predictions.</w:t>
      </w:r>
    </w:p>
    <w:p w:rsidR="00C2168D" w:rsidRDefault="00C2168D" w:rsidP="00C2168D">
      <w:pPr>
        <w:pStyle w:val="Heading3"/>
        <w:jc w:val="both"/>
        <w:rPr>
          <w:rFonts w:ascii="Times New Roman" w:hAnsi="Times New Roman" w:cs="Times New Roman"/>
          <w:color w:val="000000" w:themeColor="text1"/>
        </w:rPr>
      </w:pPr>
    </w:p>
    <w:p w:rsidR="00C2168D" w:rsidRPr="00C2168D" w:rsidRDefault="00C2168D" w:rsidP="00C2168D">
      <w:pPr>
        <w:pStyle w:val="Heading3"/>
        <w:jc w:val="both"/>
        <w:rPr>
          <w:rFonts w:ascii="Times New Roman" w:hAnsi="Times New Roman" w:cs="Times New Roman"/>
          <w:color w:val="000000" w:themeColor="text1"/>
        </w:rPr>
      </w:pPr>
      <w:r w:rsidRPr="00C2168D">
        <w:rPr>
          <w:rFonts w:ascii="Times New Roman" w:hAnsi="Times New Roman" w:cs="Times New Roman"/>
          <w:b/>
          <w:color w:val="000000" w:themeColor="text1"/>
        </w:rPr>
        <w:t xml:space="preserve">Results: </w:t>
      </w:r>
      <w:r w:rsidRPr="00C2168D">
        <w:rPr>
          <w:rFonts w:ascii="Times New Roman" w:hAnsi="Times New Roman" w:cs="Times New Roman"/>
          <w:color w:val="000000" w:themeColor="text1"/>
        </w:rPr>
        <w:t>All ML models outperformed conventional formulas across both datasets, demonstrating higher R² and lower prediction error. The advantage of ML was particularly evident in samples with triglycerides ≥400 mg/</w:t>
      </w:r>
      <w:proofErr w:type="spellStart"/>
      <w:r w:rsidRPr="00C2168D">
        <w:rPr>
          <w:rFonts w:ascii="Times New Roman" w:hAnsi="Times New Roman" w:cs="Times New Roman"/>
          <w:color w:val="000000" w:themeColor="text1"/>
        </w:rPr>
        <w:t>dL</w:t>
      </w:r>
      <w:proofErr w:type="spellEnd"/>
      <w:r w:rsidRPr="00C2168D">
        <w:rPr>
          <w:rFonts w:ascii="Times New Roman" w:hAnsi="Times New Roman" w:cs="Times New Roman"/>
          <w:color w:val="000000" w:themeColor="text1"/>
        </w:rPr>
        <w:t>, where formula-based methods showed substantial performance degradation. The QC module reduced extreme residuals without introducing systematic bias. Model performance remained stable across age and gender subgroups.</w:t>
      </w:r>
    </w:p>
    <w:p w:rsidR="00C2168D" w:rsidRDefault="00C2168D" w:rsidP="00C2168D">
      <w:pPr>
        <w:pStyle w:val="Heading3"/>
        <w:jc w:val="both"/>
        <w:rPr>
          <w:rFonts w:ascii="Times New Roman" w:hAnsi="Times New Roman" w:cs="Times New Roman"/>
          <w:color w:val="000000" w:themeColor="text1"/>
        </w:rPr>
      </w:pPr>
    </w:p>
    <w:p w:rsidR="00C2168D" w:rsidRPr="00C2168D" w:rsidRDefault="00C2168D" w:rsidP="00C2168D">
      <w:pPr>
        <w:pStyle w:val="Heading3"/>
        <w:jc w:val="both"/>
        <w:rPr>
          <w:rFonts w:ascii="Times New Roman" w:hAnsi="Times New Roman" w:cs="Times New Roman"/>
          <w:color w:val="000000" w:themeColor="text1"/>
        </w:rPr>
      </w:pPr>
      <w:r w:rsidRPr="00C2168D">
        <w:rPr>
          <w:rFonts w:ascii="Times New Roman" w:hAnsi="Times New Roman" w:cs="Times New Roman"/>
          <w:b/>
          <w:color w:val="000000" w:themeColor="text1"/>
        </w:rPr>
        <w:t xml:space="preserve">Conclusion: </w:t>
      </w:r>
      <w:r w:rsidRPr="00C2168D">
        <w:rPr>
          <w:rFonts w:ascii="Times New Roman" w:hAnsi="Times New Roman" w:cs="Times New Roman"/>
          <w:color w:val="000000" w:themeColor="text1"/>
        </w:rPr>
        <w:t xml:space="preserve">A QC-integrated machine learning framework provides more accurate and analytically robust LDL-C estimation than traditional calculation-based formulas, particularly in </w:t>
      </w:r>
      <w:proofErr w:type="spellStart"/>
      <w:r w:rsidRPr="00C2168D">
        <w:rPr>
          <w:rFonts w:ascii="Times New Roman" w:hAnsi="Times New Roman" w:cs="Times New Roman"/>
          <w:color w:val="000000" w:themeColor="text1"/>
        </w:rPr>
        <w:t>hypertriglyceridemic</w:t>
      </w:r>
      <w:proofErr w:type="spellEnd"/>
      <w:r w:rsidRPr="00C2168D">
        <w:rPr>
          <w:rFonts w:ascii="Times New Roman" w:hAnsi="Times New Roman" w:cs="Times New Roman"/>
          <w:color w:val="000000" w:themeColor="text1"/>
        </w:rPr>
        <w:t xml:space="preserve"> states. This approach supports safe and practical integration of ML-based prediction into routine laboratory workflows.</w:t>
      </w:r>
    </w:p>
    <w:p w:rsidR="001E518A" w:rsidRDefault="001E518A" w:rsidP="00C82339">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C2168D" w:rsidRPr="00C2168D" w:rsidRDefault="00C2168D" w:rsidP="00C2168D">
      <w:pPr>
        <w:pStyle w:val="Heading2"/>
        <w:jc w:val="both"/>
        <w:rPr>
          <w:color w:val="000000" w:themeColor="text1"/>
        </w:rPr>
      </w:pPr>
      <w:r w:rsidRPr="00C2168D">
        <w:rPr>
          <w:rFonts w:ascii="Times New Roman" w:eastAsia="Times New Roman" w:hAnsi="Times New Roman" w:cs="Times New Roman"/>
          <w:b/>
          <w:bCs/>
          <w:color w:val="000000" w:themeColor="text1"/>
          <w:kern w:val="36"/>
          <w:sz w:val="24"/>
          <w:szCs w:val="24"/>
          <w:lang w:eastAsia="en-IN"/>
        </w:rPr>
        <w:t xml:space="preserve">Keywords: </w:t>
      </w:r>
      <w:r w:rsidRPr="00C2168D">
        <w:rPr>
          <w:rFonts w:ascii="Times New Roman" w:hAnsi="Times New Roman" w:cs="Times New Roman"/>
          <w:color w:val="000000" w:themeColor="text1"/>
          <w:sz w:val="24"/>
          <w:szCs w:val="24"/>
        </w:rPr>
        <w:t xml:space="preserve">LDL-cholesterol; Machine learning; Quality control; Hypertriglyceridemia; Random Forest; </w:t>
      </w:r>
      <w:proofErr w:type="spellStart"/>
      <w:r w:rsidRPr="00C2168D">
        <w:rPr>
          <w:rFonts w:ascii="Times New Roman" w:hAnsi="Times New Roman" w:cs="Times New Roman"/>
          <w:color w:val="000000" w:themeColor="text1"/>
          <w:sz w:val="24"/>
          <w:szCs w:val="24"/>
        </w:rPr>
        <w:t>XGBoost</w:t>
      </w:r>
      <w:proofErr w:type="spellEnd"/>
      <w:r w:rsidRPr="00C2168D">
        <w:rPr>
          <w:rFonts w:ascii="Times New Roman" w:hAnsi="Times New Roman" w:cs="Times New Roman"/>
          <w:color w:val="000000" w:themeColor="text1"/>
          <w:sz w:val="24"/>
          <w:szCs w:val="24"/>
        </w:rPr>
        <w:t xml:space="preserve">; </w:t>
      </w:r>
      <w:proofErr w:type="spellStart"/>
      <w:r w:rsidRPr="00C2168D">
        <w:rPr>
          <w:rFonts w:ascii="Times New Roman" w:hAnsi="Times New Roman" w:cs="Times New Roman"/>
          <w:color w:val="000000" w:themeColor="text1"/>
          <w:sz w:val="24"/>
          <w:szCs w:val="24"/>
        </w:rPr>
        <w:t>CatBoost</w:t>
      </w:r>
      <w:proofErr w:type="spellEnd"/>
      <w:r w:rsidRPr="00C2168D">
        <w:rPr>
          <w:rFonts w:ascii="Times New Roman" w:hAnsi="Times New Roman" w:cs="Times New Roman"/>
          <w:color w:val="000000" w:themeColor="text1"/>
          <w:sz w:val="24"/>
          <w:szCs w:val="24"/>
        </w:rPr>
        <w:t>; Support Vector Regression; Laboratory medicine; Westgard rules.</w:t>
      </w:r>
    </w:p>
    <w:p w:rsidR="00C2168D" w:rsidRDefault="00C2168D" w:rsidP="00C82339">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C2168D" w:rsidRDefault="00C2168D" w:rsidP="00C82339">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C2168D" w:rsidRDefault="00C2168D" w:rsidP="00C82339">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C2296A" w:rsidRPr="00DB2C04" w:rsidRDefault="00C2296A" w:rsidP="00C2296A">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DB2C04">
        <w:rPr>
          <w:rFonts w:ascii="Times New Roman" w:eastAsia="Times New Roman" w:hAnsi="Times New Roman" w:cs="Times New Roman"/>
          <w:b/>
          <w:bCs/>
          <w:kern w:val="36"/>
          <w:sz w:val="24"/>
          <w:szCs w:val="24"/>
          <w:lang w:eastAsia="en-IN"/>
        </w:rPr>
        <w:t xml:space="preserve">1. Introduction </w:t>
      </w:r>
    </w:p>
    <w:p w:rsidR="00C2296A" w:rsidRPr="00DB2C04" w:rsidRDefault="00C2296A" w:rsidP="00C2296A">
      <w:pPr>
        <w:pStyle w:val="NormalWeb"/>
        <w:jc w:val="both"/>
      </w:pPr>
      <w:r w:rsidRPr="00DB2C04">
        <w:t xml:space="preserve">Low-density lipoprotein cholesterol (LDL-C) plays a central role in cardiovascular disease (CVD) prevention, risk stratification, and therapeutic monitoring. In the Indian population, where atherosclerotic cardiovascular disease frequently presents at a younger age and often with greater severity than in Western populations, accurate LDL-C estimation is particularly important. Contemporary lipid management guidelines, including those aligned with the European Society of Cardiology and the American College of Cardiology, emphasize LDL-C–based thresholds for initiating and intensifying lipid-lowering therapy [1]. Given the high prevalence of </w:t>
      </w:r>
      <w:proofErr w:type="spellStart"/>
      <w:r w:rsidRPr="00DB2C04">
        <w:t>dyslipidemia</w:t>
      </w:r>
      <w:proofErr w:type="spellEnd"/>
      <w:r w:rsidRPr="00DB2C04">
        <w:t>, metabolic syndrome, diabetes mellitus, and premature coronary artery disease in India, reliable LDL-C assessment is essential for informed clinical decision-making and effective population-level risk reduction.</w:t>
      </w:r>
    </w:p>
    <w:p w:rsidR="00C2296A" w:rsidRPr="00DB2C04" w:rsidRDefault="00C2296A" w:rsidP="00C2296A">
      <w:pPr>
        <w:pStyle w:val="NormalWeb"/>
        <w:jc w:val="both"/>
      </w:pPr>
      <w:r w:rsidRPr="00DB2C04">
        <w:t>Direct measurement of LDL-C is analytically robust and recommended in specific situations, such as marked hypertriglyceridemia or very low LDL-C concentrations. However, direct assays are associated with higher reagent costs, longer turnaround times, and inter-platform variability, limiting their routine use in many laboratories, particularly in resource-constrained settings [8]. As a result, most laboratories rely on calculation-based methods derived from routinely measured lipid fractions.</w:t>
      </w:r>
    </w:p>
    <w:p w:rsidR="00C2296A" w:rsidRPr="00DB2C04" w:rsidRDefault="00C2296A" w:rsidP="00C2296A">
      <w:pPr>
        <w:pStyle w:val="NormalWeb"/>
        <w:jc w:val="both"/>
      </w:pPr>
      <w:r w:rsidRPr="00DB2C04">
        <w:t xml:space="preserve">The </w:t>
      </w:r>
      <w:proofErr w:type="spellStart"/>
      <w:r w:rsidRPr="00DB2C04">
        <w:t>Friedewald</w:t>
      </w:r>
      <w:proofErr w:type="spellEnd"/>
      <w:r w:rsidRPr="00DB2C04">
        <w:t xml:space="preserve"> equation, introduced in 1972, remains the most widely used approach because of its simplicity and minimal computational requirements [2]. Nevertheless, it assumes a fixed triglyceride-to–very-low-density lipoprotein cholesterol (VLDL-C) ratio, which becomes unreliable in conditions such as hypertriglyceridemia, diabetes mellitus, metabolic syndrome, and non-fasting states. Under these circumstances, the </w:t>
      </w:r>
      <w:proofErr w:type="spellStart"/>
      <w:r w:rsidRPr="00DB2C04">
        <w:t>Friedewald</w:t>
      </w:r>
      <w:proofErr w:type="spellEnd"/>
      <w:r w:rsidRPr="00DB2C04">
        <w:t xml:space="preserve"> formula may underestimate LDL-C, particularly when triglyceride (TG) concentrations exceed 400 mg/</w:t>
      </w:r>
      <w:proofErr w:type="spellStart"/>
      <w:r w:rsidRPr="00DB2C04">
        <w:t>dL</w:t>
      </w:r>
      <w:proofErr w:type="spellEnd"/>
      <w:r w:rsidRPr="00DB2C04">
        <w:t xml:space="preserve"> [3,6].</w:t>
      </w:r>
    </w:p>
    <w:p w:rsidR="00C2296A" w:rsidRPr="00DB2C04" w:rsidRDefault="00C2296A" w:rsidP="00C2296A">
      <w:pPr>
        <w:pStyle w:val="NormalWeb"/>
        <w:jc w:val="both"/>
      </w:pPr>
      <w:r w:rsidRPr="00DB2C04">
        <w:t xml:space="preserve">To address these limitations, alternative formulas have been developed. The Martin–Hopkins method introduced an adjustable </w:t>
      </w:r>
      <w:proofErr w:type="gramStart"/>
      <w:r w:rsidRPr="00DB2C04">
        <w:t>TG:VLDL</w:t>
      </w:r>
      <w:proofErr w:type="gramEnd"/>
      <w:r w:rsidRPr="00DB2C04">
        <w:t>-C factor derived from large population datasets, improving performance across a broader TG range [3,4]. More recently, the Sampson–NIH equation incorporated nonlinear components to better model the relationship between TG and LDL-C, particularly at elevated triglyceride levels [5]. Although these refinements represent methodological progress, performance variability persists across populations and extreme lipid phenotypes, especially at very high TG concentrations [6,7].</w:t>
      </w:r>
    </w:p>
    <w:p w:rsidR="00C2296A" w:rsidRPr="00DB2C04" w:rsidRDefault="00C2296A" w:rsidP="00C2296A">
      <w:pPr>
        <w:pStyle w:val="NormalWeb"/>
        <w:jc w:val="both"/>
      </w:pPr>
      <w:r w:rsidRPr="00DB2C04">
        <w:t xml:space="preserve">Machine learning (ML) techniques have emerged as a promising alternative for LDL-C estimation. Unlike traditional formulas, ML models do not rely on fixed biochemical assumptions; instead, they learn empirical relationships directly from data, enabling them to capture nonlinear and interactive effects among lipid parameters. Prior studies suggest that ML-based approaches may outperform conventional formulas, particularly in </w:t>
      </w:r>
      <w:proofErr w:type="spellStart"/>
      <w:r w:rsidRPr="00DB2C04">
        <w:t>hypertriglyceridemic</w:t>
      </w:r>
      <w:proofErr w:type="spellEnd"/>
      <w:r w:rsidRPr="00DB2C04">
        <w:t xml:space="preserve"> samples [9–11]. Ensemble methods such as Random Forest, </w:t>
      </w:r>
      <w:proofErr w:type="spellStart"/>
      <w:r w:rsidRPr="00DB2C04">
        <w:t>XGBoost</w:t>
      </w:r>
      <w:proofErr w:type="spellEnd"/>
      <w:r w:rsidRPr="00DB2C04">
        <w:t xml:space="preserve">, and </w:t>
      </w:r>
      <w:proofErr w:type="spellStart"/>
      <w:r w:rsidRPr="00DB2C04">
        <w:t>CatBoost</w:t>
      </w:r>
      <w:proofErr w:type="spellEnd"/>
      <w:r w:rsidRPr="00DB2C04">
        <w:t xml:space="preserve"> are especially suited to structured biomedical data because of their ability to reduce variance and model complex patterns [15–17].</w:t>
      </w:r>
    </w:p>
    <w:p w:rsidR="00C2296A" w:rsidRPr="00DB2C04" w:rsidRDefault="00C2296A" w:rsidP="00C2296A">
      <w:pPr>
        <w:pStyle w:val="NormalWeb"/>
        <w:jc w:val="both"/>
      </w:pPr>
      <w:r w:rsidRPr="00DB2C04">
        <w:t xml:space="preserve">Despite these advances, most ML studies focus primarily on predictive accuracy and rarely incorporate laboratory quality control (QC) considerations. In accredited laboratories, results </w:t>
      </w:r>
      <w:r w:rsidRPr="00DB2C04">
        <w:lastRenderedPageBreak/>
        <w:t>are validated using structured QC systems, including Westgard multi-rule procedures, to ensure analytical reliability and patient safety [12,13]. Models optimized solely for statistical performance may therefore produce analytically implausible results if deployed without safeguards.</w:t>
      </w:r>
    </w:p>
    <w:p w:rsidR="00C2296A" w:rsidRPr="00DB2C04" w:rsidRDefault="00C2296A" w:rsidP="00C2296A">
      <w:pPr>
        <w:pStyle w:val="NormalWeb"/>
        <w:jc w:val="both"/>
      </w:pPr>
      <w:r w:rsidRPr="00DB2C04">
        <w:t>Integrating QC principles into ML-based LDL-C prediction represents a critical step toward real-world implementation. A QC-aware framework can function as a post-prediction validation layer, identifying and moderating extreme values while preserving core predictive structure, in alignment with ISO 15189 requirements [14].</w:t>
      </w:r>
    </w:p>
    <w:p w:rsidR="00765467" w:rsidRPr="00C82339" w:rsidRDefault="00C2296A" w:rsidP="00C2296A">
      <w:pPr>
        <w:jc w:val="both"/>
        <w:rPr>
          <w:rFonts w:ascii="Times New Roman" w:hAnsi="Times New Roman" w:cs="Times New Roman"/>
          <w:sz w:val="24"/>
          <w:szCs w:val="24"/>
        </w:rPr>
      </w:pPr>
      <w:r w:rsidRPr="00DB2C04">
        <w:rPr>
          <w:rFonts w:ascii="Times New Roman" w:hAnsi="Times New Roman" w:cs="Times New Roman"/>
          <w:sz w:val="24"/>
          <w:szCs w:val="24"/>
        </w:rPr>
        <w:t>Accordingly, this study aimed to develop and validate a QC-aware ML framework for LDL-C estimation in the Indian population. We compared four regression algorithms—</w:t>
      </w:r>
      <w:proofErr w:type="spellStart"/>
      <w:r w:rsidRPr="00DB2C04">
        <w:rPr>
          <w:rFonts w:ascii="Times New Roman" w:hAnsi="Times New Roman" w:cs="Times New Roman"/>
          <w:sz w:val="24"/>
          <w:szCs w:val="24"/>
        </w:rPr>
        <w:t>CatBoost</w:t>
      </w:r>
      <w:proofErr w:type="spellEnd"/>
      <w:r w:rsidRPr="00DB2C04">
        <w:rPr>
          <w:rFonts w:ascii="Times New Roman" w:hAnsi="Times New Roman" w:cs="Times New Roman"/>
          <w:sz w:val="24"/>
          <w:szCs w:val="24"/>
        </w:rPr>
        <w:t xml:space="preserve"> [17], </w:t>
      </w:r>
      <w:proofErr w:type="spellStart"/>
      <w:r w:rsidRPr="00DB2C04">
        <w:rPr>
          <w:rFonts w:ascii="Times New Roman" w:hAnsi="Times New Roman" w:cs="Times New Roman"/>
          <w:sz w:val="24"/>
          <w:szCs w:val="24"/>
        </w:rPr>
        <w:t>XGBoost</w:t>
      </w:r>
      <w:proofErr w:type="spellEnd"/>
      <w:r w:rsidRPr="00DB2C04">
        <w:rPr>
          <w:rFonts w:ascii="Times New Roman" w:hAnsi="Times New Roman" w:cs="Times New Roman"/>
          <w:sz w:val="24"/>
          <w:szCs w:val="24"/>
        </w:rPr>
        <w:t xml:space="preserve"> [16], Random Forest [15], and Support Vector Regression [18]—with established formulas, emphasizing triglyceride-stratified performance and demographic robustness, and evaluated the impact of QC integration on analytical agreement with directly measured LDL-</w:t>
      </w:r>
    </w:p>
    <w:p w:rsidR="00B17F98" w:rsidRPr="00C82339" w:rsidRDefault="00B17F98" w:rsidP="00C82339">
      <w:pPr>
        <w:pStyle w:val="Heading1"/>
        <w:jc w:val="both"/>
        <w:rPr>
          <w:sz w:val="24"/>
          <w:szCs w:val="24"/>
        </w:rPr>
      </w:pPr>
      <w:r w:rsidRPr="00C82339">
        <w:rPr>
          <w:rStyle w:val="Strong"/>
          <w:b/>
          <w:bCs/>
          <w:sz w:val="24"/>
          <w:szCs w:val="24"/>
        </w:rPr>
        <w:t xml:space="preserve">2. Materials and Methods </w:t>
      </w:r>
    </w:p>
    <w:p w:rsidR="00C2296A" w:rsidRPr="00C2296A" w:rsidRDefault="00C2296A" w:rsidP="00C2296A">
      <w:pPr>
        <w:pStyle w:val="Heading3"/>
        <w:jc w:val="both"/>
        <w:rPr>
          <w:rFonts w:ascii="Times New Roman" w:hAnsi="Times New Roman" w:cs="Times New Roman"/>
        </w:rPr>
      </w:pPr>
      <w:r w:rsidRPr="00C2296A">
        <w:rPr>
          <w:rFonts w:ascii="Times New Roman" w:hAnsi="Times New Roman" w:cs="Times New Roman"/>
        </w:rPr>
        <w:t xml:space="preserve">2.1 </w:t>
      </w:r>
      <w:r w:rsidR="00780871">
        <w:t>Study Design, Data Source, and Dataset Partitioning</w:t>
      </w:r>
    </w:p>
    <w:p w:rsidR="00780871" w:rsidRDefault="00780871" w:rsidP="00D40799">
      <w:pPr>
        <w:pStyle w:val="NormalWeb"/>
        <w:jc w:val="both"/>
      </w:pPr>
      <w:r>
        <w:t xml:space="preserve">This study was designed as a retrospective observational analysis of routinely generated lipid </w:t>
      </w:r>
      <w:bookmarkStart w:id="0" w:name="_GoBack"/>
      <w:r>
        <w:t xml:space="preserve">profile data from a tertiary care clinical laboratory. A total of </w:t>
      </w:r>
      <w:r>
        <w:rPr>
          <w:rStyle w:val="Strong"/>
        </w:rPr>
        <w:t>15,954 lipid profiles</w:t>
      </w:r>
      <w:r>
        <w:t xml:space="preserve"> were </w:t>
      </w:r>
      <w:bookmarkEnd w:id="0"/>
      <w:r>
        <w:t>included. All laboratory measurements were performed as part of standard patient care. Data were extracted from the laboratory information system in anonymized form prior to analysis, with no patient identifiers, clinical outcomes, or interventional procedures involved. As this study involved secondary use of de-identified laboratory data, it was considered minimal risk and qualified for exemption from formal informed consent.</w:t>
      </w:r>
    </w:p>
    <w:p w:rsidR="00780871" w:rsidRDefault="00780871" w:rsidP="00D40799">
      <w:pPr>
        <w:pStyle w:val="NormalWeb"/>
        <w:jc w:val="both"/>
      </w:pPr>
      <w:r>
        <w:t>The dataset included individuals who underwent routine lipid profile testing during the study period. Records with missing values for total cholesterol (TC), triglycerides (TG), HDL-cholesterol (HDL-C), or directly measured LDL-C were excluded. Samples with biologically implausible lipid values were also removed prior to model training to prevent distortion of the data distribution.</w:t>
      </w:r>
    </w:p>
    <w:p w:rsidR="00780871" w:rsidRDefault="00780871" w:rsidP="00D40799">
      <w:pPr>
        <w:pStyle w:val="NormalWeb"/>
        <w:jc w:val="both"/>
      </w:pPr>
      <w:r>
        <w:t xml:space="preserve">To emulate real-world laboratory deployment and avoid information leakage, the dataset was divided chronologically into two non-overlapping cohorts. The </w:t>
      </w:r>
      <w:r>
        <w:rPr>
          <w:rStyle w:val="Strong"/>
        </w:rPr>
        <w:t>development (internal) cohort comprised 12,763 samples collected between January 1, 2024, and September 30, 2024</w:t>
      </w:r>
      <w:r>
        <w:t xml:space="preserve">, and was used for model training and internal evaluation. The </w:t>
      </w:r>
      <w:r>
        <w:rPr>
          <w:rStyle w:val="Strong"/>
        </w:rPr>
        <w:t>secondary internal validation cohort included 3,191 samples collected between October 1, 2024, and December 31, 2024</w:t>
      </w:r>
      <w:r>
        <w:t>, and was reserved to assess temporal generalizability and robustness of the proposed framework under routine operational conditions.</w:t>
      </w:r>
    </w:p>
    <w:p w:rsidR="00B17F98" w:rsidRPr="00C82339" w:rsidRDefault="00B17F98" w:rsidP="00C82339">
      <w:pPr>
        <w:jc w:val="both"/>
        <w:rPr>
          <w:rFonts w:ascii="Times New Roman" w:hAnsi="Times New Roman" w:cs="Times New Roman"/>
          <w:sz w:val="24"/>
          <w:szCs w:val="24"/>
        </w:rPr>
      </w:pPr>
    </w:p>
    <w:p w:rsidR="00B17F98" w:rsidRPr="00C82339" w:rsidRDefault="00780871" w:rsidP="00C82339">
      <w:pPr>
        <w:pStyle w:val="Heading2"/>
        <w:jc w:val="both"/>
        <w:rPr>
          <w:rFonts w:ascii="Times New Roman" w:hAnsi="Times New Roman" w:cs="Times New Roman"/>
          <w:sz w:val="24"/>
          <w:szCs w:val="24"/>
        </w:rPr>
      </w:pPr>
      <w:r>
        <w:rPr>
          <w:rFonts w:ascii="Times New Roman" w:hAnsi="Times New Roman" w:cs="Times New Roman"/>
          <w:sz w:val="24"/>
          <w:szCs w:val="24"/>
        </w:rPr>
        <w:t>2.2</w:t>
      </w:r>
      <w:r w:rsidR="00B17F98" w:rsidRPr="00C82339">
        <w:rPr>
          <w:rFonts w:ascii="Times New Roman" w:hAnsi="Times New Roman" w:cs="Times New Roman"/>
          <w:sz w:val="24"/>
          <w:szCs w:val="24"/>
        </w:rPr>
        <w:t xml:space="preserve"> Laboratory Measurements and Reference Standard</w:t>
      </w:r>
    </w:p>
    <w:p w:rsidR="00B17F98" w:rsidRPr="00C82339" w:rsidRDefault="00B17F98" w:rsidP="00C82339">
      <w:pPr>
        <w:pStyle w:val="NormalWeb"/>
        <w:jc w:val="both"/>
      </w:pPr>
      <w:r w:rsidRPr="00C82339">
        <w:t xml:space="preserve">All lipid parameters—TC, TG, HDL-C, and LDL-C—were measured using automated chemistry </w:t>
      </w:r>
      <w:proofErr w:type="spellStart"/>
      <w:r w:rsidRPr="00C82339">
        <w:t>analyzers</w:t>
      </w:r>
      <w:proofErr w:type="spellEnd"/>
      <w:r w:rsidRPr="00C82339">
        <w:t xml:space="preserve"> (Beckman Coulter AU5800) in accordance with manufacturer specifications and internal quality assurance protocols. Direct LDL-C measurement was used </w:t>
      </w:r>
      <w:r w:rsidRPr="00C82339">
        <w:lastRenderedPageBreak/>
        <w:t>as the analytical reference standard against which all predictions and calculated values were compared.</w:t>
      </w:r>
    </w:p>
    <w:p w:rsidR="00B17F98" w:rsidRPr="00C82339" w:rsidRDefault="00B17F98" w:rsidP="00C82339">
      <w:pPr>
        <w:pStyle w:val="NormalWeb"/>
        <w:jc w:val="both"/>
      </w:pPr>
      <w:r w:rsidRPr="00C82339">
        <w:t>For comparative purposes, LDL-C was also estimated using three established equations:</w:t>
      </w:r>
    </w:p>
    <w:p w:rsidR="00B17F98" w:rsidRDefault="00B17F98" w:rsidP="00C82339">
      <w:pPr>
        <w:pStyle w:val="NormalWeb"/>
        <w:numPr>
          <w:ilvl w:val="0"/>
          <w:numId w:val="1"/>
        </w:numPr>
        <w:jc w:val="both"/>
      </w:pPr>
      <w:proofErr w:type="spellStart"/>
      <w:r w:rsidRPr="00C82339">
        <w:t>Friedewald</w:t>
      </w:r>
      <w:proofErr w:type="spellEnd"/>
      <w:r w:rsidRPr="00C82339">
        <w:t xml:space="preserve"> formula [2]</w:t>
      </w:r>
    </w:p>
    <w:p w:rsidR="00D11B98" w:rsidRPr="00C82339" w:rsidRDefault="00D11B98" w:rsidP="00D11B98">
      <w:pPr>
        <w:pStyle w:val="NormalWeb"/>
        <w:ind w:left="720"/>
        <w:jc w:val="both"/>
      </w:pPr>
      <w:r>
        <w:rPr>
          <w:rFonts w:ascii="Cambria" w:hAnsi="Cambria"/>
          <w:color w:val="1B1B1B"/>
          <w:sz w:val="28"/>
          <w:szCs w:val="28"/>
          <w:shd w:val="clear" w:color="auto" w:fill="FFFFFF"/>
        </w:rPr>
        <w:t> LDL-C = TC − (HDL-C) − (TG/5)</w:t>
      </w:r>
    </w:p>
    <w:p w:rsidR="00B17F98" w:rsidRDefault="00B17F98" w:rsidP="00C82339">
      <w:pPr>
        <w:pStyle w:val="NormalWeb"/>
        <w:numPr>
          <w:ilvl w:val="0"/>
          <w:numId w:val="1"/>
        </w:numPr>
        <w:jc w:val="both"/>
      </w:pPr>
      <w:r w:rsidRPr="00C82339">
        <w:t>Martin–Hopkins method [3,4]</w:t>
      </w:r>
    </w:p>
    <w:p w:rsidR="00D11B98" w:rsidRDefault="00D11B98" w:rsidP="00287FD1">
      <w:pPr>
        <w:pStyle w:val="NormalWeb"/>
        <w:ind w:left="720"/>
        <w:jc w:val="both"/>
      </w:pPr>
      <w:r>
        <w:rPr>
          <w:rStyle w:val="mord"/>
        </w:rPr>
        <w:t>LDL-C</w:t>
      </w:r>
      <w:r>
        <w:rPr>
          <w:rStyle w:val="mrel"/>
        </w:rPr>
        <w:t>=</w:t>
      </w:r>
      <w:r>
        <w:rPr>
          <w:rStyle w:val="mord"/>
        </w:rPr>
        <w:t>TC</w:t>
      </w:r>
      <w:r>
        <w:rPr>
          <w:rStyle w:val="mbin"/>
        </w:rPr>
        <w:t>−</w:t>
      </w:r>
      <w:r>
        <w:rPr>
          <w:rStyle w:val="mord"/>
        </w:rPr>
        <w:t>HDL</w:t>
      </w:r>
      <w:r>
        <w:rPr>
          <w:rStyle w:val="mbin"/>
        </w:rPr>
        <w:t>−</w:t>
      </w:r>
      <w:r>
        <w:rPr>
          <w:rStyle w:val="mord"/>
        </w:rPr>
        <w:t>C</w:t>
      </w:r>
      <w:r>
        <w:rPr>
          <w:rStyle w:val="mbin"/>
        </w:rPr>
        <w:t>−</w:t>
      </w:r>
      <w:r>
        <w:rPr>
          <w:rStyle w:val="mord"/>
        </w:rPr>
        <w:t>TG</w:t>
      </w:r>
      <w:r>
        <w:rPr>
          <w:rStyle w:val="vlist-s"/>
        </w:rPr>
        <w:t>​</w:t>
      </w:r>
      <w:r w:rsidR="00287FD1">
        <w:rPr>
          <w:rStyle w:val="vlist-s"/>
        </w:rPr>
        <w:t>/</w:t>
      </w:r>
      <w:r w:rsidR="00287FD1" w:rsidRPr="00287FD1">
        <w:t xml:space="preserve"> </w:t>
      </w:r>
      <w:r w:rsidR="00287FD1">
        <w:t>ζ</w:t>
      </w:r>
    </w:p>
    <w:p w:rsidR="00287FD1" w:rsidRPr="00C82339" w:rsidRDefault="00287FD1" w:rsidP="00287FD1">
      <w:pPr>
        <w:pStyle w:val="NormalWeb"/>
        <w:ind w:left="720"/>
        <w:jc w:val="both"/>
      </w:pPr>
      <w:r>
        <w:t>ζ (zeta) = Adjustable TG divisor</w:t>
      </w:r>
    </w:p>
    <w:p w:rsidR="00B17F98" w:rsidRDefault="00B17F98" w:rsidP="00C82339">
      <w:pPr>
        <w:pStyle w:val="NormalWeb"/>
        <w:numPr>
          <w:ilvl w:val="0"/>
          <w:numId w:val="1"/>
        </w:numPr>
        <w:jc w:val="both"/>
      </w:pPr>
      <w:r w:rsidRPr="00C82339">
        <w:t>Sampson–NIH equation [5]</w:t>
      </w:r>
    </w:p>
    <w:p w:rsidR="00D11B98" w:rsidRPr="00D11B98" w:rsidRDefault="00D11B98" w:rsidP="00D11B98">
      <w:pPr>
        <w:pStyle w:val="NormalWeb"/>
        <w:ind w:left="720"/>
        <w:jc w:val="both"/>
        <w:rPr>
          <w:sz w:val="22"/>
        </w:rPr>
      </w:pPr>
      <w:r w:rsidRPr="00D11B98">
        <w:rPr>
          <w:rStyle w:val="mord"/>
          <w:sz w:val="22"/>
        </w:rPr>
        <w:t>LDL-C</w:t>
      </w:r>
      <w:r w:rsidRPr="00D11B98">
        <w:rPr>
          <w:rStyle w:val="mrel"/>
          <w:sz w:val="22"/>
        </w:rPr>
        <w:t>=</w:t>
      </w:r>
      <w:r w:rsidRPr="00D11B98">
        <w:rPr>
          <w:rStyle w:val="mord"/>
          <w:sz w:val="22"/>
        </w:rPr>
        <w:t>0.948TC</w:t>
      </w:r>
      <w:r w:rsidRPr="00D11B98">
        <w:rPr>
          <w:rStyle w:val="vlist-s"/>
          <w:sz w:val="22"/>
        </w:rPr>
        <w:t>​</w:t>
      </w:r>
      <w:r w:rsidRPr="00D11B98">
        <w:rPr>
          <w:rStyle w:val="mbin"/>
          <w:sz w:val="22"/>
        </w:rPr>
        <w:t>−</w:t>
      </w:r>
      <w:r w:rsidRPr="00D11B98">
        <w:rPr>
          <w:rStyle w:val="mord"/>
          <w:sz w:val="22"/>
        </w:rPr>
        <w:t>0.971HDL</w:t>
      </w:r>
      <w:r w:rsidRPr="00D11B98">
        <w:rPr>
          <w:rStyle w:val="mbin"/>
          <w:sz w:val="22"/>
        </w:rPr>
        <w:t>−</w:t>
      </w:r>
      <w:r w:rsidRPr="00D11B98">
        <w:rPr>
          <w:rStyle w:val="mord"/>
          <w:sz w:val="22"/>
        </w:rPr>
        <w:t>C</w:t>
      </w:r>
      <w:r w:rsidRPr="00D11B98">
        <w:rPr>
          <w:rStyle w:val="vlist-s"/>
          <w:sz w:val="22"/>
        </w:rPr>
        <w:t>​</w:t>
      </w:r>
      <w:r w:rsidRPr="00D11B98">
        <w:rPr>
          <w:rStyle w:val="mbin"/>
          <w:sz w:val="22"/>
        </w:rPr>
        <w:t>−</w:t>
      </w:r>
      <w:r w:rsidRPr="00D11B98">
        <w:rPr>
          <w:rStyle w:val="delimsizing"/>
          <w:sz w:val="22"/>
        </w:rPr>
        <w:t>(</w:t>
      </w:r>
      <w:r w:rsidRPr="00D11B98">
        <w:rPr>
          <w:rStyle w:val="mord"/>
          <w:sz w:val="22"/>
        </w:rPr>
        <w:t>8.56TG</w:t>
      </w:r>
      <w:r w:rsidRPr="00D11B98">
        <w:rPr>
          <w:rStyle w:val="vlist-s"/>
          <w:sz w:val="22"/>
        </w:rPr>
        <w:t>​</w:t>
      </w:r>
      <w:r w:rsidRPr="00D11B98">
        <w:rPr>
          <w:rStyle w:val="mbin"/>
          <w:sz w:val="22"/>
        </w:rPr>
        <w:t>+</w:t>
      </w:r>
      <w:r w:rsidRPr="00D11B98">
        <w:rPr>
          <w:rStyle w:val="mord"/>
          <w:sz w:val="22"/>
        </w:rPr>
        <w:t>2140TG</w:t>
      </w:r>
      <w:r w:rsidRPr="00D11B98">
        <w:rPr>
          <w:rStyle w:val="mbin"/>
          <w:sz w:val="22"/>
        </w:rPr>
        <w:t>×</w:t>
      </w:r>
      <w:r w:rsidRPr="00D11B98">
        <w:rPr>
          <w:rStyle w:val="mopen"/>
          <w:sz w:val="22"/>
        </w:rPr>
        <w:t>(</w:t>
      </w:r>
      <w:r w:rsidRPr="00D11B98">
        <w:rPr>
          <w:rStyle w:val="mord"/>
          <w:sz w:val="22"/>
        </w:rPr>
        <w:t>TC</w:t>
      </w:r>
      <w:r w:rsidRPr="00D11B98">
        <w:rPr>
          <w:rStyle w:val="mbin"/>
          <w:sz w:val="22"/>
        </w:rPr>
        <w:t>−</w:t>
      </w:r>
      <w:r w:rsidRPr="00D11B98">
        <w:rPr>
          <w:rStyle w:val="mord"/>
          <w:sz w:val="22"/>
        </w:rPr>
        <w:t>HDL</w:t>
      </w:r>
      <w:r w:rsidRPr="00D11B98">
        <w:rPr>
          <w:rStyle w:val="mbin"/>
          <w:sz w:val="22"/>
        </w:rPr>
        <w:t>−</w:t>
      </w:r>
      <w:proofErr w:type="gramStart"/>
      <w:r w:rsidRPr="00D11B98">
        <w:rPr>
          <w:rStyle w:val="mord"/>
          <w:sz w:val="22"/>
        </w:rPr>
        <w:t>C</w:t>
      </w:r>
      <w:r w:rsidRPr="00D11B98">
        <w:rPr>
          <w:rStyle w:val="mclose"/>
          <w:sz w:val="22"/>
        </w:rPr>
        <w:t>)</w:t>
      </w:r>
      <w:r w:rsidRPr="00D11B98">
        <w:rPr>
          <w:rStyle w:val="vlist-s"/>
          <w:sz w:val="22"/>
        </w:rPr>
        <w:t>​</w:t>
      </w:r>
      <w:proofErr w:type="gramEnd"/>
      <w:r w:rsidRPr="00D11B98">
        <w:rPr>
          <w:rStyle w:val="mbin"/>
          <w:sz w:val="22"/>
        </w:rPr>
        <w:t>−</w:t>
      </w:r>
      <w:r w:rsidRPr="00D11B98">
        <w:rPr>
          <w:rStyle w:val="mord"/>
          <w:sz w:val="22"/>
        </w:rPr>
        <w:t>16100TG2</w:t>
      </w:r>
      <w:r w:rsidRPr="00D11B98">
        <w:rPr>
          <w:rStyle w:val="vlist-s"/>
          <w:sz w:val="22"/>
        </w:rPr>
        <w:t>​</w:t>
      </w:r>
      <w:r w:rsidRPr="00D11B98">
        <w:rPr>
          <w:rStyle w:val="delimsizing"/>
          <w:sz w:val="22"/>
        </w:rPr>
        <w:t>)</w:t>
      </w:r>
      <w:r w:rsidRPr="00D11B98">
        <w:rPr>
          <w:rStyle w:val="mbin"/>
          <w:sz w:val="22"/>
        </w:rPr>
        <w:t>−</w:t>
      </w:r>
      <w:r w:rsidRPr="00D11B98">
        <w:rPr>
          <w:rStyle w:val="mord"/>
          <w:sz w:val="22"/>
        </w:rPr>
        <w:t>9.44</w:t>
      </w:r>
    </w:p>
    <w:p w:rsidR="00B17F98" w:rsidRPr="00C82339" w:rsidRDefault="00B17F98" w:rsidP="00C82339">
      <w:pPr>
        <w:pStyle w:val="NormalWeb"/>
        <w:jc w:val="both"/>
      </w:pPr>
      <w:r w:rsidRPr="00C82339">
        <w:t>These formulas were implemented exactly as originally described in the literature, without modification.</w:t>
      </w:r>
    </w:p>
    <w:p w:rsidR="00B17F98" w:rsidRPr="00C82339" w:rsidRDefault="00B17F98" w:rsidP="00C82339">
      <w:pPr>
        <w:jc w:val="both"/>
        <w:rPr>
          <w:rFonts w:ascii="Times New Roman" w:hAnsi="Times New Roman" w:cs="Times New Roman"/>
          <w:sz w:val="24"/>
          <w:szCs w:val="24"/>
        </w:rPr>
      </w:pPr>
    </w:p>
    <w:p w:rsidR="00B17F98" w:rsidRPr="00C82339" w:rsidRDefault="00780871" w:rsidP="00C82339">
      <w:pPr>
        <w:pStyle w:val="Heading2"/>
        <w:jc w:val="both"/>
        <w:rPr>
          <w:rFonts w:ascii="Times New Roman" w:hAnsi="Times New Roman" w:cs="Times New Roman"/>
          <w:sz w:val="24"/>
          <w:szCs w:val="24"/>
        </w:rPr>
      </w:pPr>
      <w:r>
        <w:rPr>
          <w:rFonts w:ascii="Times New Roman" w:hAnsi="Times New Roman" w:cs="Times New Roman"/>
          <w:sz w:val="24"/>
          <w:szCs w:val="24"/>
        </w:rPr>
        <w:t>2.3</w:t>
      </w:r>
      <w:r w:rsidR="00B17F98" w:rsidRPr="00C82339">
        <w:rPr>
          <w:rFonts w:ascii="Times New Roman" w:hAnsi="Times New Roman" w:cs="Times New Roman"/>
          <w:sz w:val="24"/>
          <w:szCs w:val="24"/>
        </w:rPr>
        <w:t xml:space="preserve"> Feature Selection Strategy</w:t>
      </w:r>
    </w:p>
    <w:p w:rsidR="00B17F98" w:rsidRPr="00C82339" w:rsidRDefault="00B17F98" w:rsidP="00C82339">
      <w:pPr>
        <w:pStyle w:val="NormalWeb"/>
        <w:jc w:val="both"/>
      </w:pPr>
      <w:r w:rsidRPr="00C82339">
        <w:t>Machine learning models were trained using biochemical predictors routinely available in standard lipid profiles: total cholesterol, triglycerides, and HDL-cholesterol.</w:t>
      </w:r>
    </w:p>
    <w:p w:rsidR="00B17F98" w:rsidRPr="00C82339" w:rsidRDefault="00B17F98" w:rsidP="00C82339">
      <w:pPr>
        <w:pStyle w:val="NormalWeb"/>
        <w:jc w:val="both"/>
      </w:pPr>
      <w:r w:rsidRPr="00C82339">
        <w:t>Age and gender were intentionally excluded from the predictive feature set. In routine laboratory practice, LDL-C estimation is derived solely from lipid parameters, independent of demographic characteristics. Incorporating demographic variables could potentially introduce bias and reduce portability across populations. Instead, demographic robustness was evaluated through post hoc subgroup analyses.</w:t>
      </w:r>
    </w:p>
    <w:p w:rsidR="00B17F98" w:rsidRPr="00C82339" w:rsidRDefault="00B17F98" w:rsidP="00C82339">
      <w:pPr>
        <w:jc w:val="both"/>
        <w:rPr>
          <w:rFonts w:ascii="Times New Roman" w:hAnsi="Times New Roman" w:cs="Times New Roman"/>
          <w:sz w:val="24"/>
          <w:szCs w:val="24"/>
        </w:rPr>
      </w:pPr>
    </w:p>
    <w:p w:rsidR="00B17F98" w:rsidRPr="00C82339" w:rsidRDefault="00780871" w:rsidP="00C82339">
      <w:pPr>
        <w:pStyle w:val="Heading2"/>
        <w:jc w:val="both"/>
        <w:rPr>
          <w:rFonts w:ascii="Times New Roman" w:hAnsi="Times New Roman" w:cs="Times New Roman"/>
          <w:sz w:val="24"/>
          <w:szCs w:val="24"/>
        </w:rPr>
      </w:pPr>
      <w:r>
        <w:rPr>
          <w:rFonts w:ascii="Times New Roman" w:hAnsi="Times New Roman" w:cs="Times New Roman"/>
          <w:sz w:val="24"/>
          <w:szCs w:val="24"/>
        </w:rPr>
        <w:t>2.4</w:t>
      </w:r>
      <w:r w:rsidR="00B17F98" w:rsidRPr="00C82339">
        <w:rPr>
          <w:rFonts w:ascii="Times New Roman" w:hAnsi="Times New Roman" w:cs="Times New Roman"/>
          <w:sz w:val="24"/>
          <w:szCs w:val="24"/>
        </w:rPr>
        <w:t xml:space="preserve"> Machine Learning Models</w:t>
      </w:r>
    </w:p>
    <w:p w:rsidR="00B17F98" w:rsidRPr="00C82339" w:rsidRDefault="00B17F98" w:rsidP="00C82339">
      <w:pPr>
        <w:pStyle w:val="NormalWeb"/>
        <w:jc w:val="both"/>
      </w:pPr>
      <w:r w:rsidRPr="00C82339">
        <w:t>Four supervised regression models were evaluated.</w:t>
      </w:r>
    </w:p>
    <w:p w:rsidR="00B17F98" w:rsidRPr="00C82339" w:rsidRDefault="00B17F98" w:rsidP="00C82339">
      <w:pPr>
        <w:pStyle w:val="NormalWeb"/>
        <w:jc w:val="both"/>
      </w:pPr>
      <w:proofErr w:type="spellStart"/>
      <w:r w:rsidRPr="00C82339">
        <w:rPr>
          <w:rStyle w:val="Strong"/>
        </w:rPr>
        <w:t>CatBoost</w:t>
      </w:r>
      <w:proofErr w:type="spellEnd"/>
      <w:r w:rsidRPr="00C82339">
        <w:rPr>
          <w:rStyle w:val="Strong"/>
        </w:rPr>
        <w:t xml:space="preserve"> </w:t>
      </w:r>
      <w:proofErr w:type="spellStart"/>
      <w:r w:rsidRPr="00C82339">
        <w:rPr>
          <w:rStyle w:val="Strong"/>
        </w:rPr>
        <w:t>Regressor</w:t>
      </w:r>
      <w:proofErr w:type="spellEnd"/>
      <w:r w:rsidRPr="00C82339">
        <w:rPr>
          <w:rStyle w:val="Strong"/>
        </w:rPr>
        <w:t xml:space="preserve"> [17]</w:t>
      </w:r>
      <w:r w:rsidRPr="00C82339">
        <w:t xml:space="preserve"> was selected for its ability to reduce prediction bias through ordered boosting and symmetric tree structures. Although designed for categorical features, its gradient boosting framework is highly effective for structured biomedical data.</w:t>
      </w:r>
    </w:p>
    <w:p w:rsidR="00B17F98" w:rsidRPr="00C82339" w:rsidRDefault="00B17F98" w:rsidP="00C82339">
      <w:pPr>
        <w:pStyle w:val="NormalWeb"/>
        <w:jc w:val="both"/>
      </w:pPr>
      <w:proofErr w:type="spellStart"/>
      <w:r w:rsidRPr="00C82339">
        <w:rPr>
          <w:rStyle w:val="Strong"/>
        </w:rPr>
        <w:t>XGBoost</w:t>
      </w:r>
      <w:proofErr w:type="spellEnd"/>
      <w:r w:rsidRPr="00C82339">
        <w:rPr>
          <w:rStyle w:val="Strong"/>
        </w:rPr>
        <w:t xml:space="preserve"> </w:t>
      </w:r>
      <w:proofErr w:type="spellStart"/>
      <w:r w:rsidRPr="00C82339">
        <w:rPr>
          <w:rStyle w:val="Strong"/>
        </w:rPr>
        <w:t>Regressor</w:t>
      </w:r>
      <w:proofErr w:type="spellEnd"/>
      <w:r w:rsidRPr="00C82339">
        <w:rPr>
          <w:rStyle w:val="Strong"/>
        </w:rPr>
        <w:t xml:space="preserve"> [16]</w:t>
      </w:r>
      <w:r w:rsidRPr="00C82339">
        <w:t xml:space="preserve"> was employed as a regularized gradient boosting approach incorporating shrinkage and subsampling strategies to enhance generalization.</w:t>
      </w:r>
    </w:p>
    <w:p w:rsidR="00B17F98" w:rsidRPr="00C82339" w:rsidRDefault="00B17F98" w:rsidP="00C82339">
      <w:pPr>
        <w:pStyle w:val="NormalWeb"/>
        <w:jc w:val="both"/>
      </w:pPr>
      <w:r w:rsidRPr="00C82339">
        <w:rPr>
          <w:rStyle w:val="Strong"/>
        </w:rPr>
        <w:t xml:space="preserve">Random Forest </w:t>
      </w:r>
      <w:proofErr w:type="spellStart"/>
      <w:r w:rsidRPr="00C82339">
        <w:rPr>
          <w:rStyle w:val="Strong"/>
        </w:rPr>
        <w:t>Regressor</w:t>
      </w:r>
      <w:proofErr w:type="spellEnd"/>
      <w:r w:rsidRPr="00C82339">
        <w:rPr>
          <w:rStyle w:val="Strong"/>
        </w:rPr>
        <w:t xml:space="preserve"> [15]</w:t>
      </w:r>
      <w:r w:rsidRPr="00C82339">
        <w:t xml:space="preserve"> was included as a classical ensemble method that reduces variance through aggregation of independently trained decision trees.</w:t>
      </w:r>
    </w:p>
    <w:p w:rsidR="00B17F98" w:rsidRPr="00C82339" w:rsidRDefault="00B17F98" w:rsidP="00C82339">
      <w:pPr>
        <w:pStyle w:val="NormalWeb"/>
        <w:jc w:val="both"/>
      </w:pPr>
      <w:r w:rsidRPr="00C82339">
        <w:rPr>
          <w:rStyle w:val="Strong"/>
        </w:rPr>
        <w:lastRenderedPageBreak/>
        <w:t>Support Vector Regression (SVR) [18]</w:t>
      </w:r>
      <w:r w:rsidRPr="00C82339">
        <w:t>, using a radial basis function kernel, was implemented to model nonlinear relationships within a margin-based optimization framework.</w:t>
      </w:r>
    </w:p>
    <w:p w:rsidR="00B17F98" w:rsidRPr="00C82339" w:rsidRDefault="00B17F98" w:rsidP="00C82339">
      <w:pPr>
        <w:pStyle w:val="NormalWeb"/>
        <w:jc w:val="both"/>
      </w:pPr>
      <w:r w:rsidRPr="00C82339">
        <w:t xml:space="preserve">All models were implemented using standardized </w:t>
      </w:r>
      <w:proofErr w:type="spellStart"/>
      <w:r w:rsidRPr="00C82339">
        <w:t>preprocessing</w:t>
      </w:r>
      <w:proofErr w:type="spellEnd"/>
      <w:r w:rsidRPr="00C82339">
        <w:t xml:space="preserve"> procedures.</w:t>
      </w:r>
    </w:p>
    <w:p w:rsidR="00B17F98" w:rsidRPr="00C82339" w:rsidRDefault="00B17F98" w:rsidP="00C82339">
      <w:pPr>
        <w:jc w:val="both"/>
        <w:rPr>
          <w:rFonts w:ascii="Times New Roman" w:hAnsi="Times New Roman" w:cs="Times New Roman"/>
          <w:sz w:val="24"/>
          <w:szCs w:val="24"/>
        </w:rPr>
      </w:pPr>
    </w:p>
    <w:p w:rsidR="00B17F98" w:rsidRPr="00C82339" w:rsidRDefault="00780871" w:rsidP="00C82339">
      <w:pPr>
        <w:pStyle w:val="Heading2"/>
        <w:jc w:val="both"/>
        <w:rPr>
          <w:rFonts w:ascii="Times New Roman" w:hAnsi="Times New Roman" w:cs="Times New Roman"/>
          <w:sz w:val="24"/>
          <w:szCs w:val="24"/>
        </w:rPr>
      </w:pPr>
      <w:r>
        <w:rPr>
          <w:rFonts w:ascii="Times New Roman" w:hAnsi="Times New Roman" w:cs="Times New Roman"/>
          <w:sz w:val="24"/>
          <w:szCs w:val="24"/>
        </w:rPr>
        <w:t>2.5</w:t>
      </w:r>
      <w:r w:rsidR="00B17F98" w:rsidRPr="00C82339">
        <w:rPr>
          <w:rFonts w:ascii="Times New Roman" w:hAnsi="Times New Roman" w:cs="Times New Roman"/>
          <w:sz w:val="24"/>
          <w:szCs w:val="24"/>
        </w:rPr>
        <w:t xml:space="preserve"> Model Training and Validation Strategy</w:t>
      </w:r>
    </w:p>
    <w:p w:rsidR="00B17F98" w:rsidRPr="00C82339" w:rsidRDefault="00B17F98" w:rsidP="00C82339">
      <w:pPr>
        <w:pStyle w:val="NormalWeb"/>
        <w:jc w:val="both"/>
      </w:pPr>
      <w:r w:rsidRPr="00C82339">
        <w:t xml:space="preserve">Model training was performed exclusively on the development dataset. </w:t>
      </w:r>
      <w:proofErr w:type="spellStart"/>
      <w:r w:rsidRPr="00C82339">
        <w:t>Hyperparameters</w:t>
      </w:r>
      <w:proofErr w:type="spellEnd"/>
      <w:r w:rsidRPr="00C82339">
        <w:t xml:space="preserve"> were selected through cross-validation within this dataset, balancing predictive accuracy and model stability.</w:t>
      </w:r>
    </w:p>
    <w:p w:rsidR="00B17F98" w:rsidRPr="00C82339" w:rsidRDefault="00B17F98" w:rsidP="00C82339">
      <w:pPr>
        <w:pStyle w:val="NormalWeb"/>
        <w:jc w:val="both"/>
      </w:pPr>
      <w:r w:rsidRPr="00C82339">
        <w:t>To reduce overfitting in noisy laboratory data, gradient boosting models were configured with relatively shallow trees and conservative learning rates. Random Forest parameters were selected to provide adequate model flexibility while preserving ensemble stability. SVR models were trained with moderate regularization to account for analytical variability inherent in biochemical measurements.</w:t>
      </w:r>
    </w:p>
    <w:p w:rsidR="00B17F98" w:rsidRPr="00C82339" w:rsidRDefault="00B17F98" w:rsidP="00C82339">
      <w:pPr>
        <w:pStyle w:val="NormalWeb"/>
        <w:jc w:val="both"/>
      </w:pPr>
      <w:r w:rsidRPr="00C82339">
        <w:t xml:space="preserve">The temporally distinct validation dataset was not accessed during training or </w:t>
      </w:r>
      <w:proofErr w:type="spellStart"/>
      <w:r w:rsidRPr="00C82339">
        <w:t>hyperparameter</w:t>
      </w:r>
      <w:proofErr w:type="spellEnd"/>
      <w:r w:rsidRPr="00C82339">
        <w:t xml:space="preserve"> tuning.</w:t>
      </w:r>
    </w:p>
    <w:p w:rsidR="00B17F98" w:rsidRPr="00C82339" w:rsidRDefault="00B17F98" w:rsidP="00C82339">
      <w:pPr>
        <w:jc w:val="both"/>
        <w:rPr>
          <w:rFonts w:ascii="Times New Roman" w:hAnsi="Times New Roman" w:cs="Times New Roman"/>
          <w:sz w:val="24"/>
          <w:szCs w:val="24"/>
        </w:rPr>
      </w:pPr>
    </w:p>
    <w:p w:rsidR="00B17F98" w:rsidRPr="00C82339" w:rsidRDefault="00780871" w:rsidP="00C82339">
      <w:pPr>
        <w:pStyle w:val="Heading2"/>
        <w:jc w:val="both"/>
        <w:rPr>
          <w:rFonts w:ascii="Times New Roman" w:hAnsi="Times New Roman" w:cs="Times New Roman"/>
          <w:sz w:val="24"/>
          <w:szCs w:val="24"/>
        </w:rPr>
      </w:pPr>
      <w:r>
        <w:rPr>
          <w:rFonts w:ascii="Times New Roman" w:hAnsi="Times New Roman" w:cs="Times New Roman"/>
          <w:sz w:val="24"/>
          <w:szCs w:val="24"/>
        </w:rPr>
        <w:t>2.6</w:t>
      </w:r>
      <w:r w:rsidR="00B17F98" w:rsidRPr="00C82339">
        <w:rPr>
          <w:rFonts w:ascii="Times New Roman" w:hAnsi="Times New Roman" w:cs="Times New Roman"/>
          <w:sz w:val="24"/>
          <w:szCs w:val="24"/>
        </w:rPr>
        <w:t xml:space="preserve"> Quality Control (QC)–Aware Post-Prediction Module</w:t>
      </w:r>
    </w:p>
    <w:p w:rsidR="00B17F98" w:rsidRPr="00C82339" w:rsidRDefault="00B17F98" w:rsidP="00C82339">
      <w:pPr>
        <w:pStyle w:val="NormalWeb"/>
        <w:jc w:val="both"/>
      </w:pPr>
      <w:r w:rsidRPr="00C82339">
        <w:t>A key methodological innovation in this study was the incorporation of a QC-aware post-prediction validation step. The logic of this module was conceptually aligned with Westgard multi-rule quality control principles [12,13].</w:t>
      </w:r>
    </w:p>
    <w:p w:rsidR="00B17F98" w:rsidRPr="00C82339" w:rsidRDefault="00B17F98" w:rsidP="00C82339">
      <w:pPr>
        <w:pStyle w:val="NormalWeb"/>
        <w:jc w:val="both"/>
      </w:pPr>
      <w:r w:rsidRPr="00C82339">
        <w:t>After LDL-C prediction, model outputs were compared against distribution-based reference thresholds derived from directly measured LDL-C in the development dataset. Predictions exceeding ±3 standard deviations from the reference mean were flagged as analytically implausible. Rather than discarding such predictions, a conservative truncation strategy was applied, constraining flagged values within ±2 standard deviations.</w:t>
      </w:r>
    </w:p>
    <w:p w:rsidR="00B17F98" w:rsidRPr="00C82339" w:rsidRDefault="00B17F98" w:rsidP="00C82339">
      <w:pPr>
        <w:pStyle w:val="NormalWeb"/>
        <w:jc w:val="both"/>
      </w:pPr>
      <w:r w:rsidRPr="00C82339">
        <w:t>Importantly, this QC layer functioned strictly as a post-prediction validation mechanism. It did not influence model training or parameter estimation, thereby preserving methodological independence and preventing information leakage.</w:t>
      </w:r>
    </w:p>
    <w:p w:rsidR="00B17F98" w:rsidRPr="00C82339" w:rsidRDefault="00B17F98" w:rsidP="00C82339">
      <w:pPr>
        <w:jc w:val="both"/>
        <w:rPr>
          <w:rFonts w:ascii="Times New Roman" w:hAnsi="Times New Roman" w:cs="Times New Roman"/>
          <w:sz w:val="24"/>
          <w:szCs w:val="24"/>
        </w:rPr>
      </w:pPr>
    </w:p>
    <w:p w:rsidR="00B17F98" w:rsidRPr="00C82339" w:rsidRDefault="00780871" w:rsidP="00C82339">
      <w:pPr>
        <w:pStyle w:val="Heading2"/>
        <w:jc w:val="both"/>
        <w:rPr>
          <w:rFonts w:ascii="Times New Roman" w:hAnsi="Times New Roman" w:cs="Times New Roman"/>
          <w:sz w:val="24"/>
          <w:szCs w:val="24"/>
        </w:rPr>
      </w:pPr>
      <w:r>
        <w:rPr>
          <w:rFonts w:ascii="Times New Roman" w:hAnsi="Times New Roman" w:cs="Times New Roman"/>
          <w:sz w:val="24"/>
          <w:szCs w:val="24"/>
        </w:rPr>
        <w:t>2.7</w:t>
      </w:r>
      <w:r w:rsidR="00B17F98" w:rsidRPr="00C82339">
        <w:rPr>
          <w:rFonts w:ascii="Times New Roman" w:hAnsi="Times New Roman" w:cs="Times New Roman"/>
          <w:sz w:val="24"/>
          <w:szCs w:val="24"/>
        </w:rPr>
        <w:t xml:space="preserve"> Statistical Analysis</w:t>
      </w:r>
    </w:p>
    <w:p w:rsidR="00B17F98" w:rsidRPr="00C82339" w:rsidRDefault="00B17F98" w:rsidP="00C82339">
      <w:pPr>
        <w:pStyle w:val="NormalWeb"/>
        <w:jc w:val="both"/>
      </w:pPr>
      <w:r w:rsidRPr="00C82339">
        <w:t>Model performance was assessed using coefficient of determination (R²), mean squared error (MSE), and Pearson correlation coefficient (PCC). Agreement between predicted and measured LDL-C values was evaluated using scatter plots, residual analyses, and Bland–Altman plots.</w:t>
      </w:r>
    </w:p>
    <w:p w:rsidR="00B17F98" w:rsidRDefault="00B17F98" w:rsidP="00C82339">
      <w:pPr>
        <w:pStyle w:val="NormalWeb"/>
        <w:jc w:val="both"/>
      </w:pPr>
      <w:r w:rsidRPr="00C82339">
        <w:lastRenderedPageBreak/>
        <w:t>Subgroup analyses were conducted across predefined triglyceride strata and demographic categories. All statistical analyses were performed using Python-based scientific computing libraries.</w:t>
      </w:r>
    </w:p>
    <w:p w:rsidR="005539C9" w:rsidRDefault="005539C9" w:rsidP="00C82339">
      <w:pPr>
        <w:pStyle w:val="NormalWeb"/>
        <w:jc w:val="both"/>
        <w:rPr>
          <w:color w:val="5B9BD5" w:themeColor="accent1"/>
        </w:rPr>
      </w:pPr>
    </w:p>
    <w:p w:rsidR="005539C9" w:rsidRDefault="005539C9" w:rsidP="00C82339">
      <w:pPr>
        <w:pStyle w:val="NormalWeb"/>
        <w:jc w:val="both"/>
        <w:rPr>
          <w:color w:val="5B9BD5" w:themeColor="accent1"/>
        </w:rPr>
      </w:pPr>
    </w:p>
    <w:p w:rsidR="00FB334C" w:rsidRDefault="00780871" w:rsidP="00C82339">
      <w:pPr>
        <w:pStyle w:val="NormalWeb"/>
        <w:jc w:val="both"/>
        <w:rPr>
          <w:rStyle w:val="Strong"/>
          <w:b w:val="0"/>
          <w:bCs w:val="0"/>
          <w:color w:val="5B9BD5" w:themeColor="accent1"/>
        </w:rPr>
      </w:pPr>
      <w:r>
        <w:rPr>
          <w:color w:val="5B9BD5" w:themeColor="accent1"/>
        </w:rPr>
        <w:t>2.8</w:t>
      </w:r>
      <w:r w:rsidR="00FB334C" w:rsidRPr="00FB334C">
        <w:rPr>
          <w:color w:val="5B9BD5" w:themeColor="accent1"/>
        </w:rPr>
        <w:t xml:space="preserve"> </w:t>
      </w:r>
      <w:r w:rsidR="00FB334C" w:rsidRPr="00FB334C">
        <w:rPr>
          <w:rStyle w:val="Strong"/>
          <w:b w:val="0"/>
          <w:bCs w:val="0"/>
          <w:color w:val="5B9BD5" w:themeColor="accent1"/>
        </w:rPr>
        <w:t>Ethical Considerations</w:t>
      </w:r>
    </w:p>
    <w:p w:rsidR="00FB334C" w:rsidRPr="00FB334C" w:rsidRDefault="00FB334C" w:rsidP="00FB334C">
      <w:pPr>
        <w:jc w:val="both"/>
        <w:rPr>
          <w:rFonts w:ascii="Times New Roman" w:hAnsi="Times New Roman" w:cs="Times New Roman"/>
          <w:sz w:val="24"/>
          <w:szCs w:val="24"/>
        </w:rPr>
      </w:pPr>
      <w:r w:rsidRPr="00FB334C">
        <w:rPr>
          <w:rFonts w:ascii="Times New Roman" w:hAnsi="Times New Roman" w:cs="Times New Roman"/>
          <w:sz w:val="24"/>
          <w:szCs w:val="24"/>
        </w:rPr>
        <w:t xml:space="preserve">This retrospective study </w:t>
      </w:r>
      <w:proofErr w:type="spellStart"/>
      <w:r w:rsidRPr="00FB334C">
        <w:rPr>
          <w:rFonts w:ascii="Times New Roman" w:hAnsi="Times New Roman" w:cs="Times New Roman"/>
          <w:sz w:val="24"/>
          <w:szCs w:val="24"/>
        </w:rPr>
        <w:t>analyzed</w:t>
      </w:r>
      <w:proofErr w:type="spellEnd"/>
      <w:r w:rsidRPr="00FB334C">
        <w:rPr>
          <w:rFonts w:ascii="Times New Roman" w:hAnsi="Times New Roman" w:cs="Times New Roman"/>
          <w:sz w:val="24"/>
          <w:szCs w:val="24"/>
        </w:rPr>
        <w:t xml:space="preserve"> de-identified laboratory data obtained during routine clinical testing. The study protocol was reviewed by the Institutional Ethics Committee and determined to be exempt from formal ethics approval due to its minimal-risk nature (IEC Reference No.: AIG/IEC-Post BH&amp;R 64/11.2024-02). The requirement for informed consent was waived</w:t>
      </w:r>
    </w:p>
    <w:p w:rsidR="00FB334C" w:rsidRDefault="00FB334C" w:rsidP="00C82339">
      <w:pPr>
        <w:pStyle w:val="NormalWeb"/>
        <w:jc w:val="both"/>
        <w:rPr>
          <w:rStyle w:val="Strong"/>
          <w:b w:val="0"/>
          <w:bCs w:val="0"/>
          <w:color w:val="5B9BD5" w:themeColor="accent1"/>
        </w:rPr>
      </w:pPr>
    </w:p>
    <w:p w:rsidR="00F80385" w:rsidRPr="00C82339" w:rsidRDefault="00F80385" w:rsidP="00C82339">
      <w:pPr>
        <w:pStyle w:val="Heading1"/>
        <w:jc w:val="both"/>
        <w:rPr>
          <w:sz w:val="24"/>
          <w:szCs w:val="24"/>
        </w:rPr>
      </w:pPr>
      <w:r w:rsidRPr="00C82339">
        <w:rPr>
          <w:sz w:val="24"/>
          <w:szCs w:val="24"/>
        </w:rPr>
        <w:t xml:space="preserve">3. Results </w:t>
      </w: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t xml:space="preserve">3.1 Dataset Overview and Model Training </w:t>
      </w:r>
      <w:r w:rsidR="00FB334C" w:rsidRPr="00C82339">
        <w:rPr>
          <w:rFonts w:ascii="Times New Roman" w:hAnsi="Times New Roman" w:cs="Times New Roman"/>
          <w:sz w:val="24"/>
          <w:szCs w:val="24"/>
        </w:rPr>
        <w:t>Behaviour</w:t>
      </w:r>
    </w:p>
    <w:p w:rsidR="00F80385" w:rsidRPr="00C82339" w:rsidRDefault="00F80385" w:rsidP="00C82339">
      <w:pPr>
        <w:pStyle w:val="NormalWeb"/>
        <w:jc w:val="both"/>
      </w:pPr>
      <w:r w:rsidRPr="00C82339">
        <w:t>The study dataset was divided into a development cohort and a temporally distinct validation cohort (Figure 1). Learning curve analysis demonstrated progressive improvement in model generalization with increasing training size across all algorithms (Figure 3). Ensemble-based models showed stable convergence without widening train–test divergence, indicating absence of major overfitting.</w:t>
      </w:r>
    </w:p>
    <w:p w:rsidR="00F80385" w:rsidRPr="00C82339" w:rsidRDefault="00F80385" w:rsidP="00C82339">
      <w:pPr>
        <w:pStyle w:val="NormalWeb"/>
        <w:jc w:val="both"/>
      </w:pPr>
      <w:r w:rsidRPr="00C82339">
        <w:t xml:space="preserve">Random Forest demonstrated the most </w:t>
      </w:r>
      <w:r w:rsidR="00FB334C" w:rsidRPr="00C82339">
        <w:t>favourable</w:t>
      </w:r>
      <w:r w:rsidRPr="00C82339">
        <w:t xml:space="preserve"> bias–variance balance, achieving high training R² (0.954) and sustained validation R² (0.818), with comparatively low MSE (75.27 mg²/dL²). </w:t>
      </w:r>
      <w:proofErr w:type="spellStart"/>
      <w:r w:rsidRPr="00C82339">
        <w:t>XGBoost</w:t>
      </w:r>
      <w:proofErr w:type="spellEnd"/>
      <w:r w:rsidRPr="00C82339">
        <w:t xml:space="preserve"> showed strong performance (train R² 0.912; validation R² 0.794), while </w:t>
      </w:r>
      <w:proofErr w:type="spellStart"/>
      <w:r w:rsidRPr="00C82339">
        <w:t>CatBoost</w:t>
      </w:r>
      <w:proofErr w:type="spellEnd"/>
      <w:r w:rsidRPr="00C82339">
        <w:t xml:space="preserve"> maintained moderate generalization (train R² 0.872; validation R² 0.822). SVR exhibited comparatively lower stability, particularly at higher LDL-C ranges (Figure 3).</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t>3.2 Internal Validation: Direct vs Predicted LDL-C</w:t>
      </w:r>
    </w:p>
    <w:p w:rsidR="00F80385" w:rsidRPr="00C82339" w:rsidRDefault="00F80385" w:rsidP="00C82339">
      <w:pPr>
        <w:pStyle w:val="NormalWeb"/>
        <w:jc w:val="both"/>
      </w:pPr>
      <w:r w:rsidRPr="00C82339">
        <w:t xml:space="preserve">Scatter plots comparing predicted and directly measured LDL-C values are shown in Figure 4. Random Forest achieved the highest concordance (R² = </w:t>
      </w:r>
      <w:r w:rsidR="00ED3B4D" w:rsidRPr="00ED3B4D">
        <w:t>0.973</w:t>
      </w:r>
      <w:r w:rsidRPr="00C82339">
        <w:t xml:space="preserve">; PCC = </w:t>
      </w:r>
      <w:r w:rsidR="00ED3B4D" w:rsidRPr="00ED3B4D">
        <w:t>0.987</w:t>
      </w:r>
      <w:r w:rsidRPr="00C82339">
        <w:t xml:space="preserve">; MSE = </w:t>
      </w:r>
      <w:r w:rsidR="00ED3B4D" w:rsidRPr="00ED3B4D">
        <w:t>40.34</w:t>
      </w:r>
      <w:r w:rsidRPr="00C82339">
        <w:t xml:space="preserve">), followed by </w:t>
      </w:r>
      <w:proofErr w:type="spellStart"/>
      <w:r w:rsidRPr="00C82339">
        <w:t>XGBoost</w:t>
      </w:r>
      <w:proofErr w:type="spellEnd"/>
      <w:r w:rsidRPr="00C82339">
        <w:t xml:space="preserve"> (R² = 0.900; PCC = 0.949; MSE = 153.89) and </w:t>
      </w:r>
      <w:proofErr w:type="spellStart"/>
      <w:r w:rsidRPr="00C82339">
        <w:t>C</w:t>
      </w:r>
      <w:r w:rsidR="00ED3B4D">
        <w:t>atBoost</w:t>
      </w:r>
      <w:proofErr w:type="spellEnd"/>
      <w:r w:rsidR="00ED3B4D">
        <w:t xml:space="preserve"> (R² = 0.868; PCC = 0.932; MSE = 202.12</w:t>
      </w:r>
      <w:r w:rsidRPr="00C82339">
        <w:t>). SVR demonstrated comparatively lower predictive strength (R² = 0.814; PCC = 0.904).</w:t>
      </w:r>
    </w:p>
    <w:p w:rsidR="00F80385" w:rsidRPr="00C82339" w:rsidRDefault="00F80385" w:rsidP="00C82339">
      <w:pPr>
        <w:pStyle w:val="NormalWeb"/>
        <w:jc w:val="both"/>
      </w:pPr>
      <w:r w:rsidRPr="00C82339">
        <w:t>Residual analysis (Figure 5) revealed symmetric dispersion around zero for ensemble models, with minimal systematic bias. In contrast, SVR demonstrated increasing dispersion at higher predicted LDL-C values.</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lastRenderedPageBreak/>
        <w:t>3.3 Temporal Validation Cohort</w:t>
      </w:r>
    </w:p>
    <w:p w:rsidR="00F80385" w:rsidRPr="00C82339" w:rsidRDefault="00F80385" w:rsidP="00C82339">
      <w:pPr>
        <w:pStyle w:val="NormalWeb"/>
        <w:jc w:val="both"/>
      </w:pPr>
      <w:r w:rsidRPr="00C82339">
        <w:t>In the temporally distinct validation dataset (Figure 6), performance trends remained consistent. Random Forest maintained superior perfor</w:t>
      </w:r>
      <w:r w:rsidR="009A6681">
        <w:t>mance (R² = 0.976; PCC = 0.989; MSE = 36.27</w:t>
      </w:r>
      <w:r w:rsidRPr="00C82339">
        <w:t xml:space="preserve">), confirming robustness across time. </w:t>
      </w:r>
      <w:proofErr w:type="spellStart"/>
      <w:r w:rsidRPr="00C82339">
        <w:t>XGBoost</w:t>
      </w:r>
      <w:proofErr w:type="spellEnd"/>
      <w:r w:rsidRPr="00C82339">
        <w:t xml:space="preserve"> followed closely (R² = 0.954), while </w:t>
      </w:r>
      <w:proofErr w:type="spellStart"/>
      <w:r w:rsidRPr="00C82339">
        <w:t>CatBoost</w:t>
      </w:r>
      <w:proofErr w:type="spellEnd"/>
      <w:r w:rsidRPr="00C82339">
        <w:t xml:space="preserve"> maintained stable</w:t>
      </w:r>
      <w:r w:rsidR="009A6681">
        <w:t xml:space="preserve"> predictive accuracy (R² = 0.893</w:t>
      </w:r>
      <w:r w:rsidRPr="00C82339">
        <w:t>). SVR again showed comparatively reduced performance (R² = 0.858).</w:t>
      </w:r>
    </w:p>
    <w:p w:rsidR="00F80385" w:rsidRPr="00C82339" w:rsidRDefault="00F80385" w:rsidP="00C82339">
      <w:pPr>
        <w:pStyle w:val="NormalWeb"/>
        <w:jc w:val="both"/>
      </w:pPr>
      <w:r w:rsidRPr="00C82339">
        <w:t>These findings demonstrate that model performance was not restricted to the development dataset and generalized well under routine laboratory conditions.</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t>3.4 Residual Patterns Across Triglyceride Levels</w:t>
      </w:r>
    </w:p>
    <w:p w:rsidR="00F80385" w:rsidRPr="00C82339" w:rsidRDefault="00F80385" w:rsidP="00C82339">
      <w:pPr>
        <w:pStyle w:val="NormalWeb"/>
        <w:jc w:val="both"/>
      </w:pPr>
      <w:r w:rsidRPr="00C82339">
        <w:t>Triglyceride-stratified residual analysis is shown in Figure 8. As TG concentrations increased, formula-based methods demonstrated marked deterioration in agreement. At TG ≥400 mg/</w:t>
      </w:r>
      <w:proofErr w:type="spellStart"/>
      <w:r w:rsidRPr="00C82339">
        <w:t>dL</w:t>
      </w:r>
      <w:proofErr w:type="spellEnd"/>
      <w:r w:rsidRPr="00C82339">
        <w:t xml:space="preserve">, </w:t>
      </w:r>
      <w:proofErr w:type="spellStart"/>
      <w:r w:rsidRPr="00C82339">
        <w:t>Friedewald</w:t>
      </w:r>
      <w:proofErr w:type="spellEnd"/>
      <w:r w:rsidRPr="00C82339">
        <w:t xml:space="preserve"> and Martin equations exhibited negative R² values (Figure 9), indicating performance inferior to mean-based prediction.</w:t>
      </w:r>
    </w:p>
    <w:p w:rsidR="00F80385" w:rsidRPr="00C82339" w:rsidRDefault="00F80385" w:rsidP="00C82339">
      <w:pPr>
        <w:pStyle w:val="NormalWeb"/>
        <w:jc w:val="both"/>
      </w:pPr>
      <w:r w:rsidRPr="00C82339">
        <w:t xml:space="preserve">In contrast, ML models maintained comparatively stable performance across TG categories. Random Forest showed consistent R² values across TG strata, while </w:t>
      </w:r>
      <w:proofErr w:type="spellStart"/>
      <w:r w:rsidRPr="00C82339">
        <w:t>XGBoost</w:t>
      </w:r>
      <w:proofErr w:type="spellEnd"/>
      <w:r w:rsidRPr="00C82339">
        <w:t xml:space="preserve"> and </w:t>
      </w:r>
      <w:proofErr w:type="spellStart"/>
      <w:r w:rsidRPr="00C82339">
        <w:t>CatBoost</w:t>
      </w:r>
      <w:proofErr w:type="spellEnd"/>
      <w:r w:rsidRPr="00C82339">
        <w:t xml:space="preserve"> demonstrated only mild attenuation at extreme TG levels.</w:t>
      </w:r>
    </w:p>
    <w:p w:rsidR="00F80385" w:rsidRPr="00C82339" w:rsidRDefault="00F80385" w:rsidP="00C82339">
      <w:pPr>
        <w:pStyle w:val="NormalWeb"/>
        <w:jc w:val="both"/>
      </w:pPr>
      <w:r w:rsidRPr="00C82339">
        <w:t xml:space="preserve">These findings confirm that ML algorithms are less dependent on fixed </w:t>
      </w:r>
      <w:proofErr w:type="gramStart"/>
      <w:r w:rsidRPr="00C82339">
        <w:t>TG:VLDL</w:t>
      </w:r>
      <w:proofErr w:type="gramEnd"/>
      <w:r w:rsidRPr="00C82339">
        <w:t xml:space="preserve"> assumptions and are more adaptable to </w:t>
      </w:r>
      <w:proofErr w:type="spellStart"/>
      <w:r w:rsidRPr="00C82339">
        <w:t>hypertriglyceridemic</w:t>
      </w:r>
      <w:proofErr w:type="spellEnd"/>
      <w:r w:rsidRPr="00C82339">
        <w:t xml:space="preserve"> states.</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t>3.5 Effect of QC-Aware Module</w:t>
      </w:r>
    </w:p>
    <w:p w:rsidR="00F80385" w:rsidRPr="00C82339" w:rsidRDefault="00F80385" w:rsidP="00C82339">
      <w:pPr>
        <w:pStyle w:val="NormalWeb"/>
        <w:jc w:val="both"/>
      </w:pPr>
      <w:r w:rsidRPr="00C82339">
        <w:t>Figure S1 demonstrates the distribution of residuals before and after QC application across triglyceride values. The QC module selectively reduced extreme deviations without altering central prediction clusters.</w:t>
      </w:r>
    </w:p>
    <w:p w:rsidR="00F80385" w:rsidRPr="00C82339" w:rsidRDefault="00F80385" w:rsidP="00C82339">
      <w:pPr>
        <w:pStyle w:val="NormalWeb"/>
        <w:jc w:val="both"/>
      </w:pPr>
      <w:r w:rsidRPr="00C82339">
        <w:t>Overlay analysis (Figure 7 and Figure S2) further confirms that QC adjustment compresses extreme residuals while preserving overall distribution symmetry.</w:t>
      </w:r>
    </w:p>
    <w:p w:rsidR="00F80385" w:rsidRPr="00C82339" w:rsidRDefault="00F80385" w:rsidP="00C82339">
      <w:pPr>
        <w:pStyle w:val="NormalWeb"/>
        <w:jc w:val="both"/>
      </w:pPr>
      <w:r w:rsidRPr="00C82339">
        <w:t>Bland–Altman analysis (Figure S3) demonstrated minimal mean bias after QC integration, with narrower limits of agreement compared with non-QC outputs.</w:t>
      </w:r>
    </w:p>
    <w:p w:rsidR="00F80385" w:rsidRPr="00C82339" w:rsidRDefault="00F80385" w:rsidP="00C82339">
      <w:pPr>
        <w:pStyle w:val="NormalWeb"/>
        <w:jc w:val="both"/>
      </w:pPr>
      <w:r w:rsidRPr="00C82339">
        <w:t xml:space="preserve">Importantly, QC intervention was most impactful in </w:t>
      </w:r>
      <w:proofErr w:type="spellStart"/>
      <w:r w:rsidRPr="00C82339">
        <w:t>hypertriglyceridemic</w:t>
      </w:r>
      <w:proofErr w:type="spellEnd"/>
      <w:r w:rsidRPr="00C82339">
        <w:t xml:space="preserve"> samples, where analytical variability is highest.</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t>3.6 Multi-Model Feature Importance</w:t>
      </w:r>
    </w:p>
    <w:p w:rsidR="00F80385" w:rsidRPr="00C82339" w:rsidRDefault="00F80385" w:rsidP="00C82339">
      <w:pPr>
        <w:pStyle w:val="NormalWeb"/>
        <w:jc w:val="both"/>
      </w:pPr>
      <w:r w:rsidRPr="00C82339">
        <w:t>Consensus feature importance analysis (Figure 2) demonstrated that total cholesterol (TC) contributed approximately 80% of predictive weight across models. Triglycerides and HDL-C contributed smaller but significant proportions.</w:t>
      </w:r>
    </w:p>
    <w:p w:rsidR="00F80385" w:rsidRPr="00C82339" w:rsidRDefault="00F80385" w:rsidP="00C82339">
      <w:pPr>
        <w:pStyle w:val="NormalWeb"/>
        <w:jc w:val="both"/>
      </w:pPr>
      <w:r w:rsidRPr="00C82339">
        <w:lastRenderedPageBreak/>
        <w:t>This distribution aligns with physiological expectations, given that LDL-C is biochemically derived from total cholesterol fractions.</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Fonts w:ascii="Times New Roman" w:hAnsi="Times New Roman" w:cs="Times New Roman"/>
          <w:sz w:val="24"/>
          <w:szCs w:val="24"/>
        </w:rPr>
        <w:t>3.7 Age and Gender Subgroup Analysis</w:t>
      </w:r>
    </w:p>
    <w:p w:rsidR="00F80385" w:rsidRPr="00C82339" w:rsidRDefault="00F80385" w:rsidP="00C82339">
      <w:pPr>
        <w:pStyle w:val="NormalWeb"/>
        <w:jc w:val="both"/>
      </w:pPr>
      <w:r w:rsidRPr="00C82339">
        <w:t>Subgroup analysis (Supplementary Tables: Age and Gender; Figure R² by Age Group and Gender) demonstrated stable performance across demographic strata.</w:t>
      </w:r>
    </w:p>
    <w:p w:rsidR="00F80385" w:rsidRPr="00C82339" w:rsidRDefault="00F80385" w:rsidP="00C82339">
      <w:pPr>
        <w:pStyle w:val="NormalWeb"/>
        <w:jc w:val="both"/>
      </w:pPr>
      <w:r w:rsidRPr="00C82339">
        <w:t>Random Forest consistently achieved the highest R² across all age groups (&lt;40, 40–60, &gt;60), with R² values ranging from 0.968 to 0.978. Similar stability was observed across gender categories, with minimal performance disparity.</w:t>
      </w:r>
    </w:p>
    <w:p w:rsidR="00F80385" w:rsidRPr="00C82339" w:rsidRDefault="00F80385" w:rsidP="00C82339">
      <w:pPr>
        <w:pStyle w:val="NormalWeb"/>
        <w:jc w:val="both"/>
      </w:pPr>
      <w:r w:rsidRPr="00C82339">
        <w:t>Notably, exclusion of age and gender from model inputs did not compromise predictive accuracy, supporting demographic robustness and fairness.</w:t>
      </w:r>
    </w:p>
    <w:p w:rsidR="00F80385" w:rsidRPr="00C82339" w:rsidRDefault="00F80385" w:rsidP="00C82339">
      <w:pPr>
        <w:pStyle w:val="Heading1"/>
        <w:jc w:val="both"/>
        <w:rPr>
          <w:sz w:val="24"/>
          <w:szCs w:val="24"/>
        </w:rPr>
      </w:pPr>
      <w:r w:rsidRPr="00C82339">
        <w:rPr>
          <w:rStyle w:val="Strong"/>
          <w:b/>
          <w:bCs/>
          <w:sz w:val="24"/>
          <w:szCs w:val="24"/>
        </w:rPr>
        <w:t>4.Discussion</w:t>
      </w:r>
    </w:p>
    <w:p w:rsidR="00F80385" w:rsidRPr="00C82339" w:rsidRDefault="00F80385" w:rsidP="00C82339">
      <w:pPr>
        <w:pStyle w:val="NormalWeb"/>
        <w:jc w:val="both"/>
      </w:pPr>
      <w:r w:rsidRPr="00C82339">
        <w:t xml:space="preserve">In this retrospective laboratory-based study, we developed and validated a quality control (QC)–aware machine learning framework for LDL-C estimation and systematically compared its performance with widely used calculation-based equations. Several key observations emerge from our findings. First, machine learning (ML) approaches consistently outperformed traditional formulas across both development and temporally distinct validation cohorts (Figures 4 and 6). Second, the superiority of ML models was particularly evident in </w:t>
      </w:r>
      <w:proofErr w:type="spellStart"/>
      <w:r w:rsidRPr="00C82339">
        <w:t>hypertriglyceridemic</w:t>
      </w:r>
      <w:proofErr w:type="spellEnd"/>
      <w:r w:rsidRPr="00C82339">
        <w:t xml:space="preserve"> samples, where calculation-based methods demonstrated marked performance degradation (Figures 8 and 9; TG-Stratified Table). Third, integration of a QC-aware post-prediction validation module reduced extreme analytical deviations while preserving central prediction accuracy (Figures S1–S3). Collectively, these findings suggest that ML-based LDL-C estimation, when embedded within a laboratory-governed QC framework, may represent a clinically viable and analytically robust alternative to conventional formula-based estimation.</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4.1 Reconsidering the Limitations of Formula-Based Estimation</w:t>
      </w:r>
    </w:p>
    <w:p w:rsidR="00F80385" w:rsidRPr="00C82339" w:rsidRDefault="00F80385" w:rsidP="00C82339">
      <w:pPr>
        <w:pStyle w:val="NormalWeb"/>
        <w:jc w:val="both"/>
      </w:pPr>
      <w:r w:rsidRPr="00C82339">
        <w:t xml:space="preserve">The </w:t>
      </w:r>
      <w:proofErr w:type="spellStart"/>
      <w:r w:rsidRPr="00C82339">
        <w:t>Friedewald</w:t>
      </w:r>
      <w:proofErr w:type="spellEnd"/>
      <w:r w:rsidRPr="00C82339">
        <w:t xml:space="preserve"> equation has been foundational in clinical </w:t>
      </w:r>
      <w:proofErr w:type="spellStart"/>
      <w:r w:rsidRPr="00C82339">
        <w:t>lipidology</w:t>
      </w:r>
      <w:proofErr w:type="spellEnd"/>
      <w:r w:rsidRPr="00C82339">
        <w:t xml:space="preserve"> for over five decades because of its simplicity and operational feasibility [2]. However, its core assumption—that triglycerides (TG) approximate very-low-density lipoprotein cholesterol (VLDL-C) in a fixed ratio—does not account for biological variability in lipoprotein composition. In metabolic states such as diabetes mellitus, metabolic syndrome, obesity, and hypertriglyceridemia, the TG:</w:t>
      </w:r>
      <w:r w:rsidR="00C82339">
        <w:t xml:space="preserve"> </w:t>
      </w:r>
      <w:r w:rsidRPr="00C82339">
        <w:t>VLDL relationship becomes unstable, leading to systematic LDL-C underestimation [3,6].</w:t>
      </w:r>
    </w:p>
    <w:p w:rsidR="00F80385" w:rsidRPr="00C82339" w:rsidRDefault="00F80385" w:rsidP="00C82339">
      <w:pPr>
        <w:pStyle w:val="NormalWeb"/>
        <w:jc w:val="both"/>
      </w:pPr>
      <w:r w:rsidRPr="00C82339">
        <w:t xml:space="preserve">Subsequent refinements attempted to address this limitation. The Martin–Hopkins method introduced an adjustable TG divisor derived from large population datasets [3,4], and the Sampson–NIH equation incorporated nonlinear </w:t>
      </w:r>
      <w:proofErr w:type="spellStart"/>
      <w:r w:rsidRPr="00C82339">
        <w:t>modeling</w:t>
      </w:r>
      <w:proofErr w:type="spellEnd"/>
      <w:r w:rsidRPr="00C82339">
        <w:t xml:space="preserve"> to better capture TG-associated variability [5]. While these improvements enhanced performance under moderate triglyceride elevations, our TG-stratified analysis demonstrates substantial deterioration at TG ≥400 mg/</w:t>
      </w:r>
      <w:proofErr w:type="spellStart"/>
      <w:r w:rsidRPr="00C82339">
        <w:t>dL</w:t>
      </w:r>
      <w:proofErr w:type="spellEnd"/>
      <w:r w:rsidRPr="00C82339">
        <w:t xml:space="preserve"> (Figure 9; TG-Stratified Table). Notably, both </w:t>
      </w:r>
      <w:proofErr w:type="spellStart"/>
      <w:r w:rsidRPr="00C82339">
        <w:t>Friedewald</w:t>
      </w:r>
      <w:proofErr w:type="spellEnd"/>
      <w:r w:rsidRPr="00C82339">
        <w:t xml:space="preserve"> and Martin methods produced </w:t>
      </w:r>
      <w:r w:rsidRPr="00C82339">
        <w:lastRenderedPageBreak/>
        <w:t>negative R² values in this subgroup, indicating predictive performance inferior to a naive mean estimator.</w:t>
      </w:r>
    </w:p>
    <w:p w:rsidR="00F80385" w:rsidRPr="00C82339" w:rsidRDefault="00F80385" w:rsidP="00C82339">
      <w:pPr>
        <w:pStyle w:val="NormalWeb"/>
        <w:jc w:val="both"/>
      </w:pPr>
      <w:r w:rsidRPr="00C82339">
        <w:t>The negative R² values observed in extreme TG strata are not merely statistical curiosities; rather, they reflect a biological breakdown of fixed-ratio assumptions under altered lipoprotein physiology. Residual plots across TG values (Figure 8) clearly illustrate widening dispersion and systematic bias in formula-based methods as triglyceride concentrations increase, consistent with prior literature [6,7].</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4.2 Why Machine Learning Models Demonstrate Superior Stability</w:t>
      </w:r>
    </w:p>
    <w:p w:rsidR="00F80385" w:rsidRPr="00C82339" w:rsidRDefault="00F80385" w:rsidP="00C82339">
      <w:pPr>
        <w:pStyle w:val="NormalWeb"/>
        <w:jc w:val="both"/>
      </w:pPr>
      <w:r w:rsidRPr="00C82339">
        <w:t xml:space="preserve">Machine learning models fundamentally differ from formula-based equations in that they do not impose predefined biochemical assumptions. Instead, they learn empirical relationships directly from the observed data distribution. This enables </w:t>
      </w:r>
      <w:r w:rsidR="00A761E0">
        <w:t>modelling</w:t>
      </w:r>
      <w:r w:rsidRPr="00C82339">
        <w:t xml:space="preserve"> of nonlinear interactions among total cholesterol (TC), triglycerides (TG), and HDL-C.</w:t>
      </w:r>
    </w:p>
    <w:p w:rsidR="00F80385" w:rsidRPr="00C82339" w:rsidRDefault="00F80385" w:rsidP="00C82339">
      <w:pPr>
        <w:pStyle w:val="NormalWeb"/>
        <w:jc w:val="both"/>
      </w:pPr>
      <w:r w:rsidRPr="00C82339">
        <w:t xml:space="preserve">In our internal validation cohort (Figure 4), ensemble methods—particularly Random Forest and </w:t>
      </w:r>
      <w:proofErr w:type="spellStart"/>
      <w:r w:rsidRPr="00C82339">
        <w:t>XGBoost</w:t>
      </w:r>
      <w:proofErr w:type="spellEnd"/>
      <w:r w:rsidRPr="00C82339">
        <w:t xml:space="preserve">—demonstrated superior concordance with directly measured LDL-C compared to both formulas and SVR. Random Forest achieved the highest internal R² (0.951) and lowest MSE (75.27), while </w:t>
      </w:r>
      <w:proofErr w:type="spellStart"/>
      <w:r w:rsidRPr="00C82339">
        <w:t>XGBoost</w:t>
      </w:r>
      <w:proofErr w:type="spellEnd"/>
      <w:r w:rsidRPr="00C82339">
        <w:t xml:space="preserve"> also demonstrated strong performance (R² = 0.900). These trends were preserved in the temporally distinct validation dataset (Figure 6), where Random Forest maintained R² = 0.969, confirming generalizability.</w:t>
      </w:r>
    </w:p>
    <w:p w:rsidR="00F80385" w:rsidRPr="00C82339" w:rsidRDefault="00F80385" w:rsidP="00C82339">
      <w:pPr>
        <w:pStyle w:val="NormalWeb"/>
        <w:jc w:val="both"/>
      </w:pPr>
      <w:r w:rsidRPr="00C82339">
        <w:t>Learning curve analysis (Figure 3) further supports model stability, demonstrating convergence without widening train–test diver</w:t>
      </w:r>
      <w:r w:rsidR="00A761E0">
        <w:t xml:space="preserve">gence, thereby reducing concern </w:t>
      </w:r>
      <w:r w:rsidRPr="00C82339">
        <w:t>for overfitting. The ensemble-based architecture likely contributes to robustness by reducing variance through aggregation and sequential boosting [15–17].</w:t>
      </w:r>
    </w:p>
    <w:p w:rsidR="00F80385" w:rsidRPr="00C82339" w:rsidRDefault="00F80385" w:rsidP="00C82339">
      <w:pPr>
        <w:pStyle w:val="NormalWeb"/>
        <w:jc w:val="both"/>
      </w:pPr>
      <w:r w:rsidRPr="00C82339">
        <w:t>Feature importance consensus analysis (Figure 2) revealed that total cholesterol accounted for the majority (~80%) of predictive weight, with triglycerides and HDL-C contributing smaller but significant proportions. This distribution is physiologically coherent and reinforces that ML models are learning biologically plausible relationships rather than spurious correlations.</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 xml:space="preserve">4.3 Clinical Relevance in </w:t>
      </w:r>
      <w:proofErr w:type="spellStart"/>
      <w:r w:rsidRPr="00C82339">
        <w:rPr>
          <w:rStyle w:val="Strong"/>
          <w:rFonts w:ascii="Times New Roman" w:hAnsi="Times New Roman" w:cs="Times New Roman"/>
          <w:b w:val="0"/>
          <w:bCs w:val="0"/>
          <w:sz w:val="24"/>
          <w:szCs w:val="24"/>
        </w:rPr>
        <w:t>Hypertriglyceridemic</w:t>
      </w:r>
      <w:proofErr w:type="spellEnd"/>
      <w:r w:rsidRPr="00C82339">
        <w:rPr>
          <w:rStyle w:val="Strong"/>
          <w:rFonts w:ascii="Times New Roman" w:hAnsi="Times New Roman" w:cs="Times New Roman"/>
          <w:b w:val="0"/>
          <w:bCs w:val="0"/>
          <w:sz w:val="24"/>
          <w:szCs w:val="24"/>
        </w:rPr>
        <w:t xml:space="preserve"> States</w:t>
      </w:r>
    </w:p>
    <w:p w:rsidR="00F80385" w:rsidRPr="00C82339" w:rsidRDefault="00F80385" w:rsidP="00C82339">
      <w:pPr>
        <w:pStyle w:val="NormalWeb"/>
        <w:jc w:val="both"/>
      </w:pPr>
      <w:r w:rsidRPr="00C82339">
        <w:t>Hypertriglyceridemia represents one of the most analytically challenging contexts for LDL-C estimation. Elevated TG levels are associated with increased chylomicron remnants and altered VLDL composition, disrupting traditional ratio-based calculations. Current guidelines recommend caution or direct LDL-C measurement when TG exceeds 400 mg/</w:t>
      </w:r>
      <w:proofErr w:type="spellStart"/>
      <w:r w:rsidRPr="00C82339">
        <w:t>dL</w:t>
      </w:r>
      <w:proofErr w:type="spellEnd"/>
      <w:r w:rsidRPr="00C82339">
        <w:t xml:space="preserve"> [8].</w:t>
      </w:r>
    </w:p>
    <w:p w:rsidR="00F80385" w:rsidRPr="00C82339" w:rsidRDefault="00F80385" w:rsidP="00C82339">
      <w:pPr>
        <w:pStyle w:val="NormalWeb"/>
        <w:jc w:val="both"/>
      </w:pPr>
      <w:r w:rsidRPr="00C82339">
        <w:t>Our triglyceride-stratified analysis (Figure 9; TG-Stratified Table) demonstrates that ML models maintain comparatively stable R² and MSE across TG intervals, including the ≥400 mg/</w:t>
      </w:r>
      <w:proofErr w:type="spellStart"/>
      <w:r w:rsidRPr="00C82339">
        <w:t>dL</w:t>
      </w:r>
      <w:proofErr w:type="spellEnd"/>
      <w:r w:rsidRPr="00C82339">
        <w:t xml:space="preserve"> subgroup. In contrast, formula-based methods show abrupt deterioration beyond TG ≥300 mg/</w:t>
      </w:r>
      <w:proofErr w:type="spellStart"/>
      <w:r w:rsidRPr="00C82339">
        <w:t>dL</w:t>
      </w:r>
      <w:proofErr w:type="spellEnd"/>
      <w:r w:rsidRPr="00C82339">
        <w:t>.</w:t>
      </w:r>
    </w:p>
    <w:p w:rsidR="00F80385" w:rsidRPr="00C82339" w:rsidRDefault="00F80385" w:rsidP="00C82339">
      <w:pPr>
        <w:pStyle w:val="NormalWeb"/>
        <w:jc w:val="both"/>
      </w:pPr>
      <w:r w:rsidRPr="00C82339">
        <w:lastRenderedPageBreak/>
        <w:t>Residual dispersion patterns across TG values (Figure 8) further confirm that ensemble ML models are less sensitive to triglyceride extremes. This finding has direct clinical implications. In laboratories where direct LDL-C measurement is limited by cost or reagent availability, ML-based estimation may provide a more reliable computational alternative.</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4.4 Integration of QC: From Predictive Accuracy to Laboratory Governance</w:t>
      </w:r>
    </w:p>
    <w:p w:rsidR="00F80385" w:rsidRPr="00C82339" w:rsidRDefault="00F80385" w:rsidP="00C82339">
      <w:pPr>
        <w:pStyle w:val="NormalWeb"/>
        <w:jc w:val="both"/>
      </w:pPr>
      <w:r w:rsidRPr="00C82339">
        <w:t>A distinguishing contribution of this study is the integration of a QC-aware post-prediction validation layer. While prior ML studies primarily focus on optimizing prediction metrics [9–11], clinical laboratories operate within structured QC frameworks guided by Westgard multi-rule systems [12,13] and accreditation standards such as ISO 15189 [14].</w:t>
      </w:r>
    </w:p>
    <w:p w:rsidR="00F80385" w:rsidRPr="00C82339" w:rsidRDefault="00F80385" w:rsidP="00C82339">
      <w:pPr>
        <w:pStyle w:val="NormalWeb"/>
        <w:jc w:val="both"/>
      </w:pPr>
      <w:r w:rsidRPr="00C82339">
        <w:t>Residual overlay analysis before and after QC adjustment (Figures S1 and S2) demonstrates selective compression of extreme deviations without distortion of central prediction clusters. Bland–Altman analysis (Figure S3) confirms reduced spread of limits of agreement following QC integration.</w:t>
      </w:r>
    </w:p>
    <w:p w:rsidR="00F80385" w:rsidRPr="00C82339" w:rsidRDefault="00F80385" w:rsidP="00C82339">
      <w:pPr>
        <w:pStyle w:val="NormalWeb"/>
        <w:jc w:val="both"/>
      </w:pPr>
      <w:r w:rsidRPr="00C82339">
        <w:t xml:space="preserve">Importantly, QC intervention was most prominent in high-TG samples—precisely where analytical instability is greatest. By incorporating QC logic as a post-prediction safeguard rather than a training constraint, methodological independence was preserved while enhancing practical </w:t>
      </w:r>
      <w:proofErr w:type="spellStart"/>
      <w:r w:rsidRPr="00C82339">
        <w:t>deployability</w:t>
      </w:r>
      <w:proofErr w:type="spellEnd"/>
      <w:r w:rsidRPr="00C82339">
        <w:t>.</w:t>
      </w:r>
    </w:p>
    <w:p w:rsidR="00F80385" w:rsidRPr="00C82339" w:rsidRDefault="00F80385" w:rsidP="00C82339">
      <w:pPr>
        <w:pStyle w:val="NormalWeb"/>
        <w:jc w:val="both"/>
      </w:pPr>
      <w:r w:rsidRPr="00C82339">
        <w:t xml:space="preserve">This layered approach reflects real-world laboratory workflows, where analytical validation precedes result release. It therefore bridges the gap between computational </w:t>
      </w:r>
      <w:proofErr w:type="spellStart"/>
      <w:r w:rsidRPr="00C82339">
        <w:t>modeling</w:t>
      </w:r>
      <w:proofErr w:type="spellEnd"/>
      <w:r w:rsidRPr="00C82339">
        <w:t xml:space="preserve"> and laboratory governance.</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4.5 Demographic Robustness and Fairness</w:t>
      </w:r>
    </w:p>
    <w:p w:rsidR="00F80385" w:rsidRPr="00C82339" w:rsidRDefault="00F80385" w:rsidP="00C82339">
      <w:pPr>
        <w:pStyle w:val="NormalWeb"/>
        <w:jc w:val="both"/>
      </w:pPr>
      <w:r w:rsidRPr="00C82339">
        <w:t>Although age and gender influence lipid metabolism, LDL-C reporting in routine laboratory practice is analytically independent of demographic variables. We therefore excluded demographic variables from model training and instead evaluated subgroup performance post hoc.</w:t>
      </w:r>
    </w:p>
    <w:p w:rsidR="00F80385" w:rsidRPr="00C82339" w:rsidRDefault="00F80385" w:rsidP="00C82339">
      <w:pPr>
        <w:pStyle w:val="NormalWeb"/>
        <w:jc w:val="both"/>
      </w:pPr>
      <w:r w:rsidRPr="00C82339">
        <w:t xml:space="preserve">Age- and gender-stratified analyses (Supplementary Age and Gender Tables; Figure R² by Age Group and Gender) demonstrate stable R² values across demographic strata. Random Forest consistently achieved high R² (&gt;0.96) across age groups (&lt;40, 40–60, &gt;60) and across both genders. Similar stability was observed for </w:t>
      </w:r>
      <w:proofErr w:type="spellStart"/>
      <w:r w:rsidRPr="00C82339">
        <w:t>XGBoost</w:t>
      </w:r>
      <w:proofErr w:type="spellEnd"/>
      <w:r w:rsidRPr="00C82339">
        <w:t xml:space="preserve"> and </w:t>
      </w:r>
      <w:proofErr w:type="spellStart"/>
      <w:r w:rsidRPr="00C82339">
        <w:t>CatBoost</w:t>
      </w:r>
      <w:proofErr w:type="spellEnd"/>
      <w:r w:rsidRPr="00C82339">
        <w:t>.</w:t>
      </w:r>
    </w:p>
    <w:p w:rsidR="00F80385" w:rsidRPr="00C82339" w:rsidRDefault="00F80385" w:rsidP="00C82339">
      <w:pPr>
        <w:pStyle w:val="NormalWeb"/>
        <w:jc w:val="both"/>
      </w:pPr>
      <w:r w:rsidRPr="00C82339">
        <w:t>The absence of substantial demographic performance disparity supports fairness and enhances transportability across populations.</w:t>
      </w:r>
    </w:p>
    <w:p w:rsidR="00F80385" w:rsidRPr="00C82339" w:rsidRDefault="00F80385" w:rsidP="00C82339">
      <w:pPr>
        <w:jc w:val="both"/>
        <w:rPr>
          <w:rFonts w:ascii="Times New Roman" w:hAnsi="Times New Roman" w:cs="Times New Roman"/>
          <w:sz w:val="24"/>
          <w:szCs w:val="24"/>
        </w:rPr>
      </w:pPr>
    </w:p>
    <w:p w:rsidR="00F80385" w:rsidRPr="00C82339" w:rsidRDefault="00F80385"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4.6 Practical Implications for Laboratory Implementation</w:t>
      </w:r>
    </w:p>
    <w:p w:rsidR="00F80385" w:rsidRPr="00C82339" w:rsidRDefault="00F80385" w:rsidP="00C82339">
      <w:pPr>
        <w:pStyle w:val="NormalWeb"/>
        <w:jc w:val="both"/>
      </w:pPr>
      <w:r w:rsidRPr="00C82339">
        <w:t>Integration of ML-based LDL-C estimation into laboratory information systems could offer several practical advantages:</w:t>
      </w:r>
    </w:p>
    <w:p w:rsidR="00F80385" w:rsidRPr="00C82339" w:rsidRDefault="00F80385" w:rsidP="00C82339">
      <w:pPr>
        <w:pStyle w:val="NormalWeb"/>
        <w:numPr>
          <w:ilvl w:val="0"/>
          <w:numId w:val="3"/>
        </w:numPr>
        <w:jc w:val="both"/>
      </w:pPr>
      <w:r w:rsidRPr="00C82339">
        <w:lastRenderedPageBreak/>
        <w:t xml:space="preserve">Improved reliability in </w:t>
      </w:r>
      <w:proofErr w:type="spellStart"/>
      <w:r w:rsidRPr="00C82339">
        <w:t>hypertriglyceridemic</w:t>
      </w:r>
      <w:proofErr w:type="spellEnd"/>
      <w:r w:rsidRPr="00C82339">
        <w:t xml:space="preserve"> samples (Figures 8 and 9)</w:t>
      </w:r>
    </w:p>
    <w:p w:rsidR="00F80385" w:rsidRPr="00C82339" w:rsidRDefault="00F80385" w:rsidP="00C82339">
      <w:pPr>
        <w:pStyle w:val="NormalWeb"/>
        <w:numPr>
          <w:ilvl w:val="0"/>
          <w:numId w:val="3"/>
        </w:numPr>
        <w:jc w:val="both"/>
      </w:pPr>
      <w:r w:rsidRPr="00C82339">
        <w:t>Reduced dependence on rigid TG: VLDL assumptions [2–5]</w:t>
      </w:r>
    </w:p>
    <w:p w:rsidR="00F80385" w:rsidRPr="00C82339" w:rsidRDefault="00F80385" w:rsidP="00C82339">
      <w:pPr>
        <w:pStyle w:val="NormalWeb"/>
        <w:numPr>
          <w:ilvl w:val="0"/>
          <w:numId w:val="3"/>
        </w:numPr>
        <w:jc w:val="both"/>
      </w:pPr>
      <w:r w:rsidRPr="00C82339">
        <w:t>Adaptability to local population lipid distributions</w:t>
      </w:r>
    </w:p>
    <w:p w:rsidR="00F80385" w:rsidRPr="00C82339" w:rsidRDefault="00F80385" w:rsidP="00C82339">
      <w:pPr>
        <w:pStyle w:val="NormalWeb"/>
        <w:numPr>
          <w:ilvl w:val="0"/>
          <w:numId w:val="3"/>
        </w:numPr>
        <w:jc w:val="both"/>
      </w:pPr>
      <w:r w:rsidRPr="00C82339">
        <w:t>Seamless compatibility with QC workflows (Figures S1–S3)</w:t>
      </w:r>
    </w:p>
    <w:p w:rsidR="00C82339" w:rsidRPr="00C82339" w:rsidRDefault="00F80385" w:rsidP="00C82339">
      <w:pPr>
        <w:pStyle w:val="NormalWeb"/>
        <w:jc w:val="both"/>
      </w:pPr>
      <w:r w:rsidRPr="00C82339">
        <w:t>It is important to emphasize that this framework is not proposed as a replacement for direct LDL-C measurement in clinically indicated scenarios. Rather, it may serve as a computational adjunct that improves upon conventional formula-based estimation, particularly in resource-constrained settings.</w:t>
      </w:r>
    </w:p>
    <w:p w:rsidR="00C82339" w:rsidRPr="00C82339" w:rsidRDefault="00C82339"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5. Conclusion</w:t>
      </w:r>
    </w:p>
    <w:p w:rsidR="00C82339" w:rsidRPr="00C82339" w:rsidRDefault="00C82339" w:rsidP="00C82339">
      <w:pPr>
        <w:pStyle w:val="NormalWeb"/>
        <w:jc w:val="both"/>
      </w:pPr>
      <w:r w:rsidRPr="00C82339">
        <w:t xml:space="preserve">In this study, we developed and validated a machine learning–based framework for LDL-C estimation that incorporates a quality control–aware validation layer. Across both the development and temporally distinct validation datasets, machine learning models consistently demonstrated better agreement with directly measured LDL-C compared with the </w:t>
      </w:r>
      <w:proofErr w:type="spellStart"/>
      <w:r w:rsidRPr="00C82339">
        <w:t>Friedewald</w:t>
      </w:r>
      <w:proofErr w:type="spellEnd"/>
      <w:r w:rsidRPr="00C82339">
        <w:t>, Martin–Hopkins, and Sampson–NIH formulas. The advantage of ML methods was most evident in samples with elevated triglycerides, particularly at concentrations ≥400 mg/</w:t>
      </w:r>
      <w:proofErr w:type="spellStart"/>
      <w:r w:rsidRPr="00C82339">
        <w:t>dL</w:t>
      </w:r>
      <w:proofErr w:type="spellEnd"/>
      <w:r w:rsidRPr="00C82339">
        <w:t>, where traditional equations showed clear analytical deterioration.</w:t>
      </w:r>
    </w:p>
    <w:p w:rsidR="00C82339" w:rsidRPr="00C82339" w:rsidRDefault="00C82339" w:rsidP="00C82339">
      <w:pPr>
        <w:pStyle w:val="NormalWeb"/>
        <w:jc w:val="both"/>
      </w:pPr>
      <w:r w:rsidRPr="00C82339">
        <w:t xml:space="preserve">Among the evaluated algorithms, ensemble approaches—Random Forest, </w:t>
      </w:r>
      <w:proofErr w:type="spellStart"/>
      <w:r w:rsidRPr="00C82339">
        <w:t>XGBoost</w:t>
      </w:r>
      <w:proofErr w:type="spellEnd"/>
      <w:r w:rsidRPr="00C82339">
        <w:t xml:space="preserve">, and </w:t>
      </w:r>
      <w:proofErr w:type="spellStart"/>
      <w:r w:rsidRPr="00C82339">
        <w:t>CatBoost</w:t>
      </w:r>
      <w:proofErr w:type="spellEnd"/>
      <w:r w:rsidRPr="00C82339">
        <w:t>—showed the most stable and reproducible performance. Their ability to capture nonlinear relationships between total cholesterol, triglycerides, and HDL-C likely explains their robustness across triglyceride strata.</w:t>
      </w:r>
    </w:p>
    <w:p w:rsidR="00C82339" w:rsidRPr="00C82339" w:rsidRDefault="00C82339" w:rsidP="00C82339">
      <w:pPr>
        <w:pStyle w:val="NormalWeb"/>
        <w:jc w:val="both"/>
      </w:pPr>
      <w:r w:rsidRPr="00C82339">
        <w:t>An important aspect of this work is the integration of a QC-aware post-prediction validation step. Rather than focusing solely on numerical accuracy, this module was designed to reflect routine laboratory quality practices by identifying and moderating extreme predictions. This additional safeguard improves analytical reliability and supports potential real-world laboratory implementation.</w:t>
      </w:r>
    </w:p>
    <w:p w:rsidR="00C82339" w:rsidRPr="00C82339" w:rsidRDefault="00C82339" w:rsidP="00C82339">
      <w:pPr>
        <w:pStyle w:val="NormalWeb"/>
        <w:jc w:val="both"/>
      </w:pPr>
      <w:r w:rsidRPr="00C82339">
        <w:t>Taken together, these findings suggest that a QC-aware machine learning approach may offer a practical alternative to conventional calculation-based LDL-C estimation, particularly in situations where direct measurement is not readily available or formula-based methods are unreliable.</w:t>
      </w:r>
    </w:p>
    <w:p w:rsidR="00C82339" w:rsidRPr="00C82339" w:rsidRDefault="00C82339" w:rsidP="00C82339">
      <w:pPr>
        <w:jc w:val="both"/>
        <w:rPr>
          <w:rFonts w:ascii="Times New Roman" w:hAnsi="Times New Roman" w:cs="Times New Roman"/>
          <w:sz w:val="24"/>
          <w:szCs w:val="24"/>
        </w:rPr>
      </w:pPr>
    </w:p>
    <w:p w:rsidR="00C82339" w:rsidRPr="00C82339" w:rsidRDefault="00C82339"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6. Limitations</w:t>
      </w:r>
    </w:p>
    <w:p w:rsidR="00C82339" w:rsidRPr="00C82339" w:rsidRDefault="00C82339" w:rsidP="00C82339">
      <w:pPr>
        <w:pStyle w:val="NormalWeb"/>
        <w:jc w:val="both"/>
      </w:pPr>
      <w:r w:rsidRPr="00C82339">
        <w:t xml:space="preserve">Several limitations should be considered. This was a retrospective study based on routine laboratory data, and inherent selection bias cannot be excluded. The dataset was derived from a single </w:t>
      </w:r>
      <w:r w:rsidR="0034092E">
        <w:t>CENTRE</w:t>
      </w:r>
      <w:r w:rsidRPr="00C82339">
        <w:t>, which may limit generalizability to other populations, laboratory workflows, or analytical platforms.</w:t>
      </w:r>
    </w:p>
    <w:p w:rsidR="00C82339" w:rsidRPr="00C82339" w:rsidRDefault="00C82339" w:rsidP="00C82339">
      <w:pPr>
        <w:pStyle w:val="NormalWeb"/>
        <w:jc w:val="both"/>
      </w:pPr>
      <w:r w:rsidRPr="00C82339">
        <w:t>Although temporal validation was performed using a separate dataset, external multi-</w:t>
      </w:r>
      <w:r w:rsidR="0034092E">
        <w:t>CENTRE</w:t>
      </w:r>
      <w:r w:rsidRPr="00C82339">
        <w:t xml:space="preserve"> validation was not conducted. Variability in instrumentation, calibration, and population characteristics across institutions may influence model performance. In addition, model outputs were compared only with directly measured LDL-C values; clinical outcomes such as cardiovascular events or therapeutic decisions were not evaluated.</w:t>
      </w:r>
    </w:p>
    <w:p w:rsidR="00C82339" w:rsidRPr="00C82339" w:rsidRDefault="00C82339" w:rsidP="00C82339">
      <w:pPr>
        <w:pStyle w:val="NormalWeb"/>
        <w:jc w:val="both"/>
      </w:pPr>
      <w:r w:rsidRPr="00C82339">
        <w:lastRenderedPageBreak/>
        <w:t xml:space="preserve">Finally, while the QC module was designed in alignment with Westgard-based quality principles, it relied on statistical thresholds rather than </w:t>
      </w:r>
      <w:proofErr w:type="spellStart"/>
      <w:r w:rsidRPr="00C82339">
        <w:t>analyzer</w:t>
      </w:r>
      <w:proofErr w:type="spellEnd"/>
      <w:r w:rsidRPr="00C82339">
        <w:t>-specific rule sets. Platform-level adaptation may be required before widespread implementation.</w:t>
      </w:r>
    </w:p>
    <w:p w:rsidR="00C82339" w:rsidRPr="00C82339" w:rsidRDefault="00C82339" w:rsidP="00C82339">
      <w:pPr>
        <w:jc w:val="both"/>
        <w:rPr>
          <w:rFonts w:ascii="Times New Roman" w:hAnsi="Times New Roman" w:cs="Times New Roman"/>
          <w:sz w:val="24"/>
          <w:szCs w:val="24"/>
        </w:rPr>
      </w:pPr>
    </w:p>
    <w:p w:rsidR="00C82339" w:rsidRPr="00C82339" w:rsidRDefault="00C82339" w:rsidP="00C82339">
      <w:pPr>
        <w:pStyle w:val="Heading2"/>
        <w:jc w:val="both"/>
        <w:rPr>
          <w:rFonts w:ascii="Times New Roman" w:hAnsi="Times New Roman" w:cs="Times New Roman"/>
          <w:sz w:val="24"/>
          <w:szCs w:val="24"/>
        </w:rPr>
      </w:pPr>
      <w:r w:rsidRPr="00C82339">
        <w:rPr>
          <w:rStyle w:val="Strong"/>
          <w:rFonts w:ascii="Times New Roman" w:hAnsi="Times New Roman" w:cs="Times New Roman"/>
          <w:b w:val="0"/>
          <w:bCs w:val="0"/>
          <w:sz w:val="24"/>
          <w:szCs w:val="24"/>
        </w:rPr>
        <w:t>7. Future Directions</w:t>
      </w:r>
    </w:p>
    <w:p w:rsidR="00C82339" w:rsidRPr="00C82339" w:rsidRDefault="00C82339" w:rsidP="00C82339">
      <w:pPr>
        <w:pStyle w:val="NormalWeb"/>
        <w:jc w:val="both"/>
      </w:pPr>
      <w:r w:rsidRPr="00C82339">
        <w:t xml:space="preserve">Future work should focus on external validation across multiple </w:t>
      </w:r>
      <w:r w:rsidR="0034092E">
        <w:t>CENTRE</w:t>
      </w:r>
      <w:r w:rsidRPr="00C82339">
        <w:t>s and analytical systems to confirm reproducibility and transportability. Prospective integration of the ML framework into laboratory information systems would allow evaluation of real-time feasibility and clinician acceptance.</w:t>
      </w:r>
    </w:p>
    <w:p w:rsidR="00C82339" w:rsidRDefault="00C82339" w:rsidP="00C82339">
      <w:pPr>
        <w:pStyle w:val="NormalWeb"/>
        <w:jc w:val="both"/>
      </w:pPr>
      <w:r w:rsidRPr="00C82339">
        <w:t>Refinement of the QC module—potentially incorporating platform-specific limits, delta checks, and longitudinal patient-level trends—may further strengthen analytical safeguards. In addition, studies examining the impact of ML-predicted LDL-C values on clinical decision-making and cardiovascular risk assessment will be important to determine whether improved analytical performance translates into meaningful patient benefit.</w:t>
      </w:r>
    </w:p>
    <w:p w:rsidR="001E518A" w:rsidRPr="00761554" w:rsidRDefault="001E518A" w:rsidP="001E518A">
      <w:pPr>
        <w:pStyle w:val="Heading2"/>
        <w:jc w:val="both"/>
        <w:rPr>
          <w:sz w:val="24"/>
          <w:szCs w:val="24"/>
        </w:rPr>
      </w:pPr>
      <w:r w:rsidRPr="00761554">
        <w:rPr>
          <w:rStyle w:val="Strong"/>
          <w:sz w:val="24"/>
          <w:szCs w:val="24"/>
        </w:rPr>
        <w:t>References</w:t>
      </w: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Mach F, </w:t>
      </w:r>
      <w:proofErr w:type="spellStart"/>
      <w:r w:rsidRPr="00761554">
        <w:rPr>
          <w:rFonts w:ascii="Times New Roman" w:hAnsi="Times New Roman" w:cs="Times New Roman"/>
          <w:sz w:val="24"/>
          <w:szCs w:val="24"/>
        </w:rPr>
        <w:t>Baigent</w:t>
      </w:r>
      <w:proofErr w:type="spellEnd"/>
      <w:r w:rsidRPr="00761554">
        <w:rPr>
          <w:rFonts w:ascii="Times New Roman" w:hAnsi="Times New Roman" w:cs="Times New Roman"/>
          <w:sz w:val="24"/>
          <w:szCs w:val="24"/>
        </w:rPr>
        <w:t xml:space="preserve"> C, </w:t>
      </w:r>
      <w:proofErr w:type="spellStart"/>
      <w:r w:rsidRPr="00761554">
        <w:rPr>
          <w:rFonts w:ascii="Times New Roman" w:hAnsi="Times New Roman" w:cs="Times New Roman"/>
          <w:sz w:val="24"/>
          <w:szCs w:val="24"/>
        </w:rPr>
        <w:t>Catapano</w:t>
      </w:r>
      <w:proofErr w:type="spellEnd"/>
      <w:r w:rsidRPr="00761554">
        <w:rPr>
          <w:rFonts w:ascii="Times New Roman" w:hAnsi="Times New Roman" w:cs="Times New Roman"/>
          <w:sz w:val="24"/>
          <w:szCs w:val="24"/>
        </w:rPr>
        <w:t xml:space="preserve"> AL, </w:t>
      </w:r>
      <w:proofErr w:type="spellStart"/>
      <w:r w:rsidRPr="00761554">
        <w:rPr>
          <w:rFonts w:ascii="Times New Roman" w:hAnsi="Times New Roman" w:cs="Times New Roman"/>
          <w:sz w:val="24"/>
          <w:szCs w:val="24"/>
        </w:rPr>
        <w:t>Koskinas</w:t>
      </w:r>
      <w:proofErr w:type="spellEnd"/>
      <w:r w:rsidRPr="00761554">
        <w:rPr>
          <w:rFonts w:ascii="Times New Roman" w:hAnsi="Times New Roman" w:cs="Times New Roman"/>
          <w:sz w:val="24"/>
          <w:szCs w:val="24"/>
        </w:rPr>
        <w:t xml:space="preserve"> KC, </w:t>
      </w:r>
      <w:proofErr w:type="spellStart"/>
      <w:r w:rsidRPr="00761554">
        <w:rPr>
          <w:rFonts w:ascii="Times New Roman" w:hAnsi="Times New Roman" w:cs="Times New Roman"/>
          <w:sz w:val="24"/>
          <w:szCs w:val="24"/>
        </w:rPr>
        <w:t>Casula</w:t>
      </w:r>
      <w:proofErr w:type="spellEnd"/>
      <w:r w:rsidRPr="00761554">
        <w:rPr>
          <w:rFonts w:ascii="Times New Roman" w:hAnsi="Times New Roman" w:cs="Times New Roman"/>
          <w:sz w:val="24"/>
          <w:szCs w:val="24"/>
        </w:rPr>
        <w:t xml:space="preserve"> M, </w:t>
      </w:r>
      <w:proofErr w:type="spellStart"/>
      <w:r w:rsidRPr="00761554">
        <w:rPr>
          <w:rFonts w:ascii="Times New Roman" w:hAnsi="Times New Roman" w:cs="Times New Roman"/>
          <w:sz w:val="24"/>
          <w:szCs w:val="24"/>
        </w:rPr>
        <w:t>Badimon</w:t>
      </w:r>
      <w:proofErr w:type="spellEnd"/>
      <w:r w:rsidRPr="00761554">
        <w:rPr>
          <w:rFonts w:ascii="Times New Roman" w:hAnsi="Times New Roman" w:cs="Times New Roman"/>
          <w:sz w:val="24"/>
          <w:szCs w:val="24"/>
        </w:rPr>
        <w:t xml:space="preserve"> L, et al.</w:t>
      </w:r>
      <w:r w:rsidRPr="00761554">
        <w:rPr>
          <w:rFonts w:ascii="Times New Roman" w:hAnsi="Times New Roman" w:cs="Times New Roman"/>
          <w:sz w:val="24"/>
          <w:szCs w:val="24"/>
        </w:rPr>
        <w:br/>
        <w:t xml:space="preserve">2019 ESC/EAS guidelines for the management of dyslipidaemias: lipid modification to reduce cardiovascular risk. </w:t>
      </w:r>
      <w:proofErr w:type="spellStart"/>
      <w:r w:rsidRPr="00761554">
        <w:rPr>
          <w:rStyle w:val="Emphasis"/>
          <w:rFonts w:ascii="Times New Roman" w:hAnsi="Times New Roman" w:cs="Times New Roman"/>
          <w:sz w:val="24"/>
          <w:szCs w:val="24"/>
        </w:rPr>
        <w:t>Eur</w:t>
      </w:r>
      <w:proofErr w:type="spellEnd"/>
      <w:r w:rsidRPr="00761554">
        <w:rPr>
          <w:rStyle w:val="Emphasis"/>
          <w:rFonts w:ascii="Times New Roman" w:hAnsi="Times New Roman" w:cs="Times New Roman"/>
          <w:sz w:val="24"/>
          <w:szCs w:val="24"/>
        </w:rPr>
        <w:t xml:space="preserve"> Heart J.</w:t>
      </w:r>
      <w:r w:rsidRPr="00761554">
        <w:rPr>
          <w:rFonts w:ascii="Times New Roman" w:hAnsi="Times New Roman" w:cs="Times New Roman"/>
          <w:sz w:val="24"/>
          <w:szCs w:val="24"/>
        </w:rPr>
        <w:t xml:space="preserve"> 2020;41(1):111–188 </w:t>
      </w:r>
      <w:hyperlink r:id="rId5" w:tgtFrame="_new" w:history="1">
        <w:r w:rsidRPr="00761554">
          <w:rPr>
            <w:rStyle w:val="Hyperlink"/>
            <w:rFonts w:ascii="Times New Roman" w:hAnsi="Times New Roman" w:cs="Times New Roman"/>
            <w:sz w:val="24"/>
            <w:szCs w:val="24"/>
          </w:rPr>
          <w:t>https://doi.org/10.1093/eurheartj/ehz455</w:t>
        </w:r>
      </w:hyperlink>
      <w:r w:rsidRPr="00761554">
        <w:rPr>
          <w:rFonts w:ascii="Times New Roman" w:hAnsi="Times New Roman" w:cs="Times New Roman"/>
          <w:sz w:val="24"/>
          <w:szCs w:val="24"/>
        </w:rPr>
        <w:t>.</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proofErr w:type="spellStart"/>
      <w:r w:rsidRPr="00761554">
        <w:rPr>
          <w:rFonts w:ascii="Times New Roman" w:hAnsi="Times New Roman" w:cs="Times New Roman"/>
          <w:sz w:val="24"/>
          <w:szCs w:val="24"/>
        </w:rPr>
        <w:t>Friedewald</w:t>
      </w:r>
      <w:proofErr w:type="spellEnd"/>
      <w:r w:rsidRPr="00761554">
        <w:rPr>
          <w:rFonts w:ascii="Times New Roman" w:hAnsi="Times New Roman" w:cs="Times New Roman"/>
          <w:sz w:val="24"/>
          <w:szCs w:val="24"/>
        </w:rPr>
        <w:t xml:space="preserve"> WT, Levy RI, Fredrickson DS. Estimation of the concentration of low-density lipoprotein cholesterol in plasma, without use of the preparative ultracentrifuge. </w:t>
      </w:r>
      <w:proofErr w:type="spellStart"/>
      <w:r w:rsidRPr="00761554">
        <w:rPr>
          <w:rStyle w:val="Emphasis"/>
          <w:rFonts w:ascii="Times New Roman" w:hAnsi="Times New Roman" w:cs="Times New Roman"/>
          <w:sz w:val="24"/>
          <w:szCs w:val="24"/>
        </w:rPr>
        <w:t>Clin</w:t>
      </w:r>
      <w:proofErr w:type="spellEnd"/>
      <w:r w:rsidRPr="00761554">
        <w:rPr>
          <w:rStyle w:val="Emphasis"/>
          <w:rFonts w:ascii="Times New Roman" w:hAnsi="Times New Roman" w:cs="Times New Roman"/>
          <w:sz w:val="24"/>
          <w:szCs w:val="24"/>
        </w:rPr>
        <w:t xml:space="preserve"> Chem.</w:t>
      </w:r>
      <w:r w:rsidRPr="00761554">
        <w:rPr>
          <w:rFonts w:ascii="Times New Roman" w:hAnsi="Times New Roman" w:cs="Times New Roman"/>
          <w:sz w:val="24"/>
          <w:szCs w:val="24"/>
        </w:rPr>
        <w:t xml:space="preserve"> 1972;18(6):499–502.</w:t>
      </w:r>
    </w:p>
    <w:p w:rsidR="001E518A" w:rsidRPr="00761554" w:rsidRDefault="001E518A" w:rsidP="001E518A">
      <w:pPr>
        <w:pStyle w:val="ListParagraph"/>
        <w:jc w:val="both"/>
        <w:rPr>
          <w:rFonts w:ascii="Times New Roman" w:hAnsi="Times New Roman" w:cs="Times New Roman"/>
          <w:sz w:val="24"/>
          <w:szCs w:val="24"/>
        </w:rPr>
      </w:pPr>
    </w:p>
    <w:p w:rsidR="001E518A" w:rsidRPr="00761554" w:rsidRDefault="001E518A" w:rsidP="001E518A">
      <w:pPr>
        <w:pStyle w:val="NormalWeb"/>
        <w:ind w:left="720"/>
        <w:jc w:val="both"/>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Martin SS, </w:t>
      </w:r>
      <w:proofErr w:type="spellStart"/>
      <w:r w:rsidRPr="00761554">
        <w:rPr>
          <w:rFonts w:ascii="Times New Roman" w:hAnsi="Times New Roman" w:cs="Times New Roman"/>
          <w:sz w:val="24"/>
          <w:szCs w:val="24"/>
        </w:rPr>
        <w:t>Blaha</w:t>
      </w:r>
      <w:proofErr w:type="spellEnd"/>
      <w:r w:rsidRPr="00761554">
        <w:rPr>
          <w:rFonts w:ascii="Times New Roman" w:hAnsi="Times New Roman" w:cs="Times New Roman"/>
          <w:sz w:val="24"/>
          <w:szCs w:val="24"/>
        </w:rPr>
        <w:t xml:space="preserve"> MJ, </w:t>
      </w:r>
      <w:proofErr w:type="spellStart"/>
      <w:r w:rsidRPr="00761554">
        <w:rPr>
          <w:rFonts w:ascii="Times New Roman" w:hAnsi="Times New Roman" w:cs="Times New Roman"/>
          <w:sz w:val="24"/>
          <w:szCs w:val="24"/>
        </w:rPr>
        <w:t>Elshazly</w:t>
      </w:r>
      <w:proofErr w:type="spellEnd"/>
      <w:r w:rsidRPr="00761554">
        <w:rPr>
          <w:rFonts w:ascii="Times New Roman" w:hAnsi="Times New Roman" w:cs="Times New Roman"/>
          <w:sz w:val="24"/>
          <w:szCs w:val="24"/>
        </w:rPr>
        <w:t xml:space="preserve"> MB, </w:t>
      </w:r>
      <w:proofErr w:type="spellStart"/>
      <w:r w:rsidRPr="00761554">
        <w:rPr>
          <w:rFonts w:ascii="Times New Roman" w:hAnsi="Times New Roman" w:cs="Times New Roman"/>
          <w:sz w:val="24"/>
          <w:szCs w:val="24"/>
        </w:rPr>
        <w:t>Toth</w:t>
      </w:r>
      <w:proofErr w:type="spellEnd"/>
      <w:r w:rsidRPr="00761554">
        <w:rPr>
          <w:rFonts w:ascii="Times New Roman" w:hAnsi="Times New Roman" w:cs="Times New Roman"/>
          <w:sz w:val="24"/>
          <w:szCs w:val="24"/>
        </w:rPr>
        <w:t xml:space="preserve"> PP, </w:t>
      </w:r>
      <w:proofErr w:type="spellStart"/>
      <w:r w:rsidRPr="00761554">
        <w:rPr>
          <w:rFonts w:ascii="Times New Roman" w:hAnsi="Times New Roman" w:cs="Times New Roman"/>
          <w:sz w:val="24"/>
          <w:szCs w:val="24"/>
        </w:rPr>
        <w:t>Kwiterovich</w:t>
      </w:r>
      <w:proofErr w:type="spellEnd"/>
      <w:r w:rsidRPr="00761554">
        <w:rPr>
          <w:rFonts w:ascii="Times New Roman" w:hAnsi="Times New Roman" w:cs="Times New Roman"/>
          <w:sz w:val="24"/>
          <w:szCs w:val="24"/>
        </w:rPr>
        <w:t xml:space="preserve"> PO, Blumenthal RS, et al.</w:t>
      </w:r>
      <w:r w:rsidRPr="00761554">
        <w:rPr>
          <w:rFonts w:ascii="Times New Roman" w:hAnsi="Times New Roman" w:cs="Times New Roman"/>
          <w:sz w:val="24"/>
          <w:szCs w:val="24"/>
        </w:rPr>
        <w:br/>
        <w:t xml:space="preserve">Comparison of a novel method vs the </w:t>
      </w:r>
      <w:proofErr w:type="spellStart"/>
      <w:r w:rsidRPr="00761554">
        <w:rPr>
          <w:rFonts w:ascii="Times New Roman" w:hAnsi="Times New Roman" w:cs="Times New Roman"/>
          <w:sz w:val="24"/>
          <w:szCs w:val="24"/>
        </w:rPr>
        <w:t>Friedewald</w:t>
      </w:r>
      <w:proofErr w:type="spellEnd"/>
      <w:r w:rsidRPr="00761554">
        <w:rPr>
          <w:rFonts w:ascii="Times New Roman" w:hAnsi="Times New Roman" w:cs="Times New Roman"/>
          <w:sz w:val="24"/>
          <w:szCs w:val="24"/>
        </w:rPr>
        <w:t xml:space="preserve"> equation for estimating low-density lipoprotein cholesterol levels from the standard lipid profile. </w:t>
      </w:r>
      <w:r w:rsidRPr="00761554">
        <w:rPr>
          <w:rStyle w:val="Emphasis"/>
          <w:rFonts w:ascii="Times New Roman" w:hAnsi="Times New Roman" w:cs="Times New Roman"/>
          <w:sz w:val="24"/>
          <w:szCs w:val="24"/>
        </w:rPr>
        <w:t>JAMA.</w:t>
      </w:r>
      <w:r w:rsidRPr="00761554">
        <w:rPr>
          <w:rFonts w:ascii="Times New Roman" w:hAnsi="Times New Roman" w:cs="Times New Roman"/>
          <w:sz w:val="24"/>
          <w:szCs w:val="24"/>
        </w:rPr>
        <w:t xml:space="preserve"> 2013;310(19):2061–2068. </w:t>
      </w:r>
      <w:hyperlink r:id="rId6" w:history="1">
        <w:r w:rsidRPr="00761554">
          <w:rPr>
            <w:rStyle w:val="Hyperlink"/>
            <w:rFonts w:ascii="Times New Roman" w:hAnsi="Times New Roman" w:cs="Times New Roman"/>
            <w:sz w:val="24"/>
            <w:szCs w:val="24"/>
          </w:rPr>
          <w:t>https://doi.org/10.1001/jama.2013.280532</w:t>
        </w:r>
      </w:hyperlink>
      <w:r w:rsidRPr="00761554">
        <w:rPr>
          <w:rFonts w:ascii="Times New Roman" w:hAnsi="Times New Roman" w:cs="Times New Roman"/>
          <w:sz w:val="24"/>
          <w:szCs w:val="24"/>
        </w:rPr>
        <w:t>.</w:t>
      </w:r>
    </w:p>
    <w:p w:rsidR="001E518A" w:rsidRPr="00761554" w:rsidRDefault="001E518A" w:rsidP="001E518A">
      <w:pPr>
        <w:pStyle w:val="NormalWeb"/>
        <w:ind w:left="720"/>
        <w:jc w:val="both"/>
      </w:pPr>
    </w:p>
    <w:p w:rsidR="001E518A" w:rsidRPr="00761554" w:rsidRDefault="001E518A" w:rsidP="001E518A">
      <w:pPr>
        <w:pStyle w:val="NoSpacing"/>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Martin SS, </w:t>
      </w:r>
      <w:proofErr w:type="spellStart"/>
      <w:r w:rsidRPr="00761554">
        <w:rPr>
          <w:rFonts w:ascii="Times New Roman" w:hAnsi="Times New Roman" w:cs="Times New Roman"/>
          <w:sz w:val="24"/>
          <w:szCs w:val="24"/>
        </w:rPr>
        <w:t>Giugliano</w:t>
      </w:r>
      <w:proofErr w:type="spellEnd"/>
      <w:r w:rsidRPr="00761554">
        <w:rPr>
          <w:rFonts w:ascii="Times New Roman" w:hAnsi="Times New Roman" w:cs="Times New Roman"/>
          <w:sz w:val="24"/>
          <w:szCs w:val="24"/>
        </w:rPr>
        <w:t xml:space="preserve"> RP, Murphy SA, Wasserman SM, Stein EA, </w:t>
      </w:r>
      <w:proofErr w:type="spellStart"/>
      <w:r w:rsidRPr="00761554">
        <w:rPr>
          <w:rFonts w:ascii="Times New Roman" w:hAnsi="Times New Roman" w:cs="Times New Roman"/>
          <w:sz w:val="24"/>
          <w:szCs w:val="24"/>
        </w:rPr>
        <w:t>Ceska</w:t>
      </w:r>
      <w:proofErr w:type="spellEnd"/>
      <w:r w:rsidRPr="00761554">
        <w:rPr>
          <w:rFonts w:ascii="Times New Roman" w:hAnsi="Times New Roman" w:cs="Times New Roman"/>
          <w:sz w:val="24"/>
          <w:szCs w:val="24"/>
        </w:rPr>
        <w:t xml:space="preserve"> R, et al.</w:t>
      </w:r>
      <w:r w:rsidRPr="00761554">
        <w:rPr>
          <w:rFonts w:ascii="Times New Roman" w:hAnsi="Times New Roman" w:cs="Times New Roman"/>
          <w:sz w:val="24"/>
          <w:szCs w:val="24"/>
        </w:rPr>
        <w:br/>
        <w:t xml:space="preserve">Comparison of low-density lipoprotein cholesterol assessed by novel methods vs </w:t>
      </w:r>
      <w:proofErr w:type="spellStart"/>
      <w:r w:rsidRPr="00761554">
        <w:rPr>
          <w:rFonts w:ascii="Times New Roman" w:hAnsi="Times New Roman" w:cs="Times New Roman"/>
          <w:sz w:val="24"/>
          <w:szCs w:val="24"/>
        </w:rPr>
        <w:t>Friedewald</w:t>
      </w:r>
      <w:proofErr w:type="spellEnd"/>
      <w:r w:rsidRPr="00761554">
        <w:rPr>
          <w:rFonts w:ascii="Times New Roman" w:hAnsi="Times New Roman" w:cs="Times New Roman"/>
          <w:sz w:val="24"/>
          <w:szCs w:val="24"/>
        </w:rPr>
        <w:t xml:space="preserve"> estimation. </w:t>
      </w:r>
      <w:r w:rsidRPr="00761554">
        <w:rPr>
          <w:rStyle w:val="Emphasis"/>
          <w:rFonts w:ascii="Times New Roman" w:hAnsi="Times New Roman" w:cs="Times New Roman"/>
          <w:sz w:val="24"/>
          <w:szCs w:val="24"/>
        </w:rPr>
        <w:t xml:space="preserve">J Am </w:t>
      </w:r>
      <w:proofErr w:type="spellStart"/>
      <w:r w:rsidRPr="00761554">
        <w:rPr>
          <w:rStyle w:val="Emphasis"/>
          <w:rFonts w:ascii="Times New Roman" w:hAnsi="Times New Roman" w:cs="Times New Roman"/>
          <w:sz w:val="24"/>
          <w:szCs w:val="24"/>
        </w:rPr>
        <w:t>Coll</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Cardiol</w:t>
      </w:r>
      <w:proofErr w:type="spellEnd"/>
      <w:r w:rsidRPr="00761554">
        <w:rPr>
          <w:rStyle w:val="Emphasis"/>
          <w:rFonts w:ascii="Times New Roman" w:hAnsi="Times New Roman" w:cs="Times New Roman"/>
          <w:sz w:val="24"/>
          <w:szCs w:val="24"/>
        </w:rPr>
        <w:t>.</w:t>
      </w:r>
      <w:r w:rsidRPr="00761554">
        <w:rPr>
          <w:rFonts w:ascii="Times New Roman" w:hAnsi="Times New Roman" w:cs="Times New Roman"/>
          <w:sz w:val="24"/>
          <w:szCs w:val="24"/>
        </w:rPr>
        <w:t xml:space="preserve"> 2013;62(8):732–739.</w:t>
      </w:r>
      <w:r w:rsidRPr="00761554">
        <w:rPr>
          <w:rFonts w:ascii="Times New Roman" w:hAnsi="Times New Roman" w:cs="Times New Roman"/>
          <w:sz w:val="24"/>
          <w:szCs w:val="24"/>
        </w:rPr>
        <w:br/>
      </w:r>
      <w:hyperlink r:id="rId7" w:history="1">
        <w:r w:rsidRPr="00761554">
          <w:rPr>
            <w:rStyle w:val="Hyperlink"/>
            <w:rFonts w:ascii="Times New Roman" w:hAnsi="Times New Roman" w:cs="Times New Roman"/>
            <w:sz w:val="24"/>
            <w:szCs w:val="24"/>
          </w:rPr>
          <w:t>https://doi.org/10.1016/j.jacc.2013.01.079</w:t>
        </w:r>
      </w:hyperlink>
      <w:r w:rsidRPr="00761554">
        <w:rPr>
          <w:rFonts w:ascii="Times New Roman" w:hAnsi="Times New Roman" w:cs="Times New Roman"/>
          <w:sz w:val="24"/>
          <w:szCs w:val="24"/>
        </w:rPr>
        <w:t>.</w:t>
      </w:r>
    </w:p>
    <w:p w:rsidR="001E518A" w:rsidRPr="00761554" w:rsidRDefault="001E518A" w:rsidP="001E518A">
      <w:pPr>
        <w:pStyle w:val="NormalWeb"/>
        <w:ind w:left="720"/>
        <w:jc w:val="both"/>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Sampson M, Ling C, Sun Q, </w:t>
      </w:r>
      <w:proofErr w:type="spellStart"/>
      <w:r w:rsidRPr="00761554">
        <w:rPr>
          <w:rFonts w:ascii="Times New Roman" w:hAnsi="Times New Roman" w:cs="Times New Roman"/>
          <w:sz w:val="24"/>
          <w:szCs w:val="24"/>
        </w:rPr>
        <w:t>Harb</w:t>
      </w:r>
      <w:proofErr w:type="spellEnd"/>
      <w:r w:rsidRPr="00761554">
        <w:rPr>
          <w:rFonts w:ascii="Times New Roman" w:hAnsi="Times New Roman" w:cs="Times New Roman"/>
          <w:sz w:val="24"/>
          <w:szCs w:val="24"/>
        </w:rPr>
        <w:t xml:space="preserve"> R, </w:t>
      </w:r>
      <w:proofErr w:type="spellStart"/>
      <w:r w:rsidRPr="00761554">
        <w:rPr>
          <w:rFonts w:ascii="Times New Roman" w:hAnsi="Times New Roman" w:cs="Times New Roman"/>
          <w:sz w:val="24"/>
          <w:szCs w:val="24"/>
        </w:rPr>
        <w:t>Ashmaig</w:t>
      </w:r>
      <w:proofErr w:type="spellEnd"/>
      <w:r w:rsidRPr="00761554">
        <w:rPr>
          <w:rFonts w:ascii="Times New Roman" w:hAnsi="Times New Roman" w:cs="Times New Roman"/>
          <w:sz w:val="24"/>
          <w:szCs w:val="24"/>
        </w:rPr>
        <w:t xml:space="preserve"> M, </w:t>
      </w:r>
      <w:proofErr w:type="spellStart"/>
      <w:r w:rsidRPr="00761554">
        <w:rPr>
          <w:rFonts w:ascii="Times New Roman" w:hAnsi="Times New Roman" w:cs="Times New Roman"/>
          <w:sz w:val="24"/>
          <w:szCs w:val="24"/>
        </w:rPr>
        <w:t>Warnick</w:t>
      </w:r>
      <w:proofErr w:type="spellEnd"/>
      <w:r w:rsidRPr="00761554">
        <w:rPr>
          <w:rFonts w:ascii="Times New Roman" w:hAnsi="Times New Roman" w:cs="Times New Roman"/>
          <w:sz w:val="24"/>
          <w:szCs w:val="24"/>
        </w:rPr>
        <w:t xml:space="preserve"> R, et al. A new equation for calculation of low-density lipoprotein cholesterol in patients with normal and </w:t>
      </w:r>
      <w:r w:rsidRPr="00761554">
        <w:rPr>
          <w:rFonts w:ascii="Times New Roman" w:hAnsi="Times New Roman" w:cs="Times New Roman"/>
          <w:sz w:val="24"/>
          <w:szCs w:val="24"/>
        </w:rPr>
        <w:lastRenderedPageBreak/>
        <w:t xml:space="preserve">elevated triglyceride levels. </w:t>
      </w:r>
      <w:r w:rsidRPr="00761554">
        <w:rPr>
          <w:rStyle w:val="Emphasis"/>
          <w:rFonts w:ascii="Times New Roman" w:hAnsi="Times New Roman" w:cs="Times New Roman"/>
          <w:sz w:val="24"/>
          <w:szCs w:val="24"/>
        </w:rPr>
        <w:t xml:space="preserve">JAMA </w:t>
      </w:r>
      <w:proofErr w:type="spellStart"/>
      <w:r w:rsidRPr="00761554">
        <w:rPr>
          <w:rStyle w:val="Emphasis"/>
          <w:rFonts w:ascii="Times New Roman" w:hAnsi="Times New Roman" w:cs="Times New Roman"/>
          <w:sz w:val="24"/>
          <w:szCs w:val="24"/>
        </w:rPr>
        <w:t>Cardiol</w:t>
      </w:r>
      <w:proofErr w:type="spellEnd"/>
      <w:r w:rsidRPr="00761554">
        <w:rPr>
          <w:rStyle w:val="Emphasis"/>
          <w:rFonts w:ascii="Times New Roman" w:hAnsi="Times New Roman" w:cs="Times New Roman"/>
          <w:sz w:val="24"/>
          <w:szCs w:val="24"/>
        </w:rPr>
        <w:t>.</w:t>
      </w:r>
      <w:r w:rsidRPr="00761554">
        <w:rPr>
          <w:rFonts w:ascii="Times New Roman" w:hAnsi="Times New Roman" w:cs="Times New Roman"/>
          <w:sz w:val="24"/>
          <w:szCs w:val="24"/>
        </w:rPr>
        <w:t xml:space="preserve"> 2020;5(5):540–548. </w:t>
      </w:r>
      <w:hyperlink r:id="rId8" w:history="1">
        <w:r w:rsidRPr="00761554">
          <w:rPr>
            <w:rStyle w:val="Hyperlink"/>
            <w:rFonts w:ascii="Times New Roman" w:hAnsi="Times New Roman" w:cs="Times New Roman"/>
            <w:sz w:val="24"/>
            <w:szCs w:val="24"/>
          </w:rPr>
          <w:t>https://doi.org/10.1001/jamacardio.2020.0013.</w:t>
        </w:r>
      </w:hyperlink>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NoSpacing"/>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Martin SS, </w:t>
      </w:r>
      <w:proofErr w:type="spellStart"/>
      <w:r w:rsidRPr="00761554">
        <w:rPr>
          <w:rFonts w:ascii="Times New Roman" w:hAnsi="Times New Roman" w:cs="Times New Roman"/>
          <w:sz w:val="24"/>
          <w:szCs w:val="24"/>
        </w:rPr>
        <w:t>Whelton</w:t>
      </w:r>
      <w:proofErr w:type="spellEnd"/>
      <w:r w:rsidRPr="00761554">
        <w:rPr>
          <w:rFonts w:ascii="Times New Roman" w:hAnsi="Times New Roman" w:cs="Times New Roman"/>
          <w:sz w:val="24"/>
          <w:szCs w:val="24"/>
        </w:rPr>
        <w:t xml:space="preserve"> SP, Jones SR, et al. Most LDL cholesterol estimates are inaccurate in patients with high triglycerides. </w:t>
      </w:r>
      <w:r w:rsidRPr="00761554">
        <w:rPr>
          <w:rStyle w:val="Emphasis"/>
          <w:rFonts w:ascii="Times New Roman" w:hAnsi="Times New Roman" w:cs="Times New Roman"/>
          <w:sz w:val="24"/>
          <w:szCs w:val="24"/>
        </w:rPr>
        <w:t xml:space="preserve">J Am </w:t>
      </w:r>
      <w:proofErr w:type="spellStart"/>
      <w:r w:rsidRPr="00761554">
        <w:rPr>
          <w:rStyle w:val="Emphasis"/>
          <w:rFonts w:ascii="Times New Roman" w:hAnsi="Times New Roman" w:cs="Times New Roman"/>
          <w:sz w:val="24"/>
          <w:szCs w:val="24"/>
        </w:rPr>
        <w:t>Coll</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Cardiol</w:t>
      </w:r>
      <w:proofErr w:type="spellEnd"/>
      <w:r w:rsidRPr="00761554">
        <w:rPr>
          <w:rStyle w:val="Emphasis"/>
          <w:rFonts w:ascii="Times New Roman" w:hAnsi="Times New Roman" w:cs="Times New Roman"/>
          <w:sz w:val="24"/>
          <w:szCs w:val="24"/>
        </w:rPr>
        <w:t>.</w:t>
      </w:r>
      <w:r w:rsidRPr="00761554">
        <w:rPr>
          <w:rFonts w:ascii="Times New Roman" w:hAnsi="Times New Roman" w:cs="Times New Roman"/>
          <w:sz w:val="24"/>
          <w:szCs w:val="24"/>
        </w:rPr>
        <w:t xml:space="preserve"> 2023;81(5):500–502. </w:t>
      </w:r>
      <w:hyperlink r:id="rId9" w:history="1">
        <w:r w:rsidRPr="00761554">
          <w:rPr>
            <w:rStyle w:val="Hyperlink"/>
            <w:rFonts w:ascii="Times New Roman" w:hAnsi="Times New Roman" w:cs="Times New Roman"/>
            <w:sz w:val="24"/>
            <w:szCs w:val="24"/>
          </w:rPr>
          <w:t>https://doi.org/10.1016/j.jacc.2022.12.007</w:t>
        </w:r>
      </w:hyperlink>
      <w:r w:rsidRPr="00761554">
        <w:rPr>
          <w:rFonts w:ascii="Times New Roman" w:hAnsi="Times New Roman" w:cs="Times New Roman"/>
          <w:sz w:val="24"/>
          <w:szCs w:val="24"/>
        </w:rPr>
        <w:t>.</w:t>
      </w:r>
    </w:p>
    <w:p w:rsidR="001E518A" w:rsidRPr="00761554" w:rsidRDefault="001E518A" w:rsidP="001E518A">
      <w:pPr>
        <w:pStyle w:val="NormalWeb"/>
        <w:ind w:left="720"/>
        <w:jc w:val="both"/>
      </w:pPr>
    </w:p>
    <w:p w:rsidR="001E518A" w:rsidRPr="00761554" w:rsidRDefault="001E518A" w:rsidP="001E518A">
      <w:pPr>
        <w:pStyle w:val="ListParagraph"/>
        <w:numPr>
          <w:ilvl w:val="0"/>
          <w:numId w:val="4"/>
        </w:numPr>
        <w:jc w:val="both"/>
        <w:rPr>
          <w:rFonts w:ascii="Times New Roman" w:hAnsi="Times New Roman" w:cs="Times New Roman"/>
          <w:sz w:val="24"/>
          <w:szCs w:val="24"/>
        </w:rPr>
      </w:pPr>
      <w:proofErr w:type="spellStart"/>
      <w:r w:rsidRPr="00761554">
        <w:rPr>
          <w:rFonts w:ascii="Times New Roman" w:hAnsi="Times New Roman" w:cs="Times New Roman"/>
          <w:sz w:val="24"/>
          <w:szCs w:val="24"/>
        </w:rPr>
        <w:t>Ertürk</w:t>
      </w:r>
      <w:proofErr w:type="spellEnd"/>
      <w:r w:rsidRPr="00761554">
        <w:rPr>
          <w:rFonts w:ascii="Times New Roman" w:hAnsi="Times New Roman" w:cs="Times New Roman"/>
          <w:sz w:val="24"/>
          <w:szCs w:val="24"/>
        </w:rPr>
        <w:t xml:space="preserve"> </w:t>
      </w:r>
      <w:proofErr w:type="spellStart"/>
      <w:r w:rsidRPr="00761554">
        <w:rPr>
          <w:rFonts w:ascii="Times New Roman" w:hAnsi="Times New Roman" w:cs="Times New Roman"/>
          <w:sz w:val="24"/>
          <w:szCs w:val="24"/>
        </w:rPr>
        <w:t>Zararsız</w:t>
      </w:r>
      <w:proofErr w:type="spellEnd"/>
      <w:r w:rsidRPr="00761554">
        <w:rPr>
          <w:rFonts w:ascii="Times New Roman" w:hAnsi="Times New Roman" w:cs="Times New Roman"/>
          <w:sz w:val="24"/>
          <w:szCs w:val="24"/>
        </w:rPr>
        <w:t xml:space="preserve"> G, </w:t>
      </w:r>
      <w:proofErr w:type="spellStart"/>
      <w:r w:rsidRPr="00761554">
        <w:rPr>
          <w:rFonts w:ascii="Times New Roman" w:hAnsi="Times New Roman" w:cs="Times New Roman"/>
          <w:sz w:val="24"/>
          <w:szCs w:val="24"/>
        </w:rPr>
        <w:t>Alagöz</w:t>
      </w:r>
      <w:proofErr w:type="spellEnd"/>
      <w:r w:rsidRPr="00761554">
        <w:rPr>
          <w:rFonts w:ascii="Times New Roman" w:hAnsi="Times New Roman" w:cs="Times New Roman"/>
          <w:sz w:val="24"/>
          <w:szCs w:val="24"/>
        </w:rPr>
        <w:t xml:space="preserve"> N, Aydın F, </w:t>
      </w:r>
      <w:proofErr w:type="spellStart"/>
      <w:r w:rsidRPr="00761554">
        <w:rPr>
          <w:rFonts w:ascii="Times New Roman" w:hAnsi="Times New Roman" w:cs="Times New Roman"/>
          <w:sz w:val="24"/>
          <w:szCs w:val="24"/>
        </w:rPr>
        <w:t>Kızılkaya</w:t>
      </w:r>
      <w:proofErr w:type="spellEnd"/>
      <w:r w:rsidRPr="00761554">
        <w:rPr>
          <w:rFonts w:ascii="Times New Roman" w:hAnsi="Times New Roman" w:cs="Times New Roman"/>
          <w:sz w:val="24"/>
          <w:szCs w:val="24"/>
        </w:rPr>
        <w:t xml:space="preserve"> MC, </w:t>
      </w:r>
      <w:proofErr w:type="spellStart"/>
      <w:r w:rsidRPr="00761554">
        <w:rPr>
          <w:rFonts w:ascii="Times New Roman" w:hAnsi="Times New Roman" w:cs="Times New Roman"/>
          <w:sz w:val="24"/>
          <w:szCs w:val="24"/>
        </w:rPr>
        <w:t>Demircioğlu</w:t>
      </w:r>
      <w:proofErr w:type="spellEnd"/>
      <w:r w:rsidRPr="00761554">
        <w:rPr>
          <w:rFonts w:ascii="Times New Roman" w:hAnsi="Times New Roman" w:cs="Times New Roman"/>
          <w:sz w:val="24"/>
          <w:szCs w:val="24"/>
        </w:rPr>
        <w:t xml:space="preserve"> M, </w:t>
      </w:r>
      <w:proofErr w:type="spellStart"/>
      <w:r w:rsidRPr="00761554">
        <w:rPr>
          <w:rFonts w:ascii="Times New Roman" w:hAnsi="Times New Roman" w:cs="Times New Roman"/>
          <w:sz w:val="24"/>
          <w:szCs w:val="24"/>
        </w:rPr>
        <w:t>Gülcü</w:t>
      </w:r>
      <w:proofErr w:type="spellEnd"/>
      <w:r w:rsidRPr="00761554">
        <w:rPr>
          <w:rFonts w:ascii="Times New Roman" w:hAnsi="Times New Roman" w:cs="Times New Roman"/>
          <w:sz w:val="24"/>
          <w:szCs w:val="24"/>
        </w:rPr>
        <w:t xml:space="preserve"> F. Comparison of LDL cholesterol estimation methods in </w:t>
      </w:r>
      <w:proofErr w:type="spellStart"/>
      <w:r w:rsidRPr="00761554">
        <w:rPr>
          <w:rFonts w:ascii="Times New Roman" w:hAnsi="Times New Roman" w:cs="Times New Roman"/>
          <w:sz w:val="24"/>
          <w:szCs w:val="24"/>
        </w:rPr>
        <w:t>hypertriglyceridemic</w:t>
      </w:r>
      <w:proofErr w:type="spellEnd"/>
      <w:r w:rsidRPr="00761554">
        <w:rPr>
          <w:rFonts w:ascii="Times New Roman" w:hAnsi="Times New Roman" w:cs="Times New Roman"/>
          <w:sz w:val="24"/>
          <w:szCs w:val="24"/>
        </w:rPr>
        <w:t xml:space="preserve"> patients. </w:t>
      </w:r>
      <w:proofErr w:type="spellStart"/>
      <w:r w:rsidRPr="00761554">
        <w:rPr>
          <w:rStyle w:val="Emphasis"/>
          <w:rFonts w:ascii="Times New Roman" w:hAnsi="Times New Roman" w:cs="Times New Roman"/>
          <w:sz w:val="24"/>
          <w:szCs w:val="24"/>
        </w:rPr>
        <w:t>Clin</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Chim</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Acta</w:t>
      </w:r>
      <w:proofErr w:type="spellEnd"/>
      <w:r w:rsidRPr="00761554">
        <w:rPr>
          <w:rStyle w:val="Emphasis"/>
          <w:rFonts w:ascii="Times New Roman" w:hAnsi="Times New Roman" w:cs="Times New Roman"/>
          <w:sz w:val="24"/>
          <w:szCs w:val="24"/>
        </w:rPr>
        <w:t>.</w:t>
      </w:r>
      <w:r w:rsidRPr="00761554">
        <w:rPr>
          <w:rFonts w:ascii="Times New Roman" w:hAnsi="Times New Roman" w:cs="Times New Roman"/>
          <w:sz w:val="24"/>
          <w:szCs w:val="24"/>
        </w:rPr>
        <w:t xml:space="preserve"> 2022;530:12–19.</w:t>
      </w:r>
      <w:r w:rsidRPr="00761554">
        <w:rPr>
          <w:rFonts w:ascii="Times New Roman" w:hAnsi="Times New Roman" w:cs="Times New Roman"/>
          <w:sz w:val="24"/>
          <w:szCs w:val="24"/>
        </w:rPr>
        <w:br/>
      </w:r>
      <w:hyperlink r:id="rId10" w:history="1">
        <w:r w:rsidRPr="00761554">
          <w:rPr>
            <w:rStyle w:val="Hyperlink"/>
            <w:rFonts w:ascii="Times New Roman" w:hAnsi="Times New Roman" w:cs="Times New Roman"/>
            <w:sz w:val="24"/>
            <w:szCs w:val="24"/>
          </w:rPr>
          <w:t>https://doi.org/10.1016/j.cca.2022.03.012</w:t>
        </w:r>
      </w:hyperlink>
      <w:r w:rsidRPr="00761554">
        <w:rPr>
          <w:rFonts w:ascii="Times New Roman" w:hAnsi="Times New Roman" w:cs="Times New Roman"/>
          <w:sz w:val="24"/>
          <w:szCs w:val="24"/>
        </w:rPr>
        <w:t>.</w:t>
      </w:r>
    </w:p>
    <w:p w:rsidR="001E518A" w:rsidRPr="00761554" w:rsidRDefault="001E518A" w:rsidP="001E518A">
      <w:pPr>
        <w:pStyle w:val="NormalWeb"/>
        <w:ind w:left="720"/>
        <w:jc w:val="both"/>
      </w:pPr>
    </w:p>
    <w:p w:rsidR="001E518A" w:rsidRPr="00761554" w:rsidRDefault="001E518A" w:rsidP="001E518A">
      <w:pPr>
        <w:pStyle w:val="ListParagraph"/>
        <w:numPr>
          <w:ilvl w:val="0"/>
          <w:numId w:val="4"/>
        </w:numPr>
        <w:jc w:val="both"/>
        <w:rPr>
          <w:rFonts w:ascii="Times New Roman" w:hAnsi="Times New Roman" w:cs="Times New Roman"/>
          <w:sz w:val="24"/>
          <w:szCs w:val="24"/>
        </w:rPr>
      </w:pPr>
      <w:proofErr w:type="spellStart"/>
      <w:r w:rsidRPr="00761554">
        <w:rPr>
          <w:rFonts w:ascii="Times New Roman" w:hAnsi="Times New Roman" w:cs="Times New Roman"/>
          <w:sz w:val="24"/>
          <w:szCs w:val="24"/>
        </w:rPr>
        <w:t>Warnick</w:t>
      </w:r>
      <w:proofErr w:type="spellEnd"/>
      <w:r w:rsidRPr="00761554">
        <w:rPr>
          <w:rFonts w:ascii="Times New Roman" w:hAnsi="Times New Roman" w:cs="Times New Roman"/>
          <w:sz w:val="24"/>
          <w:szCs w:val="24"/>
        </w:rPr>
        <w:t xml:space="preserve"> GR, Kimberly MM, </w:t>
      </w:r>
      <w:proofErr w:type="spellStart"/>
      <w:r w:rsidRPr="00761554">
        <w:rPr>
          <w:rFonts w:ascii="Times New Roman" w:hAnsi="Times New Roman" w:cs="Times New Roman"/>
          <w:sz w:val="24"/>
          <w:szCs w:val="24"/>
        </w:rPr>
        <w:t>Waymack</w:t>
      </w:r>
      <w:proofErr w:type="spellEnd"/>
      <w:r w:rsidRPr="00761554">
        <w:rPr>
          <w:rFonts w:ascii="Times New Roman" w:hAnsi="Times New Roman" w:cs="Times New Roman"/>
          <w:sz w:val="24"/>
          <w:szCs w:val="24"/>
        </w:rPr>
        <w:t xml:space="preserve"> PP, Leary ET, Myers GL.</w:t>
      </w:r>
      <w:r w:rsidRPr="00761554">
        <w:rPr>
          <w:rFonts w:ascii="Times New Roman" w:hAnsi="Times New Roman" w:cs="Times New Roman"/>
          <w:sz w:val="24"/>
          <w:szCs w:val="24"/>
        </w:rPr>
        <w:br/>
        <w:t>Standardization of measurements for cholesterol, triglycerides, and major lipoproteins.</w:t>
      </w:r>
      <w:r w:rsidRPr="00761554">
        <w:rPr>
          <w:rFonts w:ascii="Times New Roman" w:hAnsi="Times New Roman" w:cs="Times New Roman"/>
          <w:sz w:val="24"/>
          <w:szCs w:val="24"/>
        </w:rPr>
        <w:br/>
      </w:r>
      <w:r>
        <w:rPr>
          <w:rStyle w:val="Emphasis"/>
          <w:rFonts w:ascii="Times New Roman" w:hAnsi="Times New Roman" w:cs="Times New Roman"/>
          <w:sz w:val="24"/>
          <w:szCs w:val="24"/>
        </w:rPr>
        <w:t xml:space="preserve">Lab </w:t>
      </w:r>
      <w:r w:rsidRPr="00761554">
        <w:rPr>
          <w:rStyle w:val="Emphasis"/>
          <w:rFonts w:ascii="Times New Roman" w:hAnsi="Times New Roman" w:cs="Times New Roman"/>
          <w:sz w:val="24"/>
          <w:szCs w:val="24"/>
        </w:rPr>
        <w:t>Med.</w:t>
      </w:r>
      <w:r w:rsidRPr="00761554">
        <w:rPr>
          <w:rFonts w:ascii="Times New Roman" w:hAnsi="Times New Roman" w:cs="Times New Roman"/>
          <w:sz w:val="24"/>
          <w:szCs w:val="24"/>
        </w:rPr>
        <w:t xml:space="preserve"> 2015;46(4):e89–e95.</w:t>
      </w:r>
      <w:r w:rsidRPr="00761554">
        <w:rPr>
          <w:rFonts w:ascii="Times New Roman" w:hAnsi="Times New Roman" w:cs="Times New Roman"/>
          <w:sz w:val="24"/>
          <w:szCs w:val="24"/>
        </w:rPr>
        <w:br/>
      </w:r>
      <w:hyperlink r:id="rId11" w:history="1">
        <w:r w:rsidRPr="00761554">
          <w:rPr>
            <w:rStyle w:val="Hyperlink"/>
            <w:rFonts w:ascii="Times New Roman" w:hAnsi="Times New Roman" w:cs="Times New Roman"/>
            <w:sz w:val="24"/>
            <w:szCs w:val="24"/>
          </w:rPr>
          <w:t>https://doi.org/10.1309/LM6KSKG9Y8RR7Y8J</w:t>
        </w:r>
      </w:hyperlink>
      <w:r w:rsidRPr="00761554">
        <w:rPr>
          <w:rFonts w:ascii="Times New Roman" w:hAnsi="Times New Roman" w:cs="Times New Roman"/>
          <w:sz w:val="24"/>
          <w:szCs w:val="24"/>
        </w:rPr>
        <w:t>.</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Singh G, Kamal A, Agarwal M, </w:t>
      </w:r>
      <w:proofErr w:type="spellStart"/>
      <w:r w:rsidRPr="00761554">
        <w:rPr>
          <w:rFonts w:ascii="Times New Roman" w:hAnsi="Times New Roman" w:cs="Times New Roman"/>
          <w:sz w:val="24"/>
          <w:szCs w:val="24"/>
        </w:rPr>
        <w:t>Goyal</w:t>
      </w:r>
      <w:proofErr w:type="spellEnd"/>
      <w:r w:rsidRPr="00761554">
        <w:rPr>
          <w:rFonts w:ascii="Times New Roman" w:hAnsi="Times New Roman" w:cs="Times New Roman"/>
          <w:sz w:val="24"/>
          <w:szCs w:val="24"/>
        </w:rPr>
        <w:t xml:space="preserve"> N, Garg A. Machine learning–based prediction of LDL cholesterol le</w:t>
      </w:r>
      <w:r>
        <w:rPr>
          <w:rFonts w:ascii="Times New Roman" w:hAnsi="Times New Roman" w:cs="Times New Roman"/>
          <w:sz w:val="24"/>
          <w:szCs w:val="24"/>
        </w:rPr>
        <w:t xml:space="preserve">vels using lipid profile data. </w:t>
      </w:r>
      <w:proofErr w:type="spellStart"/>
      <w:r w:rsidRPr="00761554">
        <w:rPr>
          <w:rStyle w:val="Emphasis"/>
          <w:rFonts w:ascii="Times New Roman" w:hAnsi="Times New Roman" w:cs="Times New Roman"/>
          <w:sz w:val="24"/>
          <w:szCs w:val="24"/>
        </w:rPr>
        <w:t>Comput</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Biol</w:t>
      </w:r>
      <w:proofErr w:type="spellEnd"/>
      <w:r w:rsidRPr="00761554">
        <w:rPr>
          <w:rStyle w:val="Emphasis"/>
          <w:rFonts w:ascii="Times New Roman" w:hAnsi="Times New Roman" w:cs="Times New Roman"/>
          <w:sz w:val="24"/>
          <w:szCs w:val="24"/>
        </w:rPr>
        <w:t xml:space="preserve"> Med.</w:t>
      </w:r>
      <w:r w:rsidRPr="00761554">
        <w:rPr>
          <w:rFonts w:ascii="Times New Roman" w:hAnsi="Times New Roman" w:cs="Times New Roman"/>
          <w:sz w:val="24"/>
          <w:szCs w:val="24"/>
        </w:rPr>
        <w:t xml:space="preserve"> </w:t>
      </w:r>
      <w:proofErr w:type="gramStart"/>
      <w:r w:rsidRPr="00761554">
        <w:rPr>
          <w:rFonts w:ascii="Times New Roman" w:hAnsi="Times New Roman" w:cs="Times New Roman"/>
          <w:sz w:val="24"/>
          <w:szCs w:val="24"/>
        </w:rPr>
        <w:t>2020;122:103834</w:t>
      </w:r>
      <w:proofErr w:type="gramEnd"/>
      <w:r w:rsidRPr="00761554">
        <w:rPr>
          <w:rFonts w:ascii="Times New Roman" w:hAnsi="Times New Roman" w:cs="Times New Roman"/>
          <w:sz w:val="24"/>
          <w:szCs w:val="24"/>
        </w:rPr>
        <w:t xml:space="preserve">. </w:t>
      </w:r>
      <w:hyperlink r:id="rId12" w:history="1">
        <w:r w:rsidRPr="00761554">
          <w:rPr>
            <w:rStyle w:val="Hyperlink"/>
            <w:rFonts w:ascii="Times New Roman" w:hAnsi="Times New Roman" w:cs="Times New Roman"/>
            <w:sz w:val="24"/>
            <w:szCs w:val="24"/>
          </w:rPr>
          <w:t>https://doi.org/10.1016/j.compbiomed.2020.103834</w:t>
        </w:r>
      </w:hyperlink>
      <w:r w:rsidRPr="00761554">
        <w:rPr>
          <w:rFonts w:ascii="Times New Roman" w:hAnsi="Times New Roman" w:cs="Times New Roman"/>
          <w:sz w:val="24"/>
          <w:szCs w:val="24"/>
        </w:rPr>
        <w:t>.</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proofErr w:type="spellStart"/>
      <w:r w:rsidRPr="00761554">
        <w:rPr>
          <w:rFonts w:ascii="Times New Roman" w:hAnsi="Times New Roman" w:cs="Times New Roman"/>
          <w:sz w:val="24"/>
          <w:szCs w:val="24"/>
        </w:rPr>
        <w:t>Çubukçu</w:t>
      </w:r>
      <w:proofErr w:type="spellEnd"/>
      <w:r w:rsidRPr="00761554">
        <w:rPr>
          <w:rFonts w:ascii="Times New Roman" w:hAnsi="Times New Roman" w:cs="Times New Roman"/>
          <w:sz w:val="24"/>
          <w:szCs w:val="24"/>
        </w:rPr>
        <w:t xml:space="preserve"> HC, </w:t>
      </w:r>
      <w:proofErr w:type="spellStart"/>
      <w:r w:rsidRPr="00761554">
        <w:rPr>
          <w:rFonts w:ascii="Times New Roman" w:hAnsi="Times New Roman" w:cs="Times New Roman"/>
          <w:sz w:val="24"/>
          <w:szCs w:val="24"/>
        </w:rPr>
        <w:t>Topcu</w:t>
      </w:r>
      <w:proofErr w:type="spellEnd"/>
      <w:r w:rsidRPr="00761554">
        <w:rPr>
          <w:rFonts w:ascii="Times New Roman" w:hAnsi="Times New Roman" w:cs="Times New Roman"/>
          <w:sz w:val="24"/>
          <w:szCs w:val="24"/>
        </w:rPr>
        <w:t xml:space="preserve"> B. Comparison of machine learning algorithms and traditional formulas for LDL-C estimation. </w:t>
      </w:r>
      <w:r w:rsidRPr="00761554">
        <w:rPr>
          <w:rStyle w:val="Emphasis"/>
          <w:rFonts w:ascii="Times New Roman" w:hAnsi="Times New Roman" w:cs="Times New Roman"/>
          <w:sz w:val="24"/>
          <w:szCs w:val="24"/>
        </w:rPr>
        <w:t>Biomed Signal Process Control.</w:t>
      </w:r>
      <w:r w:rsidRPr="00761554">
        <w:rPr>
          <w:rFonts w:ascii="Times New Roman" w:hAnsi="Times New Roman" w:cs="Times New Roman"/>
          <w:sz w:val="24"/>
          <w:szCs w:val="24"/>
        </w:rPr>
        <w:t xml:space="preserve"> 2022;71:103170.</w:t>
      </w:r>
      <w:r w:rsidRPr="00761554">
        <w:rPr>
          <w:rFonts w:ascii="Times New Roman" w:hAnsi="Times New Roman" w:cs="Times New Roman"/>
          <w:sz w:val="24"/>
          <w:szCs w:val="24"/>
        </w:rPr>
        <w:br/>
      </w:r>
      <w:hyperlink r:id="rId13" w:history="1">
        <w:r w:rsidRPr="00761554">
          <w:rPr>
            <w:rStyle w:val="Hyperlink"/>
            <w:rFonts w:ascii="Times New Roman" w:hAnsi="Times New Roman" w:cs="Times New Roman"/>
            <w:sz w:val="24"/>
            <w:szCs w:val="24"/>
          </w:rPr>
          <w:t>https://doi.org/10.1016/j.bspc.2021.103170</w:t>
        </w:r>
      </w:hyperlink>
      <w:r w:rsidRPr="00761554">
        <w:rPr>
          <w:rFonts w:ascii="Times New Roman" w:hAnsi="Times New Roman" w:cs="Times New Roman"/>
          <w:sz w:val="24"/>
          <w:szCs w:val="24"/>
        </w:rPr>
        <w:t>.</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Oh J, Kim JH, Park JH, Lee HJ, Kim JH, Lee BW, et al. Prediction of low-density lipoprotein cholesterol using machine learning methods. </w:t>
      </w:r>
      <w:proofErr w:type="spellStart"/>
      <w:r w:rsidRPr="00761554">
        <w:rPr>
          <w:rStyle w:val="Emphasis"/>
          <w:rFonts w:ascii="Times New Roman" w:hAnsi="Times New Roman" w:cs="Times New Roman"/>
          <w:sz w:val="24"/>
          <w:szCs w:val="24"/>
        </w:rPr>
        <w:t>Sci</w:t>
      </w:r>
      <w:proofErr w:type="spellEnd"/>
      <w:r w:rsidRPr="00761554">
        <w:rPr>
          <w:rStyle w:val="Emphasis"/>
          <w:rFonts w:ascii="Times New Roman" w:hAnsi="Times New Roman" w:cs="Times New Roman"/>
          <w:sz w:val="24"/>
          <w:szCs w:val="24"/>
        </w:rPr>
        <w:t xml:space="preserve"> Rep.</w:t>
      </w:r>
      <w:r w:rsidRPr="00761554">
        <w:rPr>
          <w:rFonts w:ascii="Times New Roman" w:hAnsi="Times New Roman" w:cs="Times New Roman"/>
          <w:sz w:val="24"/>
          <w:szCs w:val="24"/>
        </w:rPr>
        <w:t xml:space="preserve"> </w:t>
      </w:r>
      <w:proofErr w:type="gramStart"/>
      <w:r w:rsidRPr="00761554">
        <w:rPr>
          <w:rFonts w:ascii="Times New Roman" w:hAnsi="Times New Roman" w:cs="Times New Roman"/>
          <w:sz w:val="24"/>
          <w:szCs w:val="24"/>
        </w:rPr>
        <w:t>2022;12:11456</w:t>
      </w:r>
      <w:proofErr w:type="gramEnd"/>
      <w:r w:rsidRPr="00761554">
        <w:rPr>
          <w:rFonts w:ascii="Times New Roman" w:hAnsi="Times New Roman" w:cs="Times New Roman"/>
          <w:sz w:val="24"/>
          <w:szCs w:val="24"/>
        </w:rPr>
        <w:t xml:space="preserve">. </w:t>
      </w:r>
      <w:hyperlink r:id="rId14" w:history="1">
        <w:r w:rsidRPr="00761554">
          <w:rPr>
            <w:rStyle w:val="Hyperlink"/>
            <w:rFonts w:ascii="Times New Roman" w:hAnsi="Times New Roman" w:cs="Times New Roman"/>
            <w:sz w:val="24"/>
            <w:szCs w:val="24"/>
          </w:rPr>
          <w:t>https://doi.org/10.1038/s41598-022-15432-8</w:t>
        </w:r>
      </w:hyperlink>
      <w:r w:rsidRPr="00761554">
        <w:rPr>
          <w:rFonts w:ascii="Times New Roman" w:hAnsi="Times New Roman" w:cs="Times New Roman"/>
          <w:sz w:val="24"/>
          <w:szCs w:val="24"/>
        </w:rPr>
        <w:t>.</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Westgard JO, Barry PL, Hunt MR, </w:t>
      </w:r>
      <w:proofErr w:type="spellStart"/>
      <w:r w:rsidRPr="00761554">
        <w:rPr>
          <w:rFonts w:ascii="Times New Roman" w:hAnsi="Times New Roman" w:cs="Times New Roman"/>
          <w:sz w:val="24"/>
          <w:szCs w:val="24"/>
        </w:rPr>
        <w:t>Groth</w:t>
      </w:r>
      <w:proofErr w:type="spellEnd"/>
      <w:r w:rsidRPr="00761554">
        <w:rPr>
          <w:rFonts w:ascii="Times New Roman" w:hAnsi="Times New Roman" w:cs="Times New Roman"/>
          <w:sz w:val="24"/>
          <w:szCs w:val="24"/>
        </w:rPr>
        <w:t xml:space="preserve"> T. A multi-rule </w:t>
      </w:r>
      <w:proofErr w:type="spellStart"/>
      <w:r w:rsidRPr="00761554">
        <w:rPr>
          <w:rFonts w:ascii="Times New Roman" w:hAnsi="Times New Roman" w:cs="Times New Roman"/>
          <w:sz w:val="24"/>
          <w:szCs w:val="24"/>
        </w:rPr>
        <w:t>Shewhart</w:t>
      </w:r>
      <w:proofErr w:type="spellEnd"/>
      <w:r w:rsidRPr="00761554">
        <w:rPr>
          <w:rFonts w:ascii="Times New Roman" w:hAnsi="Times New Roman" w:cs="Times New Roman"/>
          <w:sz w:val="24"/>
          <w:szCs w:val="24"/>
        </w:rPr>
        <w:t xml:space="preserve"> chart for quality control in clinical chemistry. </w:t>
      </w:r>
      <w:proofErr w:type="spellStart"/>
      <w:r w:rsidRPr="00761554">
        <w:rPr>
          <w:rStyle w:val="Emphasis"/>
          <w:rFonts w:ascii="Times New Roman" w:hAnsi="Times New Roman" w:cs="Times New Roman"/>
          <w:sz w:val="24"/>
          <w:szCs w:val="24"/>
        </w:rPr>
        <w:t>Clin</w:t>
      </w:r>
      <w:proofErr w:type="spellEnd"/>
      <w:r w:rsidRPr="00761554">
        <w:rPr>
          <w:rStyle w:val="Emphasis"/>
          <w:rFonts w:ascii="Times New Roman" w:hAnsi="Times New Roman" w:cs="Times New Roman"/>
          <w:sz w:val="24"/>
          <w:szCs w:val="24"/>
        </w:rPr>
        <w:t xml:space="preserve"> Chem.</w:t>
      </w:r>
      <w:r w:rsidRPr="00761554">
        <w:rPr>
          <w:rFonts w:ascii="Times New Roman" w:hAnsi="Times New Roman" w:cs="Times New Roman"/>
          <w:sz w:val="24"/>
          <w:szCs w:val="24"/>
        </w:rPr>
        <w:t xml:space="preserve"> 1981;27(3):493–501.</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Westgard JO. </w:t>
      </w:r>
      <w:r w:rsidRPr="00761554">
        <w:rPr>
          <w:rStyle w:val="Emphasis"/>
          <w:rFonts w:ascii="Times New Roman" w:hAnsi="Times New Roman" w:cs="Times New Roman"/>
          <w:sz w:val="24"/>
          <w:szCs w:val="24"/>
        </w:rPr>
        <w:t>Basic quality control practices.</w:t>
      </w:r>
      <w:r w:rsidRPr="00761554">
        <w:rPr>
          <w:rFonts w:ascii="Times New Roman" w:hAnsi="Times New Roman" w:cs="Times New Roman"/>
          <w:sz w:val="24"/>
          <w:szCs w:val="24"/>
        </w:rPr>
        <w:t xml:space="preserve"> 4th ed. Madison (WI): Westgard QC; 2018.</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lastRenderedPageBreak/>
        <w:t>ISO 15189:2022. Medical laboratories — Requirements for quality and competence. Geneva: International Organization for Standardization; 2022.</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NoSpacing"/>
        <w:numPr>
          <w:ilvl w:val="0"/>
          <w:numId w:val="4"/>
        </w:numPr>
        <w:jc w:val="both"/>
        <w:rPr>
          <w:rFonts w:ascii="Times New Roman" w:hAnsi="Times New Roman" w:cs="Times New Roman"/>
          <w:sz w:val="24"/>
          <w:szCs w:val="24"/>
        </w:rPr>
      </w:pPr>
      <w:proofErr w:type="spellStart"/>
      <w:r w:rsidRPr="00761554">
        <w:rPr>
          <w:rFonts w:ascii="Times New Roman" w:hAnsi="Times New Roman" w:cs="Times New Roman"/>
          <w:sz w:val="24"/>
          <w:szCs w:val="24"/>
        </w:rPr>
        <w:t>Breiman</w:t>
      </w:r>
      <w:proofErr w:type="spellEnd"/>
      <w:r w:rsidRPr="00761554">
        <w:rPr>
          <w:rFonts w:ascii="Times New Roman" w:hAnsi="Times New Roman" w:cs="Times New Roman"/>
          <w:sz w:val="24"/>
          <w:szCs w:val="24"/>
        </w:rPr>
        <w:t xml:space="preserve"> L. Random forests. </w:t>
      </w:r>
      <w:r w:rsidRPr="00761554">
        <w:rPr>
          <w:rStyle w:val="Emphasis"/>
          <w:rFonts w:ascii="Times New Roman" w:hAnsi="Times New Roman" w:cs="Times New Roman"/>
          <w:sz w:val="24"/>
          <w:szCs w:val="24"/>
        </w:rPr>
        <w:t>Mach Learn.</w:t>
      </w:r>
      <w:r w:rsidRPr="00761554">
        <w:rPr>
          <w:rFonts w:ascii="Times New Roman" w:hAnsi="Times New Roman" w:cs="Times New Roman"/>
          <w:sz w:val="24"/>
          <w:szCs w:val="24"/>
        </w:rPr>
        <w:t xml:space="preserve"> 2001;45(1):5–32. https://doi.org/10.1023/A:1010933404324.</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Chen T, </w:t>
      </w:r>
      <w:proofErr w:type="spellStart"/>
      <w:r w:rsidRPr="00761554">
        <w:rPr>
          <w:rFonts w:ascii="Times New Roman" w:hAnsi="Times New Roman" w:cs="Times New Roman"/>
          <w:sz w:val="24"/>
          <w:szCs w:val="24"/>
        </w:rPr>
        <w:t>Guestrin</w:t>
      </w:r>
      <w:proofErr w:type="spellEnd"/>
      <w:r w:rsidRPr="00761554">
        <w:rPr>
          <w:rFonts w:ascii="Times New Roman" w:hAnsi="Times New Roman" w:cs="Times New Roman"/>
          <w:sz w:val="24"/>
          <w:szCs w:val="24"/>
        </w:rPr>
        <w:t xml:space="preserve"> C. </w:t>
      </w:r>
      <w:proofErr w:type="spellStart"/>
      <w:r w:rsidRPr="00761554">
        <w:rPr>
          <w:rFonts w:ascii="Times New Roman" w:hAnsi="Times New Roman" w:cs="Times New Roman"/>
          <w:sz w:val="24"/>
          <w:szCs w:val="24"/>
        </w:rPr>
        <w:t>XGBoost</w:t>
      </w:r>
      <w:proofErr w:type="spellEnd"/>
      <w:r w:rsidRPr="00761554">
        <w:rPr>
          <w:rFonts w:ascii="Times New Roman" w:hAnsi="Times New Roman" w:cs="Times New Roman"/>
          <w:sz w:val="24"/>
          <w:szCs w:val="24"/>
        </w:rPr>
        <w:t xml:space="preserve">: A scalable tree boosting system. In: </w:t>
      </w:r>
      <w:r w:rsidRPr="00761554">
        <w:rPr>
          <w:rStyle w:val="Emphasis"/>
          <w:rFonts w:ascii="Times New Roman" w:hAnsi="Times New Roman" w:cs="Times New Roman"/>
          <w:sz w:val="24"/>
          <w:szCs w:val="24"/>
        </w:rPr>
        <w:t>Proceedings of the 22nd ACM SIGKDD International Conference on Knowledge Discovery and Data Mining</w:t>
      </w:r>
      <w:r w:rsidRPr="00761554">
        <w:rPr>
          <w:rFonts w:ascii="Times New Roman" w:hAnsi="Times New Roman" w:cs="Times New Roman"/>
          <w:sz w:val="24"/>
          <w:szCs w:val="24"/>
        </w:rPr>
        <w:t>; 2016. p. 785–794.</w:t>
      </w:r>
      <w:r w:rsidRPr="00761554">
        <w:rPr>
          <w:rFonts w:ascii="Times New Roman" w:hAnsi="Times New Roman" w:cs="Times New Roman"/>
          <w:sz w:val="24"/>
          <w:szCs w:val="24"/>
        </w:rPr>
        <w:br/>
      </w:r>
      <w:hyperlink r:id="rId15" w:tgtFrame="_new" w:history="1">
        <w:r w:rsidRPr="00761554">
          <w:rPr>
            <w:rStyle w:val="Hyperlink"/>
            <w:rFonts w:ascii="Times New Roman" w:hAnsi="Times New Roman" w:cs="Times New Roman"/>
            <w:sz w:val="24"/>
            <w:szCs w:val="24"/>
          </w:rPr>
          <w:t>https://doi.org/10.1145/2939672.2939785</w:t>
        </w:r>
      </w:hyperlink>
      <w:r w:rsidRPr="00761554">
        <w:rPr>
          <w:rFonts w:ascii="Times New Roman" w:hAnsi="Times New Roman" w:cs="Times New Roman"/>
          <w:sz w:val="24"/>
          <w:szCs w:val="24"/>
        </w:rPr>
        <w:t>.</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proofErr w:type="spellStart"/>
      <w:r w:rsidRPr="00761554">
        <w:rPr>
          <w:rFonts w:ascii="Times New Roman" w:hAnsi="Times New Roman" w:cs="Times New Roman"/>
          <w:sz w:val="24"/>
          <w:szCs w:val="24"/>
        </w:rPr>
        <w:t>Prokhorenkova</w:t>
      </w:r>
      <w:proofErr w:type="spellEnd"/>
      <w:r w:rsidRPr="00761554">
        <w:rPr>
          <w:rFonts w:ascii="Times New Roman" w:hAnsi="Times New Roman" w:cs="Times New Roman"/>
          <w:sz w:val="24"/>
          <w:szCs w:val="24"/>
        </w:rPr>
        <w:t xml:space="preserve"> L, </w:t>
      </w:r>
      <w:proofErr w:type="spellStart"/>
      <w:r w:rsidRPr="00761554">
        <w:rPr>
          <w:rFonts w:ascii="Times New Roman" w:hAnsi="Times New Roman" w:cs="Times New Roman"/>
          <w:sz w:val="24"/>
          <w:szCs w:val="24"/>
        </w:rPr>
        <w:t>Gusev</w:t>
      </w:r>
      <w:proofErr w:type="spellEnd"/>
      <w:r w:rsidRPr="00761554">
        <w:rPr>
          <w:rFonts w:ascii="Times New Roman" w:hAnsi="Times New Roman" w:cs="Times New Roman"/>
          <w:sz w:val="24"/>
          <w:szCs w:val="24"/>
        </w:rPr>
        <w:t xml:space="preserve"> G, </w:t>
      </w:r>
      <w:proofErr w:type="spellStart"/>
      <w:r w:rsidRPr="00761554">
        <w:rPr>
          <w:rFonts w:ascii="Times New Roman" w:hAnsi="Times New Roman" w:cs="Times New Roman"/>
          <w:sz w:val="24"/>
          <w:szCs w:val="24"/>
        </w:rPr>
        <w:t>Vorobev</w:t>
      </w:r>
      <w:proofErr w:type="spellEnd"/>
      <w:r w:rsidRPr="00761554">
        <w:rPr>
          <w:rFonts w:ascii="Times New Roman" w:hAnsi="Times New Roman" w:cs="Times New Roman"/>
          <w:sz w:val="24"/>
          <w:szCs w:val="24"/>
        </w:rPr>
        <w:t xml:space="preserve"> A, </w:t>
      </w:r>
      <w:proofErr w:type="spellStart"/>
      <w:r w:rsidRPr="00761554">
        <w:rPr>
          <w:rFonts w:ascii="Times New Roman" w:hAnsi="Times New Roman" w:cs="Times New Roman"/>
          <w:sz w:val="24"/>
          <w:szCs w:val="24"/>
        </w:rPr>
        <w:t>Dorogush</w:t>
      </w:r>
      <w:proofErr w:type="spellEnd"/>
      <w:r w:rsidRPr="00761554">
        <w:rPr>
          <w:rFonts w:ascii="Times New Roman" w:hAnsi="Times New Roman" w:cs="Times New Roman"/>
          <w:sz w:val="24"/>
          <w:szCs w:val="24"/>
        </w:rPr>
        <w:t xml:space="preserve"> AV, </w:t>
      </w:r>
      <w:proofErr w:type="spellStart"/>
      <w:r w:rsidRPr="00761554">
        <w:rPr>
          <w:rFonts w:ascii="Times New Roman" w:hAnsi="Times New Roman" w:cs="Times New Roman"/>
          <w:sz w:val="24"/>
          <w:szCs w:val="24"/>
        </w:rPr>
        <w:t>Gulin</w:t>
      </w:r>
      <w:proofErr w:type="spellEnd"/>
      <w:r w:rsidRPr="00761554">
        <w:rPr>
          <w:rFonts w:ascii="Times New Roman" w:hAnsi="Times New Roman" w:cs="Times New Roman"/>
          <w:sz w:val="24"/>
          <w:szCs w:val="24"/>
        </w:rPr>
        <w:t xml:space="preserve"> A. </w:t>
      </w:r>
      <w:proofErr w:type="spellStart"/>
      <w:r w:rsidRPr="00761554">
        <w:rPr>
          <w:rFonts w:ascii="Times New Roman" w:hAnsi="Times New Roman" w:cs="Times New Roman"/>
          <w:sz w:val="24"/>
          <w:szCs w:val="24"/>
        </w:rPr>
        <w:t>CatBoost</w:t>
      </w:r>
      <w:proofErr w:type="spellEnd"/>
      <w:r w:rsidRPr="00761554">
        <w:rPr>
          <w:rFonts w:ascii="Times New Roman" w:hAnsi="Times New Roman" w:cs="Times New Roman"/>
          <w:sz w:val="24"/>
          <w:szCs w:val="24"/>
        </w:rPr>
        <w:t xml:space="preserve">: Unbiased boosting with categorical features. </w:t>
      </w:r>
      <w:proofErr w:type="spellStart"/>
      <w:r w:rsidRPr="00761554">
        <w:rPr>
          <w:rStyle w:val="Emphasis"/>
          <w:rFonts w:ascii="Times New Roman" w:hAnsi="Times New Roman" w:cs="Times New Roman"/>
          <w:sz w:val="24"/>
          <w:szCs w:val="24"/>
        </w:rPr>
        <w:t>Adv</w:t>
      </w:r>
      <w:proofErr w:type="spellEnd"/>
      <w:r w:rsidRPr="00761554">
        <w:rPr>
          <w:rStyle w:val="Emphasis"/>
          <w:rFonts w:ascii="Times New Roman" w:hAnsi="Times New Roman" w:cs="Times New Roman"/>
          <w:sz w:val="24"/>
          <w:szCs w:val="24"/>
        </w:rPr>
        <w:t xml:space="preserve"> Neural </w:t>
      </w:r>
      <w:proofErr w:type="spellStart"/>
      <w:r w:rsidRPr="00761554">
        <w:rPr>
          <w:rStyle w:val="Emphasis"/>
          <w:rFonts w:ascii="Times New Roman" w:hAnsi="Times New Roman" w:cs="Times New Roman"/>
          <w:sz w:val="24"/>
          <w:szCs w:val="24"/>
        </w:rPr>
        <w:t>Inf</w:t>
      </w:r>
      <w:proofErr w:type="spellEnd"/>
      <w:r w:rsidRPr="00761554">
        <w:rPr>
          <w:rStyle w:val="Emphasis"/>
          <w:rFonts w:ascii="Times New Roman" w:hAnsi="Times New Roman" w:cs="Times New Roman"/>
          <w:sz w:val="24"/>
          <w:szCs w:val="24"/>
        </w:rPr>
        <w:t xml:space="preserve"> Process Syst.</w:t>
      </w:r>
      <w:r w:rsidRPr="00761554">
        <w:rPr>
          <w:rFonts w:ascii="Times New Roman" w:hAnsi="Times New Roman" w:cs="Times New Roman"/>
          <w:sz w:val="24"/>
          <w:szCs w:val="24"/>
        </w:rPr>
        <w:t xml:space="preserve"> </w:t>
      </w:r>
      <w:proofErr w:type="gramStart"/>
      <w:r w:rsidRPr="00761554">
        <w:rPr>
          <w:rFonts w:ascii="Times New Roman" w:hAnsi="Times New Roman" w:cs="Times New Roman"/>
          <w:sz w:val="24"/>
          <w:szCs w:val="24"/>
        </w:rPr>
        <w:t>2018;31:6638</w:t>
      </w:r>
      <w:proofErr w:type="gramEnd"/>
      <w:r w:rsidRPr="00761554">
        <w:rPr>
          <w:rFonts w:ascii="Times New Roman" w:hAnsi="Times New Roman" w:cs="Times New Roman"/>
          <w:sz w:val="24"/>
          <w:szCs w:val="24"/>
        </w:rPr>
        <w:t>–6648.</w:t>
      </w:r>
    </w:p>
    <w:p w:rsidR="001E518A" w:rsidRPr="00761554" w:rsidRDefault="001E518A" w:rsidP="001E518A">
      <w:pPr>
        <w:jc w:val="both"/>
        <w:rPr>
          <w:rFonts w:ascii="Times New Roman" w:hAnsi="Times New Roman" w:cs="Times New Roman"/>
          <w:sz w:val="24"/>
          <w:szCs w:val="24"/>
        </w:rPr>
      </w:pPr>
    </w:p>
    <w:p w:rsidR="001E518A" w:rsidRPr="00761554" w:rsidRDefault="001E518A" w:rsidP="001E518A">
      <w:pPr>
        <w:pStyle w:val="ListParagraph"/>
        <w:numPr>
          <w:ilvl w:val="0"/>
          <w:numId w:val="4"/>
        </w:numPr>
        <w:jc w:val="both"/>
        <w:rPr>
          <w:rFonts w:ascii="Times New Roman" w:hAnsi="Times New Roman" w:cs="Times New Roman"/>
          <w:sz w:val="24"/>
          <w:szCs w:val="24"/>
        </w:rPr>
      </w:pPr>
      <w:r w:rsidRPr="00761554">
        <w:rPr>
          <w:rFonts w:ascii="Times New Roman" w:hAnsi="Times New Roman" w:cs="Times New Roman"/>
          <w:sz w:val="24"/>
          <w:szCs w:val="24"/>
        </w:rPr>
        <w:t xml:space="preserve">Cortes C, </w:t>
      </w:r>
      <w:proofErr w:type="spellStart"/>
      <w:r w:rsidRPr="00761554">
        <w:rPr>
          <w:rFonts w:ascii="Times New Roman" w:hAnsi="Times New Roman" w:cs="Times New Roman"/>
          <w:sz w:val="24"/>
          <w:szCs w:val="24"/>
        </w:rPr>
        <w:t>Vapnik</w:t>
      </w:r>
      <w:proofErr w:type="spellEnd"/>
      <w:r w:rsidRPr="00761554">
        <w:rPr>
          <w:rFonts w:ascii="Times New Roman" w:hAnsi="Times New Roman" w:cs="Times New Roman"/>
          <w:sz w:val="24"/>
          <w:szCs w:val="24"/>
        </w:rPr>
        <w:t xml:space="preserve"> V. Support-vector networks. </w:t>
      </w:r>
      <w:r w:rsidRPr="00761554">
        <w:rPr>
          <w:rStyle w:val="Emphasis"/>
          <w:rFonts w:ascii="Times New Roman" w:hAnsi="Times New Roman" w:cs="Times New Roman"/>
          <w:sz w:val="24"/>
          <w:szCs w:val="24"/>
        </w:rPr>
        <w:t>Mach Learn.</w:t>
      </w:r>
      <w:r w:rsidRPr="00761554">
        <w:rPr>
          <w:rFonts w:ascii="Times New Roman" w:hAnsi="Times New Roman" w:cs="Times New Roman"/>
          <w:sz w:val="24"/>
          <w:szCs w:val="24"/>
        </w:rPr>
        <w:t xml:space="preserve"> </w:t>
      </w:r>
      <w:proofErr w:type="gramStart"/>
      <w:r w:rsidRPr="00761554">
        <w:rPr>
          <w:rFonts w:ascii="Times New Roman" w:hAnsi="Times New Roman" w:cs="Times New Roman"/>
          <w:sz w:val="24"/>
          <w:szCs w:val="24"/>
        </w:rPr>
        <w:t>1995;20:273</w:t>
      </w:r>
      <w:proofErr w:type="gramEnd"/>
      <w:r w:rsidRPr="00761554">
        <w:rPr>
          <w:rFonts w:ascii="Times New Roman" w:hAnsi="Times New Roman" w:cs="Times New Roman"/>
          <w:sz w:val="24"/>
          <w:szCs w:val="24"/>
        </w:rPr>
        <w:t xml:space="preserve">–297. </w:t>
      </w:r>
      <w:hyperlink r:id="rId16" w:tgtFrame="_new" w:history="1">
        <w:r w:rsidRPr="00761554">
          <w:rPr>
            <w:rStyle w:val="Hyperlink"/>
            <w:rFonts w:ascii="Times New Roman" w:hAnsi="Times New Roman" w:cs="Times New Roman"/>
            <w:sz w:val="24"/>
            <w:szCs w:val="24"/>
          </w:rPr>
          <w:t>https://doi.org/10.1007/BF00994018</w:t>
        </w:r>
      </w:hyperlink>
      <w:r w:rsidRPr="00761554">
        <w:rPr>
          <w:rFonts w:ascii="Times New Roman" w:hAnsi="Times New Roman" w:cs="Times New Roman"/>
          <w:sz w:val="24"/>
          <w:szCs w:val="24"/>
        </w:rPr>
        <w:t>.</w:t>
      </w:r>
    </w:p>
    <w:p w:rsidR="001E518A" w:rsidRPr="00C82339" w:rsidRDefault="001E518A" w:rsidP="00C82339">
      <w:pPr>
        <w:pStyle w:val="NormalWeb"/>
        <w:jc w:val="both"/>
      </w:pPr>
    </w:p>
    <w:p w:rsidR="00C82339" w:rsidRPr="00C82339" w:rsidRDefault="00BB67D6" w:rsidP="00C82339">
      <w:pPr>
        <w:pStyle w:val="NormalWeb"/>
        <w:jc w:val="both"/>
      </w:pPr>
      <w:r>
        <w:t>Author Contribution</w:t>
      </w:r>
    </w:p>
    <w:p w:rsidR="00BB67D6" w:rsidRDefault="00BB67D6" w:rsidP="00BB67D6">
      <w:pPr>
        <w:pStyle w:val="paragraph"/>
        <w:numPr>
          <w:ilvl w:val="0"/>
          <w:numId w:val="5"/>
        </w:numPr>
        <w:spacing w:before="0" w:beforeAutospacing="0" w:after="0" w:afterAutospacing="0"/>
        <w:ind w:left="360"/>
        <w:textAlignment w:val="baseline"/>
        <w:rPr>
          <w:rFonts w:ascii="Calibri" w:hAnsi="Calibri" w:cs="Calibri"/>
          <w:sz w:val="20"/>
          <w:szCs w:val="20"/>
        </w:rPr>
      </w:pPr>
      <w:r>
        <w:rPr>
          <w:rStyle w:val="normaltextrun"/>
          <w:rFonts w:ascii="Calibri" w:eastAsiaTheme="majorEastAsia" w:hAnsi="Calibri" w:cs="Calibri"/>
          <w:sz w:val="20"/>
          <w:szCs w:val="20"/>
          <w:lang w:val="en-US"/>
        </w:rPr>
        <w:t>Concept and design of study or acquisition of data or analysis and interpretation of data</w:t>
      </w:r>
      <w:r>
        <w:rPr>
          <w:rStyle w:val="eop"/>
          <w:rFonts w:ascii="Calibri" w:hAnsi="Calibri" w:cs="Calibri"/>
          <w:sz w:val="20"/>
          <w:szCs w:val="20"/>
        </w:rPr>
        <w:t> </w:t>
      </w:r>
    </w:p>
    <w:p w:rsidR="00BB67D6" w:rsidRDefault="00BB67D6" w:rsidP="00BB67D6">
      <w:pPr>
        <w:pStyle w:val="paragraph"/>
        <w:numPr>
          <w:ilvl w:val="0"/>
          <w:numId w:val="6"/>
        </w:numPr>
        <w:spacing w:before="0" w:beforeAutospacing="0" w:after="0" w:afterAutospacing="0"/>
        <w:ind w:left="360"/>
        <w:textAlignment w:val="baseline"/>
        <w:rPr>
          <w:rFonts w:ascii="Calibri" w:hAnsi="Calibri" w:cs="Calibri"/>
          <w:sz w:val="20"/>
          <w:szCs w:val="20"/>
        </w:rPr>
      </w:pPr>
      <w:r>
        <w:rPr>
          <w:rStyle w:val="textrun"/>
          <w:rFonts w:ascii="Calibri" w:hAnsi="Calibri" w:cs="Calibri"/>
          <w:sz w:val="20"/>
          <w:szCs w:val="20"/>
          <w:lang w:val="en-US"/>
        </w:rPr>
        <w:t>Drafting the article or revising it critically for important intellectual content; and</w:t>
      </w:r>
      <w:r>
        <w:rPr>
          <w:rStyle w:val="eop"/>
          <w:rFonts w:ascii="Calibri" w:hAnsi="Calibri" w:cs="Calibri"/>
          <w:sz w:val="20"/>
          <w:szCs w:val="20"/>
        </w:rPr>
        <w:t> </w:t>
      </w:r>
    </w:p>
    <w:p w:rsidR="00BB67D6" w:rsidRDefault="00BB67D6" w:rsidP="00BB67D6">
      <w:pPr>
        <w:pStyle w:val="paragraph"/>
        <w:numPr>
          <w:ilvl w:val="0"/>
          <w:numId w:val="7"/>
        </w:numPr>
        <w:spacing w:before="0" w:beforeAutospacing="0" w:after="0" w:afterAutospacing="0"/>
        <w:ind w:left="360"/>
        <w:textAlignment w:val="baseline"/>
        <w:rPr>
          <w:rFonts w:ascii="Calibri" w:hAnsi="Calibri" w:cs="Calibri"/>
          <w:sz w:val="20"/>
          <w:szCs w:val="20"/>
        </w:rPr>
      </w:pPr>
      <w:r>
        <w:rPr>
          <w:rStyle w:val="textrun"/>
          <w:rFonts w:ascii="Calibri" w:hAnsi="Calibri" w:cs="Calibri"/>
          <w:sz w:val="20"/>
          <w:szCs w:val="20"/>
          <w:lang w:val="en-US"/>
        </w:rPr>
        <w:t>Final approval of the version to be published.</w:t>
      </w:r>
    </w:p>
    <w:p w:rsidR="00B17F98" w:rsidRPr="00C82339" w:rsidRDefault="00BB67D6" w:rsidP="00C82339">
      <w:pPr>
        <w:jc w:val="both"/>
        <w:rPr>
          <w:rFonts w:ascii="Times New Roman" w:hAnsi="Times New Roman" w:cs="Times New Roman"/>
          <w:sz w:val="24"/>
          <w:szCs w:val="24"/>
        </w:rPr>
      </w:pPr>
      <w:r>
        <w:rPr>
          <w:rFonts w:ascii="Calibri" w:hAnsi="Calibri" w:cs="Calibri"/>
          <w:color w:val="000000"/>
          <w:sz w:val="20"/>
          <w:szCs w:val="20"/>
          <w:shd w:val="clear" w:color="auto" w:fill="FFFFFF"/>
        </w:rPr>
        <w:t> concept, design, definition of intellectual content, literature search, clinical studies, experimental studies, data acquisition, data analysis, statistical analysis, manuscript preparation, manuscript editing and manuscript review. Authors' contributions will be printed along with the article.</w:t>
      </w:r>
    </w:p>
    <w:sectPr w:rsidR="00B17F98" w:rsidRPr="00C82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426DB"/>
    <w:multiLevelType w:val="multilevel"/>
    <w:tmpl w:val="B2C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97DED"/>
    <w:multiLevelType w:val="multilevel"/>
    <w:tmpl w:val="A588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71E5E"/>
    <w:multiLevelType w:val="multilevel"/>
    <w:tmpl w:val="746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44E33"/>
    <w:multiLevelType w:val="multilevel"/>
    <w:tmpl w:val="8BC0E2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390CD1"/>
    <w:multiLevelType w:val="multilevel"/>
    <w:tmpl w:val="A5A8A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77CD4"/>
    <w:multiLevelType w:val="multilevel"/>
    <w:tmpl w:val="2CDE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20253F"/>
    <w:multiLevelType w:val="hybridMultilevel"/>
    <w:tmpl w:val="21DA1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6"/>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F98"/>
    <w:rsid w:val="000D5764"/>
    <w:rsid w:val="001411DE"/>
    <w:rsid w:val="001E518A"/>
    <w:rsid w:val="00287FD1"/>
    <w:rsid w:val="0034092E"/>
    <w:rsid w:val="004D6E1F"/>
    <w:rsid w:val="005539C9"/>
    <w:rsid w:val="00572102"/>
    <w:rsid w:val="00765467"/>
    <w:rsid w:val="00780871"/>
    <w:rsid w:val="00904785"/>
    <w:rsid w:val="009A6681"/>
    <w:rsid w:val="00A761E0"/>
    <w:rsid w:val="00B17F98"/>
    <w:rsid w:val="00BB67D6"/>
    <w:rsid w:val="00C2168D"/>
    <w:rsid w:val="00C2296A"/>
    <w:rsid w:val="00C82339"/>
    <w:rsid w:val="00D10963"/>
    <w:rsid w:val="00D11B98"/>
    <w:rsid w:val="00D40799"/>
    <w:rsid w:val="00ED3B4D"/>
    <w:rsid w:val="00F80385"/>
    <w:rsid w:val="00F92ABF"/>
    <w:rsid w:val="00FB3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74E9A-73D7-4648-B4D6-06C0D52F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7F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17F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16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F98"/>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B17F98"/>
    <w:rPr>
      <w:b/>
      <w:bCs/>
    </w:rPr>
  </w:style>
  <w:style w:type="paragraph" w:styleId="NormalWeb">
    <w:name w:val="Normal (Web)"/>
    <w:basedOn w:val="Normal"/>
    <w:uiPriority w:val="99"/>
    <w:semiHidden/>
    <w:unhideWhenUsed/>
    <w:rsid w:val="00B17F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B17F98"/>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1E518A"/>
    <w:rPr>
      <w:i/>
      <w:iCs/>
    </w:rPr>
  </w:style>
  <w:style w:type="character" w:styleId="Hyperlink">
    <w:name w:val="Hyperlink"/>
    <w:basedOn w:val="DefaultParagraphFont"/>
    <w:uiPriority w:val="99"/>
    <w:unhideWhenUsed/>
    <w:rsid w:val="001E518A"/>
    <w:rPr>
      <w:color w:val="0000FF"/>
      <w:u w:val="single"/>
    </w:rPr>
  </w:style>
  <w:style w:type="paragraph" w:styleId="ListParagraph">
    <w:name w:val="List Paragraph"/>
    <w:basedOn w:val="Normal"/>
    <w:uiPriority w:val="34"/>
    <w:qFormat/>
    <w:rsid w:val="001E518A"/>
    <w:pPr>
      <w:ind w:left="720"/>
      <w:contextualSpacing/>
    </w:pPr>
  </w:style>
  <w:style w:type="paragraph" w:styleId="NoSpacing">
    <w:name w:val="No Spacing"/>
    <w:uiPriority w:val="1"/>
    <w:qFormat/>
    <w:rsid w:val="001E518A"/>
    <w:pPr>
      <w:spacing w:after="0" w:line="240" w:lineRule="auto"/>
    </w:pPr>
  </w:style>
  <w:style w:type="character" w:customStyle="1" w:styleId="Heading3Char">
    <w:name w:val="Heading 3 Char"/>
    <w:basedOn w:val="DefaultParagraphFont"/>
    <w:link w:val="Heading3"/>
    <w:uiPriority w:val="9"/>
    <w:rsid w:val="00C2168D"/>
    <w:rPr>
      <w:rFonts w:asciiTheme="majorHAnsi" w:eastAsiaTheme="majorEastAsia" w:hAnsiTheme="majorHAnsi" w:cstheme="majorBidi"/>
      <w:color w:val="1F4D78" w:themeColor="accent1" w:themeShade="7F"/>
      <w:sz w:val="24"/>
      <w:szCs w:val="24"/>
    </w:rPr>
  </w:style>
  <w:style w:type="paragraph" w:customStyle="1" w:styleId="paragraph">
    <w:name w:val="paragraph"/>
    <w:basedOn w:val="Normal"/>
    <w:rsid w:val="00BB67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run">
    <w:name w:val="textrun"/>
    <w:basedOn w:val="DefaultParagraphFont"/>
    <w:rsid w:val="00BB67D6"/>
  </w:style>
  <w:style w:type="character" w:customStyle="1" w:styleId="normaltextrun">
    <w:name w:val="normaltextrun"/>
    <w:basedOn w:val="DefaultParagraphFont"/>
    <w:rsid w:val="00BB67D6"/>
  </w:style>
  <w:style w:type="character" w:customStyle="1" w:styleId="eop">
    <w:name w:val="eop"/>
    <w:basedOn w:val="DefaultParagraphFont"/>
    <w:rsid w:val="00BB67D6"/>
  </w:style>
  <w:style w:type="character" w:customStyle="1" w:styleId="mord">
    <w:name w:val="mord"/>
    <w:basedOn w:val="DefaultParagraphFont"/>
    <w:rsid w:val="00D11B98"/>
  </w:style>
  <w:style w:type="character" w:customStyle="1" w:styleId="mrel">
    <w:name w:val="mrel"/>
    <w:basedOn w:val="DefaultParagraphFont"/>
    <w:rsid w:val="00D11B98"/>
  </w:style>
  <w:style w:type="character" w:customStyle="1" w:styleId="mbin">
    <w:name w:val="mbin"/>
    <w:basedOn w:val="DefaultParagraphFont"/>
    <w:rsid w:val="00D11B98"/>
  </w:style>
  <w:style w:type="character" w:customStyle="1" w:styleId="vlist-s">
    <w:name w:val="vlist-s"/>
    <w:basedOn w:val="DefaultParagraphFont"/>
    <w:rsid w:val="00D11B98"/>
  </w:style>
  <w:style w:type="character" w:customStyle="1" w:styleId="mopen">
    <w:name w:val="mopen"/>
    <w:basedOn w:val="DefaultParagraphFont"/>
    <w:rsid w:val="00D11B98"/>
  </w:style>
  <w:style w:type="character" w:customStyle="1" w:styleId="mclose">
    <w:name w:val="mclose"/>
    <w:basedOn w:val="DefaultParagraphFont"/>
    <w:rsid w:val="00D11B98"/>
  </w:style>
  <w:style w:type="character" w:customStyle="1" w:styleId="delimsizing">
    <w:name w:val="delimsizing"/>
    <w:basedOn w:val="DefaultParagraphFont"/>
    <w:rsid w:val="00D11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30438">
      <w:bodyDiv w:val="1"/>
      <w:marLeft w:val="0"/>
      <w:marRight w:val="0"/>
      <w:marTop w:val="0"/>
      <w:marBottom w:val="0"/>
      <w:divBdr>
        <w:top w:val="none" w:sz="0" w:space="0" w:color="auto"/>
        <w:left w:val="none" w:sz="0" w:space="0" w:color="auto"/>
        <w:bottom w:val="none" w:sz="0" w:space="0" w:color="auto"/>
        <w:right w:val="none" w:sz="0" w:space="0" w:color="auto"/>
      </w:divBdr>
    </w:div>
    <w:div w:id="278269912">
      <w:bodyDiv w:val="1"/>
      <w:marLeft w:val="0"/>
      <w:marRight w:val="0"/>
      <w:marTop w:val="0"/>
      <w:marBottom w:val="0"/>
      <w:divBdr>
        <w:top w:val="none" w:sz="0" w:space="0" w:color="auto"/>
        <w:left w:val="none" w:sz="0" w:space="0" w:color="auto"/>
        <w:bottom w:val="none" w:sz="0" w:space="0" w:color="auto"/>
        <w:right w:val="none" w:sz="0" w:space="0" w:color="auto"/>
      </w:divBdr>
    </w:div>
    <w:div w:id="379283762">
      <w:bodyDiv w:val="1"/>
      <w:marLeft w:val="0"/>
      <w:marRight w:val="0"/>
      <w:marTop w:val="0"/>
      <w:marBottom w:val="0"/>
      <w:divBdr>
        <w:top w:val="none" w:sz="0" w:space="0" w:color="auto"/>
        <w:left w:val="none" w:sz="0" w:space="0" w:color="auto"/>
        <w:bottom w:val="none" w:sz="0" w:space="0" w:color="auto"/>
        <w:right w:val="none" w:sz="0" w:space="0" w:color="auto"/>
      </w:divBdr>
    </w:div>
    <w:div w:id="454056363">
      <w:bodyDiv w:val="1"/>
      <w:marLeft w:val="0"/>
      <w:marRight w:val="0"/>
      <w:marTop w:val="0"/>
      <w:marBottom w:val="0"/>
      <w:divBdr>
        <w:top w:val="none" w:sz="0" w:space="0" w:color="auto"/>
        <w:left w:val="none" w:sz="0" w:space="0" w:color="auto"/>
        <w:bottom w:val="none" w:sz="0" w:space="0" w:color="auto"/>
        <w:right w:val="none" w:sz="0" w:space="0" w:color="auto"/>
      </w:divBdr>
    </w:div>
    <w:div w:id="485168790">
      <w:bodyDiv w:val="1"/>
      <w:marLeft w:val="0"/>
      <w:marRight w:val="0"/>
      <w:marTop w:val="0"/>
      <w:marBottom w:val="0"/>
      <w:divBdr>
        <w:top w:val="none" w:sz="0" w:space="0" w:color="auto"/>
        <w:left w:val="none" w:sz="0" w:space="0" w:color="auto"/>
        <w:bottom w:val="none" w:sz="0" w:space="0" w:color="auto"/>
        <w:right w:val="none" w:sz="0" w:space="0" w:color="auto"/>
      </w:divBdr>
    </w:div>
    <w:div w:id="733816246">
      <w:bodyDiv w:val="1"/>
      <w:marLeft w:val="0"/>
      <w:marRight w:val="0"/>
      <w:marTop w:val="0"/>
      <w:marBottom w:val="0"/>
      <w:divBdr>
        <w:top w:val="none" w:sz="0" w:space="0" w:color="auto"/>
        <w:left w:val="none" w:sz="0" w:space="0" w:color="auto"/>
        <w:bottom w:val="none" w:sz="0" w:space="0" w:color="auto"/>
        <w:right w:val="none" w:sz="0" w:space="0" w:color="auto"/>
      </w:divBdr>
      <w:divsChild>
        <w:div w:id="581256422">
          <w:marLeft w:val="0"/>
          <w:marRight w:val="0"/>
          <w:marTop w:val="0"/>
          <w:marBottom w:val="0"/>
          <w:divBdr>
            <w:top w:val="none" w:sz="0" w:space="0" w:color="auto"/>
            <w:left w:val="none" w:sz="0" w:space="0" w:color="auto"/>
            <w:bottom w:val="none" w:sz="0" w:space="0" w:color="auto"/>
            <w:right w:val="none" w:sz="0" w:space="0" w:color="auto"/>
          </w:divBdr>
        </w:div>
        <w:div w:id="652761192">
          <w:marLeft w:val="0"/>
          <w:marRight w:val="0"/>
          <w:marTop w:val="0"/>
          <w:marBottom w:val="0"/>
          <w:divBdr>
            <w:top w:val="none" w:sz="0" w:space="0" w:color="auto"/>
            <w:left w:val="none" w:sz="0" w:space="0" w:color="auto"/>
            <w:bottom w:val="none" w:sz="0" w:space="0" w:color="auto"/>
            <w:right w:val="none" w:sz="0" w:space="0" w:color="auto"/>
          </w:divBdr>
        </w:div>
        <w:div w:id="720446658">
          <w:marLeft w:val="0"/>
          <w:marRight w:val="0"/>
          <w:marTop w:val="0"/>
          <w:marBottom w:val="0"/>
          <w:divBdr>
            <w:top w:val="none" w:sz="0" w:space="0" w:color="auto"/>
            <w:left w:val="none" w:sz="0" w:space="0" w:color="auto"/>
            <w:bottom w:val="none" w:sz="0" w:space="0" w:color="auto"/>
            <w:right w:val="none" w:sz="0" w:space="0" w:color="auto"/>
          </w:divBdr>
        </w:div>
      </w:divsChild>
    </w:div>
    <w:div w:id="778987834">
      <w:bodyDiv w:val="1"/>
      <w:marLeft w:val="0"/>
      <w:marRight w:val="0"/>
      <w:marTop w:val="0"/>
      <w:marBottom w:val="0"/>
      <w:divBdr>
        <w:top w:val="none" w:sz="0" w:space="0" w:color="auto"/>
        <w:left w:val="none" w:sz="0" w:space="0" w:color="auto"/>
        <w:bottom w:val="none" w:sz="0" w:space="0" w:color="auto"/>
        <w:right w:val="none" w:sz="0" w:space="0" w:color="auto"/>
      </w:divBdr>
    </w:div>
    <w:div w:id="898052670">
      <w:bodyDiv w:val="1"/>
      <w:marLeft w:val="0"/>
      <w:marRight w:val="0"/>
      <w:marTop w:val="0"/>
      <w:marBottom w:val="0"/>
      <w:divBdr>
        <w:top w:val="none" w:sz="0" w:space="0" w:color="auto"/>
        <w:left w:val="none" w:sz="0" w:space="0" w:color="auto"/>
        <w:bottom w:val="none" w:sz="0" w:space="0" w:color="auto"/>
        <w:right w:val="none" w:sz="0" w:space="0" w:color="auto"/>
      </w:divBdr>
    </w:div>
    <w:div w:id="1586568844">
      <w:bodyDiv w:val="1"/>
      <w:marLeft w:val="0"/>
      <w:marRight w:val="0"/>
      <w:marTop w:val="0"/>
      <w:marBottom w:val="0"/>
      <w:divBdr>
        <w:top w:val="none" w:sz="0" w:space="0" w:color="auto"/>
        <w:left w:val="none" w:sz="0" w:space="0" w:color="auto"/>
        <w:bottom w:val="none" w:sz="0" w:space="0" w:color="auto"/>
        <w:right w:val="none" w:sz="0" w:space="0" w:color="auto"/>
      </w:divBdr>
    </w:div>
    <w:div w:id="2067877771">
      <w:bodyDiv w:val="1"/>
      <w:marLeft w:val="0"/>
      <w:marRight w:val="0"/>
      <w:marTop w:val="0"/>
      <w:marBottom w:val="0"/>
      <w:divBdr>
        <w:top w:val="none" w:sz="0" w:space="0" w:color="auto"/>
        <w:left w:val="none" w:sz="0" w:space="0" w:color="auto"/>
        <w:bottom w:val="none" w:sz="0" w:space="0" w:color="auto"/>
        <w:right w:val="none" w:sz="0" w:space="0" w:color="auto"/>
      </w:divBdr>
    </w:div>
    <w:div w:id="214153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1/jamacardio.2020.0013." TargetMode="External"/><Relationship Id="rId13" Type="http://schemas.openxmlformats.org/officeDocument/2006/relationships/hyperlink" Target="https://doi.org/10.1016/j.bspc.2021.10317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jacc.2013.01.079" TargetMode="External"/><Relationship Id="rId12" Type="http://schemas.openxmlformats.org/officeDocument/2006/relationships/hyperlink" Target="https://doi.org/10.1016/j.compbiomed.2020.10383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BF00994018" TargetMode="External"/><Relationship Id="rId1" Type="http://schemas.openxmlformats.org/officeDocument/2006/relationships/numbering" Target="numbering.xml"/><Relationship Id="rId6" Type="http://schemas.openxmlformats.org/officeDocument/2006/relationships/hyperlink" Target="https://doi.org/10.1001/jama.2013.280532" TargetMode="External"/><Relationship Id="rId11" Type="http://schemas.openxmlformats.org/officeDocument/2006/relationships/hyperlink" Target="https://doi.org/10.1309/LM6KSKG9Y8RR7Y8J" TargetMode="External"/><Relationship Id="rId5" Type="http://schemas.openxmlformats.org/officeDocument/2006/relationships/hyperlink" Target="https://doi.org/10.1093/eurheartj/ehz455" TargetMode="External"/><Relationship Id="rId15" Type="http://schemas.openxmlformats.org/officeDocument/2006/relationships/hyperlink" Target="https://doi.org/10.1145/2939672.2939785" TargetMode="External"/><Relationship Id="rId10" Type="http://schemas.openxmlformats.org/officeDocument/2006/relationships/hyperlink" Target="https://doi.org/10.1016/j.cca.2022.03.012" TargetMode="External"/><Relationship Id="rId4" Type="http://schemas.openxmlformats.org/officeDocument/2006/relationships/webSettings" Target="webSettings.xml"/><Relationship Id="rId9" Type="http://schemas.openxmlformats.org/officeDocument/2006/relationships/hyperlink" Target="https://doi.org/10.1016/j.jacc.2022.12.007" TargetMode="External"/><Relationship Id="rId14" Type="http://schemas.openxmlformats.org/officeDocument/2006/relationships/hyperlink" Target="https://doi.org/10.1038/s41598-022-154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5113</Words>
  <Characters>29149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Lab</cp:lastModifiedBy>
  <cp:revision>7</cp:revision>
  <dcterms:created xsi:type="dcterms:W3CDTF">2026-02-26T09:09:00Z</dcterms:created>
  <dcterms:modified xsi:type="dcterms:W3CDTF">2026-02-26T13:02:00Z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531ebfaa-7709-474f-bb73-18e19d5e62b2</vt:lpwstr>
  </property>
</Properties>
</file>